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7C93" w14:textId="020FDBC9" w:rsidR="00245A4A" w:rsidRPr="008C53D6" w:rsidRDefault="000E531C" w:rsidP="00233992">
      <w:pPr>
        <w:spacing w:line="480" w:lineRule="auto"/>
        <w:jc w:val="center"/>
        <w:rPr>
          <w:b/>
          <w:bCs/>
          <w:szCs w:val="22"/>
        </w:rPr>
      </w:pPr>
      <w:r w:rsidRPr="008C53D6">
        <w:rPr>
          <w:b/>
          <w:bCs/>
          <w:szCs w:val="22"/>
        </w:rPr>
        <w:t>National Security</w:t>
      </w:r>
      <w:r w:rsidR="00245A4A" w:rsidRPr="008C53D6">
        <w:rPr>
          <w:b/>
          <w:bCs/>
          <w:szCs w:val="22"/>
        </w:rPr>
        <w:t xml:space="preserve"> </w:t>
      </w:r>
      <w:r w:rsidR="008779E8" w:rsidRPr="008C53D6">
        <w:rPr>
          <w:b/>
          <w:bCs/>
          <w:szCs w:val="22"/>
        </w:rPr>
        <w:t xml:space="preserve">Policies </w:t>
      </w:r>
      <w:r w:rsidR="00245A4A" w:rsidRPr="008C53D6">
        <w:rPr>
          <w:b/>
          <w:bCs/>
          <w:szCs w:val="22"/>
        </w:rPr>
        <w:t>and Corporate Investment</w:t>
      </w:r>
    </w:p>
    <w:p w14:paraId="4BD71F0D" w14:textId="77777777" w:rsidR="00336A62" w:rsidRPr="00233992" w:rsidRDefault="00336A62" w:rsidP="00233992">
      <w:pPr>
        <w:spacing w:line="480" w:lineRule="auto"/>
        <w:rPr>
          <w:sz w:val="22"/>
          <w:szCs w:val="22"/>
        </w:rPr>
      </w:pPr>
    </w:p>
    <w:p w14:paraId="01C4C622" w14:textId="6B887303" w:rsidR="00B9043D" w:rsidRDefault="00B9043D" w:rsidP="00233992">
      <w:pPr>
        <w:spacing w:line="480" w:lineRule="auto"/>
        <w:jc w:val="center"/>
        <w:rPr>
          <w:b/>
          <w:sz w:val="22"/>
          <w:szCs w:val="22"/>
          <w:lang w:val="en-GB"/>
        </w:rPr>
      </w:pPr>
    </w:p>
    <w:p w14:paraId="0E01823A" w14:textId="09FDB481" w:rsidR="006847A3" w:rsidRPr="006847A3" w:rsidRDefault="006847A3" w:rsidP="006847A3">
      <w:pPr>
        <w:ind w:left="1701" w:right="1701"/>
        <w:jc w:val="center"/>
        <w:rPr>
          <w:szCs w:val="22"/>
          <w:lang w:val="it-IT"/>
        </w:rPr>
      </w:pPr>
      <w:r w:rsidRPr="006847A3">
        <w:rPr>
          <w:szCs w:val="22"/>
          <w:lang w:val="it-IT"/>
        </w:rPr>
        <w:t xml:space="preserve">Vedran Capkun </w:t>
      </w:r>
      <w:hyperlink r:id="rId8" w:history="1">
        <w:r w:rsidRPr="006847A3">
          <w:rPr>
            <w:rStyle w:val="Lienhypertexte"/>
            <w:szCs w:val="22"/>
            <w:lang w:val="it-IT"/>
          </w:rPr>
          <w:t>capkun@hec.fr</w:t>
        </w:r>
      </w:hyperlink>
      <w:r w:rsidRPr="006847A3">
        <w:rPr>
          <w:szCs w:val="22"/>
          <w:lang w:val="it-IT"/>
        </w:rPr>
        <w:t xml:space="preserve"> </w:t>
      </w:r>
    </w:p>
    <w:p w14:paraId="681A43CD" w14:textId="69A716D9" w:rsidR="006847A3" w:rsidRPr="00C254A5" w:rsidRDefault="006847A3" w:rsidP="006847A3">
      <w:pPr>
        <w:ind w:left="1701" w:right="1701"/>
        <w:jc w:val="center"/>
        <w:rPr>
          <w:szCs w:val="22"/>
          <w:lang w:val="en-GB"/>
        </w:rPr>
      </w:pPr>
      <w:r w:rsidRPr="00C254A5">
        <w:rPr>
          <w:szCs w:val="22"/>
          <w:lang w:val="en-GB"/>
        </w:rPr>
        <w:t xml:space="preserve">Francesco Grazioli </w:t>
      </w:r>
      <w:hyperlink r:id="rId9" w:history="1">
        <w:r w:rsidRPr="00C254A5">
          <w:rPr>
            <w:rStyle w:val="Lienhypertexte"/>
            <w:szCs w:val="22"/>
            <w:lang w:val="en-GB"/>
          </w:rPr>
          <w:t>fgrazioli@escp.eu</w:t>
        </w:r>
      </w:hyperlink>
    </w:p>
    <w:p w14:paraId="4A247253" w14:textId="77777777" w:rsidR="00C254A5" w:rsidRPr="00C254A5" w:rsidRDefault="00C254A5" w:rsidP="006847A3">
      <w:pPr>
        <w:ind w:left="1701" w:right="1701"/>
        <w:jc w:val="center"/>
        <w:rPr>
          <w:szCs w:val="22"/>
          <w:lang w:val="en-GB"/>
        </w:rPr>
      </w:pPr>
    </w:p>
    <w:p w14:paraId="6CB13CEA" w14:textId="310F1C6B" w:rsidR="006847A3" w:rsidRPr="0093640E" w:rsidRDefault="00C254A5" w:rsidP="00233992">
      <w:pPr>
        <w:spacing w:line="480" w:lineRule="auto"/>
        <w:jc w:val="center"/>
        <w:rPr>
          <w:szCs w:val="22"/>
          <w:lang w:val="en-GB"/>
        </w:rPr>
      </w:pPr>
      <w:r>
        <w:rPr>
          <w:szCs w:val="22"/>
          <w:lang w:val="en-GB"/>
        </w:rPr>
        <w:t>September</w:t>
      </w:r>
      <w:r w:rsidR="006847A3" w:rsidRPr="0093640E">
        <w:rPr>
          <w:szCs w:val="22"/>
          <w:lang w:val="en-GB"/>
        </w:rPr>
        <w:t xml:space="preserve"> 2024</w:t>
      </w:r>
    </w:p>
    <w:p w14:paraId="1AE5A352" w14:textId="77777777" w:rsidR="00B9043D" w:rsidRPr="0093640E" w:rsidRDefault="00B9043D" w:rsidP="00233992">
      <w:pPr>
        <w:spacing w:line="480" w:lineRule="auto"/>
        <w:jc w:val="center"/>
        <w:rPr>
          <w:b/>
          <w:sz w:val="22"/>
          <w:szCs w:val="22"/>
          <w:lang w:val="en-GB"/>
        </w:rPr>
      </w:pPr>
    </w:p>
    <w:p w14:paraId="69CCD2FB" w14:textId="2996D7E8" w:rsidR="0065324F" w:rsidRPr="00233992" w:rsidRDefault="00245A4A" w:rsidP="00233992">
      <w:pPr>
        <w:spacing w:line="480" w:lineRule="auto"/>
        <w:jc w:val="center"/>
        <w:rPr>
          <w:b/>
          <w:sz w:val="22"/>
          <w:szCs w:val="22"/>
        </w:rPr>
      </w:pPr>
      <w:r w:rsidRPr="00233992">
        <w:rPr>
          <w:b/>
          <w:sz w:val="22"/>
          <w:szCs w:val="22"/>
        </w:rPr>
        <w:t>Abstract</w:t>
      </w:r>
    </w:p>
    <w:p w14:paraId="199A1C22" w14:textId="4B5E4F2C" w:rsidR="00245A4A" w:rsidRPr="00233992" w:rsidRDefault="006E6BEE" w:rsidP="00233992">
      <w:pPr>
        <w:spacing w:line="480" w:lineRule="auto"/>
        <w:jc w:val="both"/>
        <w:rPr>
          <w:sz w:val="22"/>
          <w:szCs w:val="22"/>
        </w:rPr>
      </w:pPr>
      <w:r w:rsidRPr="00233992">
        <w:rPr>
          <w:sz w:val="22"/>
          <w:szCs w:val="22"/>
        </w:rPr>
        <w:t xml:space="preserve">We examine national security policies </w:t>
      </w:r>
      <w:r w:rsidR="00C058A7">
        <w:rPr>
          <w:sz w:val="22"/>
          <w:szCs w:val="22"/>
        </w:rPr>
        <w:t xml:space="preserve">implemented </w:t>
      </w:r>
      <w:r w:rsidRPr="00233992">
        <w:rPr>
          <w:sz w:val="22"/>
          <w:szCs w:val="22"/>
        </w:rPr>
        <w:t xml:space="preserve">by the Committee on Foreign Investment in the United States (CFIUS) </w:t>
      </w:r>
      <w:r w:rsidR="005559B5">
        <w:rPr>
          <w:sz w:val="22"/>
          <w:szCs w:val="22"/>
        </w:rPr>
        <w:t>and how they a</w:t>
      </w:r>
      <w:r w:rsidRPr="00233992">
        <w:rPr>
          <w:sz w:val="22"/>
          <w:szCs w:val="22"/>
        </w:rPr>
        <w:t>ffect corporate investment</w:t>
      </w:r>
      <w:r w:rsidR="004620CE" w:rsidRPr="00233992">
        <w:rPr>
          <w:sz w:val="22"/>
          <w:szCs w:val="22"/>
        </w:rPr>
        <w:t xml:space="preserve">. CFIUS </w:t>
      </w:r>
      <w:r w:rsidR="00A66101" w:rsidRPr="00233992">
        <w:rPr>
          <w:sz w:val="22"/>
          <w:szCs w:val="22"/>
        </w:rPr>
        <w:t xml:space="preserve">can </w:t>
      </w:r>
      <w:r w:rsidR="00392791" w:rsidRPr="00233992">
        <w:rPr>
          <w:sz w:val="22"/>
          <w:szCs w:val="22"/>
        </w:rPr>
        <w:t xml:space="preserve">deny regulatory approval of </w:t>
      </w:r>
      <w:r w:rsidR="009E7A3D" w:rsidRPr="00233992">
        <w:rPr>
          <w:sz w:val="22"/>
          <w:szCs w:val="22"/>
        </w:rPr>
        <w:t>foreign takeover</w:t>
      </w:r>
      <w:r w:rsidR="0041482D" w:rsidRPr="00233992">
        <w:rPr>
          <w:sz w:val="22"/>
          <w:szCs w:val="22"/>
        </w:rPr>
        <w:t>s</w:t>
      </w:r>
      <w:r w:rsidR="00A66101" w:rsidRPr="00233992">
        <w:rPr>
          <w:sz w:val="22"/>
          <w:szCs w:val="22"/>
        </w:rPr>
        <w:t xml:space="preserve"> </w:t>
      </w:r>
      <w:r w:rsidR="00A07A50" w:rsidRPr="00233992">
        <w:rPr>
          <w:sz w:val="22"/>
          <w:szCs w:val="22"/>
        </w:rPr>
        <w:t>on national security grounds</w:t>
      </w:r>
      <w:r w:rsidR="004620CE" w:rsidRPr="00233992">
        <w:rPr>
          <w:sz w:val="22"/>
          <w:szCs w:val="22"/>
        </w:rPr>
        <w:t xml:space="preserve">. </w:t>
      </w:r>
      <w:r w:rsidR="00D54A92" w:rsidRPr="00233992">
        <w:rPr>
          <w:sz w:val="22"/>
          <w:szCs w:val="22"/>
        </w:rPr>
        <w:t xml:space="preserve">We </w:t>
      </w:r>
      <w:r w:rsidR="00622CD8">
        <w:rPr>
          <w:sz w:val="22"/>
          <w:szCs w:val="22"/>
        </w:rPr>
        <w:t>document a</w:t>
      </w:r>
      <w:r w:rsidR="00E81B14">
        <w:rPr>
          <w:sz w:val="22"/>
          <w:szCs w:val="22"/>
        </w:rPr>
        <w:t xml:space="preserve"> sharp</w:t>
      </w:r>
      <w:r w:rsidR="00622CD8">
        <w:rPr>
          <w:sz w:val="22"/>
          <w:szCs w:val="22"/>
        </w:rPr>
        <w:t xml:space="preserve"> increase in CFIUS </w:t>
      </w:r>
      <w:r w:rsidR="00C058A7">
        <w:rPr>
          <w:sz w:val="22"/>
          <w:szCs w:val="22"/>
        </w:rPr>
        <w:t xml:space="preserve">denials of regulatory approval </w:t>
      </w:r>
      <w:r w:rsidR="00E81B14">
        <w:rPr>
          <w:sz w:val="22"/>
          <w:szCs w:val="22"/>
        </w:rPr>
        <w:t xml:space="preserve">during </w:t>
      </w:r>
      <w:r w:rsidR="002113C8">
        <w:rPr>
          <w:sz w:val="22"/>
          <w:szCs w:val="22"/>
        </w:rPr>
        <w:t>the</w:t>
      </w:r>
      <w:r w:rsidR="00E81B14">
        <w:rPr>
          <w:sz w:val="22"/>
          <w:szCs w:val="22"/>
        </w:rPr>
        <w:t xml:space="preserve"> 2008-2019 sample period</w:t>
      </w:r>
      <w:r w:rsidR="00C058A7">
        <w:rPr>
          <w:sz w:val="22"/>
          <w:szCs w:val="22"/>
        </w:rPr>
        <w:t xml:space="preserve"> in which the Foreign Investment and National Security Act (FINSA) was in place</w:t>
      </w:r>
      <w:r w:rsidR="00E81B14">
        <w:rPr>
          <w:sz w:val="22"/>
          <w:szCs w:val="22"/>
        </w:rPr>
        <w:t xml:space="preserve">. </w:t>
      </w:r>
      <w:r w:rsidR="00815540">
        <w:rPr>
          <w:sz w:val="22"/>
          <w:szCs w:val="22"/>
        </w:rPr>
        <w:t xml:space="preserve">CFIUS </w:t>
      </w:r>
      <w:r w:rsidR="00C058A7">
        <w:rPr>
          <w:sz w:val="22"/>
          <w:szCs w:val="22"/>
        </w:rPr>
        <w:t>denials</w:t>
      </w:r>
      <w:r w:rsidR="002113C8">
        <w:rPr>
          <w:sz w:val="22"/>
          <w:szCs w:val="22"/>
        </w:rPr>
        <w:t xml:space="preserve"> </w:t>
      </w:r>
      <w:r w:rsidR="002113C8" w:rsidRPr="002113C8">
        <w:rPr>
          <w:sz w:val="22"/>
          <w:szCs w:val="22"/>
        </w:rPr>
        <w:t>are followed by</w:t>
      </w:r>
      <w:r w:rsidR="00C058A7" w:rsidRPr="002113C8">
        <w:rPr>
          <w:sz w:val="22"/>
          <w:szCs w:val="22"/>
        </w:rPr>
        <w:t xml:space="preserve"> </w:t>
      </w:r>
      <w:r w:rsidR="00815540">
        <w:rPr>
          <w:sz w:val="22"/>
          <w:szCs w:val="22"/>
        </w:rPr>
        <w:t>a</w:t>
      </w:r>
      <w:r w:rsidR="00A372ED">
        <w:rPr>
          <w:sz w:val="22"/>
          <w:szCs w:val="22"/>
        </w:rPr>
        <w:t xml:space="preserve"> negative market reaction</w:t>
      </w:r>
      <w:r w:rsidR="0041540C">
        <w:rPr>
          <w:sz w:val="22"/>
          <w:szCs w:val="22"/>
        </w:rPr>
        <w:t xml:space="preserve">, </w:t>
      </w:r>
      <w:r w:rsidR="00A372ED">
        <w:rPr>
          <w:sz w:val="22"/>
          <w:szCs w:val="22"/>
        </w:rPr>
        <w:t>a</w:t>
      </w:r>
      <w:r w:rsidR="00815540">
        <w:rPr>
          <w:sz w:val="22"/>
          <w:szCs w:val="22"/>
        </w:rPr>
        <w:t xml:space="preserve"> decrease in foreign takeovers</w:t>
      </w:r>
      <w:r w:rsidR="008F05EC">
        <w:rPr>
          <w:sz w:val="22"/>
          <w:szCs w:val="22"/>
        </w:rPr>
        <w:t>,</w:t>
      </w:r>
      <w:r w:rsidR="00815540">
        <w:rPr>
          <w:sz w:val="22"/>
          <w:szCs w:val="22"/>
        </w:rPr>
        <w:t xml:space="preserve"> </w:t>
      </w:r>
      <w:r w:rsidR="00437988">
        <w:rPr>
          <w:sz w:val="22"/>
          <w:szCs w:val="22"/>
        </w:rPr>
        <w:t>and</w:t>
      </w:r>
      <w:r w:rsidR="00D54A92" w:rsidRPr="00233992">
        <w:rPr>
          <w:sz w:val="22"/>
          <w:szCs w:val="22"/>
        </w:rPr>
        <w:t xml:space="preserve"> </w:t>
      </w:r>
      <w:r w:rsidR="00C058A7">
        <w:rPr>
          <w:sz w:val="22"/>
          <w:szCs w:val="22"/>
        </w:rPr>
        <w:t>a reduction</w:t>
      </w:r>
      <w:r w:rsidR="00C058A7" w:rsidRPr="00233992">
        <w:rPr>
          <w:sz w:val="22"/>
          <w:szCs w:val="22"/>
        </w:rPr>
        <w:t xml:space="preserve"> </w:t>
      </w:r>
      <w:r w:rsidR="00D54A92" w:rsidRPr="00233992">
        <w:rPr>
          <w:sz w:val="22"/>
          <w:szCs w:val="22"/>
        </w:rPr>
        <w:t>in corporate investment in industries of the blocked</w:t>
      </w:r>
      <w:r w:rsidR="00CD1070" w:rsidRPr="00233992">
        <w:rPr>
          <w:sz w:val="22"/>
          <w:szCs w:val="22"/>
        </w:rPr>
        <w:t>-</w:t>
      </w:r>
      <w:r w:rsidR="00D54A92" w:rsidRPr="00233992">
        <w:rPr>
          <w:sz w:val="22"/>
          <w:szCs w:val="22"/>
        </w:rPr>
        <w:t xml:space="preserve">acquisition targets. </w:t>
      </w:r>
      <w:r w:rsidR="00245A4A" w:rsidRPr="00233992">
        <w:rPr>
          <w:sz w:val="22"/>
          <w:szCs w:val="22"/>
        </w:rPr>
        <w:t xml:space="preserve">The </w:t>
      </w:r>
      <w:r w:rsidR="004924F2">
        <w:rPr>
          <w:sz w:val="22"/>
          <w:szCs w:val="22"/>
        </w:rPr>
        <w:t>decrease</w:t>
      </w:r>
      <w:r w:rsidR="004E4803">
        <w:rPr>
          <w:sz w:val="22"/>
          <w:szCs w:val="22"/>
        </w:rPr>
        <w:t>s</w:t>
      </w:r>
      <w:r w:rsidR="00C058A7">
        <w:rPr>
          <w:sz w:val="22"/>
          <w:szCs w:val="22"/>
        </w:rPr>
        <w:t xml:space="preserve"> in corporate investment</w:t>
      </w:r>
      <w:r w:rsidR="004924F2" w:rsidRPr="00233992">
        <w:rPr>
          <w:sz w:val="22"/>
          <w:szCs w:val="22"/>
        </w:rPr>
        <w:t xml:space="preserve"> </w:t>
      </w:r>
      <w:r w:rsidR="004E4803">
        <w:rPr>
          <w:sz w:val="22"/>
          <w:szCs w:val="22"/>
        </w:rPr>
        <w:t>are</w:t>
      </w:r>
      <w:r w:rsidR="004924F2" w:rsidRPr="00233992">
        <w:rPr>
          <w:sz w:val="22"/>
          <w:szCs w:val="22"/>
        </w:rPr>
        <w:t xml:space="preserve"> </w:t>
      </w:r>
      <w:r w:rsidR="009E7A3D" w:rsidRPr="00233992">
        <w:rPr>
          <w:sz w:val="22"/>
          <w:szCs w:val="22"/>
        </w:rPr>
        <w:t xml:space="preserve">more pronounced among </w:t>
      </w:r>
      <w:r w:rsidR="00245A4A" w:rsidRPr="00233992">
        <w:rPr>
          <w:sz w:val="22"/>
          <w:szCs w:val="22"/>
        </w:rPr>
        <w:t xml:space="preserve">firms </w:t>
      </w:r>
      <w:r w:rsidR="009E7A3D" w:rsidRPr="00233992">
        <w:rPr>
          <w:sz w:val="22"/>
          <w:szCs w:val="22"/>
        </w:rPr>
        <w:t xml:space="preserve">that </w:t>
      </w:r>
      <w:r w:rsidR="00245A4A" w:rsidRPr="00233992">
        <w:rPr>
          <w:sz w:val="22"/>
          <w:szCs w:val="22"/>
        </w:rPr>
        <w:t>are</w:t>
      </w:r>
      <w:r w:rsidR="00D237F1">
        <w:rPr>
          <w:sz w:val="22"/>
          <w:szCs w:val="22"/>
        </w:rPr>
        <w:t xml:space="preserve"> ex-ante</w:t>
      </w:r>
      <w:r w:rsidR="00245A4A" w:rsidRPr="00233992">
        <w:rPr>
          <w:sz w:val="22"/>
          <w:szCs w:val="22"/>
        </w:rPr>
        <w:t xml:space="preserve"> financially constrained</w:t>
      </w:r>
      <w:r w:rsidR="00892722">
        <w:rPr>
          <w:sz w:val="22"/>
          <w:szCs w:val="22"/>
        </w:rPr>
        <w:t>.</w:t>
      </w:r>
      <w:r w:rsidR="004E4803">
        <w:rPr>
          <w:sz w:val="22"/>
          <w:szCs w:val="22"/>
        </w:rPr>
        <w:t xml:space="preserve"> </w:t>
      </w:r>
      <w:r w:rsidR="00F20078" w:rsidRPr="00233992">
        <w:rPr>
          <w:sz w:val="22"/>
          <w:szCs w:val="22"/>
        </w:rPr>
        <w:t>Our results may be of interest to regulators who have recently adopted CFIUS-like mechanisms to protect critical assets from foreign hands.</w:t>
      </w:r>
    </w:p>
    <w:p w14:paraId="5740555E" w14:textId="5B347BBF" w:rsidR="001F229F" w:rsidRDefault="001F229F" w:rsidP="00233992">
      <w:pPr>
        <w:spacing w:line="480" w:lineRule="auto"/>
        <w:jc w:val="both"/>
        <w:rPr>
          <w:sz w:val="22"/>
          <w:szCs w:val="22"/>
        </w:rPr>
      </w:pPr>
    </w:p>
    <w:p w14:paraId="077C35DE" w14:textId="3E2EAF89" w:rsidR="00EF4C9B" w:rsidRDefault="00EF4C9B" w:rsidP="00233992">
      <w:pPr>
        <w:spacing w:line="480" w:lineRule="auto"/>
        <w:jc w:val="both"/>
        <w:rPr>
          <w:sz w:val="22"/>
          <w:szCs w:val="22"/>
        </w:rPr>
      </w:pPr>
    </w:p>
    <w:p w14:paraId="2010EED7" w14:textId="77777777" w:rsidR="00EF4C9B" w:rsidRPr="00233992" w:rsidRDefault="00EF4C9B" w:rsidP="00233992">
      <w:pPr>
        <w:spacing w:line="480" w:lineRule="auto"/>
        <w:jc w:val="both"/>
        <w:rPr>
          <w:sz w:val="22"/>
          <w:szCs w:val="22"/>
        </w:rPr>
      </w:pPr>
    </w:p>
    <w:p w14:paraId="6045F9BC" w14:textId="77777777" w:rsidR="001F229F" w:rsidRPr="00233992" w:rsidRDefault="001F229F" w:rsidP="00233992">
      <w:pPr>
        <w:spacing w:line="480" w:lineRule="auto"/>
        <w:jc w:val="both"/>
        <w:rPr>
          <w:sz w:val="22"/>
          <w:szCs w:val="22"/>
        </w:rPr>
      </w:pPr>
    </w:p>
    <w:p w14:paraId="42BD57A1" w14:textId="250F1571" w:rsidR="001F229F" w:rsidRPr="00233992" w:rsidRDefault="001F229F" w:rsidP="00233992">
      <w:pPr>
        <w:spacing w:line="480" w:lineRule="auto"/>
        <w:jc w:val="both"/>
        <w:rPr>
          <w:sz w:val="22"/>
          <w:szCs w:val="22"/>
        </w:rPr>
      </w:pPr>
    </w:p>
    <w:p w14:paraId="7DAEA6AC" w14:textId="0B918244" w:rsidR="006D7499" w:rsidRPr="00233992" w:rsidRDefault="006D7499" w:rsidP="00233992">
      <w:pPr>
        <w:spacing w:line="480" w:lineRule="auto"/>
        <w:jc w:val="both"/>
        <w:rPr>
          <w:sz w:val="22"/>
          <w:szCs w:val="22"/>
          <w:lang w:val="fr-FR"/>
        </w:rPr>
      </w:pPr>
      <w:r w:rsidRPr="00233992">
        <w:rPr>
          <w:i/>
          <w:sz w:val="22"/>
          <w:szCs w:val="22"/>
          <w:lang w:val="fr-FR"/>
        </w:rPr>
        <w:t xml:space="preserve">JEL </w:t>
      </w:r>
      <w:r w:rsidR="00386469" w:rsidRPr="00233992">
        <w:rPr>
          <w:i/>
          <w:sz w:val="22"/>
          <w:szCs w:val="22"/>
          <w:lang w:val="fr-FR"/>
        </w:rPr>
        <w:t>classification</w:t>
      </w:r>
      <w:r w:rsidR="00386469" w:rsidRPr="00233992">
        <w:rPr>
          <w:sz w:val="22"/>
          <w:szCs w:val="22"/>
          <w:lang w:val="fr-FR"/>
        </w:rPr>
        <w:t>:</w:t>
      </w:r>
      <w:r w:rsidRPr="00233992">
        <w:rPr>
          <w:sz w:val="22"/>
          <w:szCs w:val="22"/>
          <w:lang w:val="fr-FR"/>
        </w:rPr>
        <w:t xml:space="preserve"> </w:t>
      </w:r>
      <w:r w:rsidR="00D65F63" w:rsidRPr="00233992">
        <w:rPr>
          <w:sz w:val="22"/>
          <w:szCs w:val="22"/>
          <w:lang w:val="fr-FR"/>
        </w:rPr>
        <w:t>D22, D25, F02, F21</w:t>
      </w:r>
    </w:p>
    <w:p w14:paraId="76310E94" w14:textId="0B1E21AD" w:rsidR="00A92C0E" w:rsidRPr="00233992" w:rsidRDefault="00245A4A" w:rsidP="00233992">
      <w:pPr>
        <w:spacing w:line="480" w:lineRule="auto"/>
        <w:jc w:val="both"/>
        <w:rPr>
          <w:sz w:val="22"/>
          <w:szCs w:val="22"/>
        </w:rPr>
      </w:pPr>
      <w:r w:rsidRPr="00233992">
        <w:rPr>
          <w:i/>
          <w:sz w:val="22"/>
          <w:szCs w:val="22"/>
        </w:rPr>
        <w:t>Keywords</w:t>
      </w:r>
      <w:r w:rsidRPr="00233992">
        <w:rPr>
          <w:sz w:val="22"/>
          <w:szCs w:val="22"/>
        </w:rPr>
        <w:t xml:space="preserve">: </w:t>
      </w:r>
      <w:r w:rsidR="002113C8">
        <w:rPr>
          <w:sz w:val="22"/>
          <w:szCs w:val="22"/>
        </w:rPr>
        <w:t>National security policies;</w:t>
      </w:r>
      <w:r w:rsidR="008F05EC">
        <w:rPr>
          <w:sz w:val="22"/>
          <w:szCs w:val="22"/>
        </w:rPr>
        <w:t xml:space="preserve"> </w:t>
      </w:r>
      <w:r w:rsidR="006D59B6" w:rsidRPr="00233992">
        <w:rPr>
          <w:sz w:val="22"/>
          <w:szCs w:val="22"/>
        </w:rPr>
        <w:t>Corporate i</w:t>
      </w:r>
      <w:r w:rsidR="002113C8">
        <w:rPr>
          <w:sz w:val="22"/>
          <w:szCs w:val="22"/>
        </w:rPr>
        <w:t>nvestment;</w:t>
      </w:r>
      <w:r w:rsidRPr="00233992">
        <w:rPr>
          <w:sz w:val="22"/>
          <w:szCs w:val="22"/>
        </w:rPr>
        <w:t xml:space="preserve"> </w:t>
      </w:r>
      <w:r w:rsidR="002113C8">
        <w:rPr>
          <w:sz w:val="22"/>
          <w:szCs w:val="22"/>
        </w:rPr>
        <w:t>Foreign takeovers</w:t>
      </w:r>
    </w:p>
    <w:p w14:paraId="53AC5831" w14:textId="2413DA5C" w:rsidR="00EF4C9B" w:rsidRDefault="00EF4C9B">
      <w:pPr>
        <w:spacing w:after="160" w:line="259" w:lineRule="auto"/>
        <w:rPr>
          <w:sz w:val="22"/>
          <w:szCs w:val="22"/>
        </w:rPr>
      </w:pPr>
      <w:r>
        <w:rPr>
          <w:sz w:val="22"/>
          <w:szCs w:val="22"/>
        </w:rPr>
        <w:br w:type="page"/>
      </w:r>
    </w:p>
    <w:p w14:paraId="600FC7E3" w14:textId="77777777" w:rsidR="00245A4A" w:rsidRPr="00233992" w:rsidRDefault="00245A4A" w:rsidP="00233992">
      <w:pPr>
        <w:pStyle w:val="Paragraphedeliste"/>
        <w:numPr>
          <w:ilvl w:val="0"/>
          <w:numId w:val="5"/>
        </w:numPr>
        <w:spacing w:line="480" w:lineRule="auto"/>
        <w:jc w:val="both"/>
        <w:rPr>
          <w:b/>
          <w:bCs/>
          <w:sz w:val="22"/>
          <w:szCs w:val="22"/>
        </w:rPr>
      </w:pPr>
      <w:r w:rsidRPr="00233992">
        <w:rPr>
          <w:b/>
          <w:bCs/>
          <w:sz w:val="22"/>
          <w:szCs w:val="22"/>
        </w:rPr>
        <w:lastRenderedPageBreak/>
        <w:t>Introduction</w:t>
      </w:r>
    </w:p>
    <w:p w14:paraId="2B410003" w14:textId="7E292749" w:rsidR="00094A11" w:rsidRPr="00437988" w:rsidRDefault="000F45AF" w:rsidP="00094A11">
      <w:pPr>
        <w:spacing w:line="480" w:lineRule="auto"/>
        <w:jc w:val="both"/>
        <w:rPr>
          <w:sz w:val="22"/>
          <w:szCs w:val="22"/>
        </w:rPr>
      </w:pPr>
      <w:r w:rsidRPr="00437988">
        <w:rPr>
          <w:sz w:val="22"/>
          <w:szCs w:val="22"/>
        </w:rPr>
        <w:tab/>
      </w:r>
      <w:r w:rsidR="00973BFC" w:rsidRPr="00437988">
        <w:rPr>
          <w:sz w:val="22"/>
          <w:szCs w:val="22"/>
        </w:rPr>
        <w:t>Protecting national security interests through limiting foreign takeovers has been on the rise in the past two decades</w:t>
      </w:r>
      <w:r w:rsidR="004B1671" w:rsidRPr="00437988">
        <w:rPr>
          <w:sz w:val="22"/>
          <w:szCs w:val="22"/>
        </w:rPr>
        <w:t xml:space="preserve"> </w:t>
      </w:r>
      <w:r w:rsidR="00032252" w:rsidRPr="00437988">
        <w:rPr>
          <w:sz w:val="22"/>
          <w:szCs w:val="22"/>
        </w:rPr>
        <w:t xml:space="preserve">in the </w:t>
      </w:r>
      <w:r w:rsidR="00E85A89" w:rsidRPr="00437988">
        <w:rPr>
          <w:sz w:val="22"/>
          <w:szCs w:val="22"/>
        </w:rPr>
        <w:t xml:space="preserve">United States </w:t>
      </w:r>
      <w:r w:rsidR="00032252" w:rsidRPr="00437988">
        <w:rPr>
          <w:sz w:val="22"/>
          <w:szCs w:val="22"/>
        </w:rPr>
        <w:t>and internationally</w:t>
      </w:r>
      <w:r w:rsidR="00973BFC" w:rsidRPr="00437988">
        <w:rPr>
          <w:sz w:val="22"/>
          <w:szCs w:val="22"/>
        </w:rPr>
        <w:t>.</w:t>
      </w:r>
      <w:r w:rsidR="005D768A" w:rsidRPr="00437988">
        <w:rPr>
          <w:sz w:val="22"/>
          <w:szCs w:val="22"/>
        </w:rPr>
        <w:t xml:space="preserve"> </w:t>
      </w:r>
      <w:r w:rsidR="00E56789" w:rsidRPr="00437988">
        <w:rPr>
          <w:sz w:val="22"/>
          <w:szCs w:val="22"/>
        </w:rPr>
        <w:t>As of May 2020, 77% of the 62 OECD</w:t>
      </w:r>
      <w:r w:rsidR="00C058A7">
        <w:rPr>
          <w:sz w:val="22"/>
          <w:szCs w:val="22"/>
        </w:rPr>
        <w:t>-investigated</w:t>
      </w:r>
      <w:r w:rsidR="00E56789" w:rsidRPr="00437988">
        <w:rPr>
          <w:sz w:val="22"/>
          <w:szCs w:val="22"/>
        </w:rPr>
        <w:t xml:space="preserve"> countries had at least some policies in place to address national security threats arising from foreign investments (</w:t>
      </w:r>
      <w:bookmarkStart w:id="0" w:name="_Hlk148278074"/>
      <w:r w:rsidR="00257AD0" w:rsidRPr="00437988">
        <w:rPr>
          <w:sz w:val="22"/>
          <w:szCs w:val="22"/>
        </w:rPr>
        <w:t xml:space="preserve">Pohl </w:t>
      </w:r>
      <w:r w:rsidR="009E743F" w:rsidRPr="00437988">
        <w:rPr>
          <w:sz w:val="22"/>
          <w:szCs w:val="22"/>
        </w:rPr>
        <w:t xml:space="preserve">&amp; </w:t>
      </w:r>
      <w:r w:rsidR="00257AD0" w:rsidRPr="00437988">
        <w:rPr>
          <w:sz w:val="22"/>
          <w:szCs w:val="22"/>
        </w:rPr>
        <w:t xml:space="preserve">Rosselot, </w:t>
      </w:r>
      <w:r w:rsidR="00E56789" w:rsidRPr="00437988">
        <w:rPr>
          <w:sz w:val="22"/>
          <w:szCs w:val="22"/>
        </w:rPr>
        <w:t>2020)</w:t>
      </w:r>
      <w:bookmarkEnd w:id="0"/>
      <w:r w:rsidR="00C905AD" w:rsidRPr="00437988">
        <w:rPr>
          <w:sz w:val="22"/>
          <w:szCs w:val="22"/>
        </w:rPr>
        <w:t xml:space="preserve">. </w:t>
      </w:r>
    </w:p>
    <w:p w14:paraId="5C824F32" w14:textId="5DEE6F8E" w:rsidR="00456D06" w:rsidRDefault="00F2270D" w:rsidP="00094A11">
      <w:pPr>
        <w:spacing w:line="480" w:lineRule="auto"/>
        <w:ind w:firstLine="720"/>
        <w:jc w:val="both"/>
        <w:rPr>
          <w:sz w:val="22"/>
          <w:szCs w:val="22"/>
        </w:rPr>
      </w:pPr>
      <w:r>
        <w:rPr>
          <w:sz w:val="22"/>
          <w:szCs w:val="22"/>
        </w:rPr>
        <w:t>In this paper w</w:t>
      </w:r>
      <w:r w:rsidR="00094A11">
        <w:rPr>
          <w:sz w:val="22"/>
          <w:szCs w:val="22"/>
        </w:rPr>
        <w:t xml:space="preserve">e </w:t>
      </w:r>
      <w:r w:rsidR="00C058A7">
        <w:rPr>
          <w:sz w:val="22"/>
          <w:szCs w:val="22"/>
        </w:rPr>
        <w:t>examine</w:t>
      </w:r>
      <w:r w:rsidR="00094A11">
        <w:rPr>
          <w:sz w:val="22"/>
          <w:szCs w:val="22"/>
        </w:rPr>
        <w:t xml:space="preserve"> </w:t>
      </w:r>
      <w:r w:rsidR="00C847F7" w:rsidRPr="00233992">
        <w:rPr>
          <w:sz w:val="22"/>
          <w:szCs w:val="22"/>
        </w:rPr>
        <w:t>the implementation of national security policies by the Committee on Foreign Investment in the United States (CFIUS)</w:t>
      </w:r>
      <w:r w:rsidR="001F4ED8">
        <w:rPr>
          <w:sz w:val="22"/>
          <w:szCs w:val="22"/>
        </w:rPr>
        <w:t xml:space="preserve"> </w:t>
      </w:r>
      <w:r w:rsidR="006C6B83">
        <w:rPr>
          <w:sz w:val="22"/>
          <w:szCs w:val="22"/>
        </w:rPr>
        <w:t>following the adoption of</w:t>
      </w:r>
      <w:r w:rsidR="001F4ED8">
        <w:rPr>
          <w:sz w:val="22"/>
          <w:szCs w:val="22"/>
        </w:rPr>
        <w:t xml:space="preserve"> the Foreign Investment and National Security Act (FINSA)</w:t>
      </w:r>
      <w:r w:rsidR="00C847F7" w:rsidRPr="00233992">
        <w:rPr>
          <w:sz w:val="22"/>
          <w:szCs w:val="22"/>
        </w:rPr>
        <w:t>.</w:t>
      </w:r>
      <w:r w:rsidR="00C058A7" w:rsidRPr="00233992">
        <w:rPr>
          <w:rStyle w:val="Appelnotedebasdep"/>
          <w:sz w:val="22"/>
          <w:szCs w:val="22"/>
        </w:rPr>
        <w:footnoteReference w:id="1"/>
      </w:r>
      <w:r w:rsidR="00E266CF" w:rsidRPr="00233992">
        <w:rPr>
          <w:sz w:val="22"/>
          <w:szCs w:val="22"/>
        </w:rPr>
        <w:t xml:space="preserve"> CFIUS is a</w:t>
      </w:r>
      <w:r w:rsidR="00456D06" w:rsidRPr="00233992">
        <w:rPr>
          <w:sz w:val="22"/>
          <w:szCs w:val="22"/>
        </w:rPr>
        <w:t xml:space="preserve"> </w:t>
      </w:r>
      <w:r w:rsidR="00E266CF" w:rsidRPr="00233992">
        <w:rPr>
          <w:sz w:val="22"/>
          <w:szCs w:val="22"/>
        </w:rPr>
        <w:t xml:space="preserve">governmental body </w:t>
      </w:r>
      <w:r w:rsidR="00456D06" w:rsidRPr="00233992">
        <w:rPr>
          <w:sz w:val="22"/>
          <w:szCs w:val="22"/>
        </w:rPr>
        <w:t xml:space="preserve">that reviews foreign investments </w:t>
      </w:r>
      <w:r w:rsidR="00400E6A" w:rsidRPr="00233992">
        <w:rPr>
          <w:sz w:val="22"/>
          <w:szCs w:val="22"/>
        </w:rPr>
        <w:t xml:space="preserve">to determine their effects on national security. More precisely, </w:t>
      </w:r>
      <w:r w:rsidR="00BD46CD">
        <w:rPr>
          <w:sz w:val="22"/>
          <w:szCs w:val="22"/>
        </w:rPr>
        <w:t>CFIUS</w:t>
      </w:r>
      <w:r w:rsidR="00BD46CD" w:rsidRPr="00233992">
        <w:rPr>
          <w:sz w:val="22"/>
          <w:szCs w:val="22"/>
        </w:rPr>
        <w:t xml:space="preserve"> </w:t>
      </w:r>
      <w:r w:rsidR="00456D06" w:rsidRPr="00233992">
        <w:rPr>
          <w:sz w:val="22"/>
          <w:szCs w:val="22"/>
        </w:rPr>
        <w:t xml:space="preserve">can </w:t>
      </w:r>
      <w:r w:rsidR="00C847F7" w:rsidRPr="00233992">
        <w:rPr>
          <w:sz w:val="22"/>
          <w:szCs w:val="22"/>
        </w:rPr>
        <w:t>block</w:t>
      </w:r>
      <w:r w:rsidR="00456D06" w:rsidRPr="00233992">
        <w:rPr>
          <w:sz w:val="22"/>
          <w:szCs w:val="22"/>
        </w:rPr>
        <w:t xml:space="preserve"> foreign takeovers</w:t>
      </w:r>
      <w:r w:rsidR="00D77268" w:rsidRPr="00233992">
        <w:rPr>
          <w:sz w:val="22"/>
          <w:szCs w:val="22"/>
        </w:rPr>
        <w:t xml:space="preserve"> </w:t>
      </w:r>
      <w:r w:rsidR="00A07A50" w:rsidRPr="00233992">
        <w:rPr>
          <w:sz w:val="22"/>
          <w:szCs w:val="22"/>
        </w:rPr>
        <w:t>on national security grounds</w:t>
      </w:r>
      <w:r w:rsidR="00456D06" w:rsidRPr="00233992">
        <w:rPr>
          <w:sz w:val="22"/>
          <w:szCs w:val="22"/>
        </w:rPr>
        <w:t>.</w:t>
      </w:r>
      <w:r w:rsidR="00D62D9E" w:rsidRPr="00233992">
        <w:rPr>
          <w:sz w:val="22"/>
          <w:szCs w:val="22"/>
        </w:rPr>
        <w:t xml:space="preserve"> </w:t>
      </w:r>
      <w:r w:rsidR="00456D06" w:rsidRPr="00233992">
        <w:rPr>
          <w:sz w:val="22"/>
          <w:szCs w:val="22"/>
        </w:rPr>
        <w:t xml:space="preserve">The scope of CFIUS is broad as it can deny </w:t>
      </w:r>
      <w:r w:rsidR="00C847F7" w:rsidRPr="00233992">
        <w:rPr>
          <w:sz w:val="22"/>
          <w:szCs w:val="22"/>
        </w:rPr>
        <w:t xml:space="preserve">regulatory </w:t>
      </w:r>
      <w:r w:rsidR="00456D06" w:rsidRPr="00233992">
        <w:rPr>
          <w:sz w:val="22"/>
          <w:szCs w:val="22"/>
        </w:rPr>
        <w:t xml:space="preserve">approval </w:t>
      </w:r>
      <w:r w:rsidR="00C847F7" w:rsidRPr="00233992">
        <w:rPr>
          <w:sz w:val="22"/>
          <w:szCs w:val="22"/>
        </w:rPr>
        <w:t>of</w:t>
      </w:r>
      <w:r w:rsidR="00456D06" w:rsidRPr="00233992">
        <w:rPr>
          <w:sz w:val="22"/>
          <w:szCs w:val="22"/>
        </w:rPr>
        <w:t xml:space="preserve"> any transaction</w:t>
      </w:r>
      <w:r w:rsidR="000F1A02" w:rsidRPr="00233992">
        <w:rPr>
          <w:sz w:val="22"/>
          <w:szCs w:val="22"/>
        </w:rPr>
        <w:t>s</w:t>
      </w:r>
      <w:r w:rsidR="00456D06" w:rsidRPr="00233992">
        <w:rPr>
          <w:sz w:val="22"/>
          <w:szCs w:val="22"/>
        </w:rPr>
        <w:t xml:space="preserve"> </w:t>
      </w:r>
      <w:r w:rsidR="00486306" w:rsidRPr="00233992">
        <w:rPr>
          <w:sz w:val="22"/>
          <w:szCs w:val="22"/>
        </w:rPr>
        <w:t xml:space="preserve">involving domestic firms </w:t>
      </w:r>
      <w:r w:rsidR="00456D06" w:rsidRPr="00233992">
        <w:rPr>
          <w:sz w:val="22"/>
          <w:szCs w:val="22"/>
        </w:rPr>
        <w:t xml:space="preserve">above </w:t>
      </w:r>
      <w:r w:rsidR="00486306" w:rsidRPr="00233992">
        <w:rPr>
          <w:sz w:val="22"/>
          <w:szCs w:val="22"/>
        </w:rPr>
        <w:t xml:space="preserve">the </w:t>
      </w:r>
      <w:r w:rsidR="00456D06" w:rsidRPr="00233992">
        <w:rPr>
          <w:sz w:val="22"/>
          <w:szCs w:val="22"/>
        </w:rPr>
        <w:t>10% equity stake, ban sales of U</w:t>
      </w:r>
      <w:r w:rsidR="00E85A89">
        <w:rPr>
          <w:sz w:val="22"/>
          <w:szCs w:val="22"/>
        </w:rPr>
        <w:t>.</w:t>
      </w:r>
      <w:r w:rsidR="00456D06" w:rsidRPr="00233992">
        <w:rPr>
          <w:sz w:val="22"/>
          <w:szCs w:val="22"/>
        </w:rPr>
        <w:t>S</w:t>
      </w:r>
      <w:r w:rsidR="00E85A89">
        <w:rPr>
          <w:sz w:val="22"/>
          <w:szCs w:val="22"/>
        </w:rPr>
        <w:t>.</w:t>
      </w:r>
      <w:r w:rsidR="001D27F6" w:rsidRPr="00233992">
        <w:rPr>
          <w:sz w:val="22"/>
          <w:szCs w:val="22"/>
        </w:rPr>
        <w:t xml:space="preserve"> </w:t>
      </w:r>
      <w:r w:rsidR="00456D06" w:rsidRPr="00233992">
        <w:rPr>
          <w:sz w:val="22"/>
          <w:szCs w:val="22"/>
        </w:rPr>
        <w:t>based assets and/or impose costly conditions on approval.</w:t>
      </w:r>
      <w:r w:rsidR="00456D06" w:rsidRPr="00233992">
        <w:rPr>
          <w:rStyle w:val="Appelnotedebasdep"/>
          <w:sz w:val="22"/>
          <w:szCs w:val="22"/>
        </w:rPr>
        <w:footnoteReference w:id="2"/>
      </w:r>
      <w:r w:rsidR="00456D06" w:rsidRPr="00233992">
        <w:rPr>
          <w:sz w:val="22"/>
          <w:szCs w:val="22"/>
        </w:rPr>
        <w:t xml:space="preserve"> </w:t>
      </w:r>
    </w:p>
    <w:p w14:paraId="59ECB9D5" w14:textId="15CE23AF" w:rsidR="00196EC9" w:rsidRDefault="00364405" w:rsidP="00364405">
      <w:pPr>
        <w:spacing w:line="480" w:lineRule="auto"/>
        <w:ind w:firstLine="720"/>
        <w:jc w:val="both"/>
        <w:rPr>
          <w:sz w:val="22"/>
          <w:szCs w:val="22"/>
        </w:rPr>
      </w:pPr>
      <w:r>
        <w:rPr>
          <w:sz w:val="22"/>
          <w:szCs w:val="22"/>
        </w:rPr>
        <w:t>CFIUS</w:t>
      </w:r>
      <w:r w:rsidRPr="00196EC9">
        <w:rPr>
          <w:sz w:val="22"/>
          <w:szCs w:val="22"/>
        </w:rPr>
        <w:t xml:space="preserve"> </w:t>
      </w:r>
      <w:r w:rsidR="00196EC9" w:rsidRPr="00196EC9">
        <w:rPr>
          <w:sz w:val="22"/>
          <w:szCs w:val="22"/>
        </w:rPr>
        <w:t xml:space="preserve">denials </w:t>
      </w:r>
      <w:r>
        <w:rPr>
          <w:sz w:val="22"/>
          <w:szCs w:val="22"/>
        </w:rPr>
        <w:t xml:space="preserve">of regulatory approval </w:t>
      </w:r>
      <w:r w:rsidR="00196EC9" w:rsidRPr="00196EC9">
        <w:rPr>
          <w:sz w:val="22"/>
          <w:szCs w:val="22"/>
        </w:rPr>
        <w:t xml:space="preserve">are particularly suitable for </w:t>
      </w:r>
      <w:r w:rsidR="00196EC9">
        <w:rPr>
          <w:sz w:val="22"/>
          <w:szCs w:val="22"/>
        </w:rPr>
        <w:t>our</w:t>
      </w:r>
      <w:r w:rsidR="00196EC9" w:rsidRPr="00196EC9">
        <w:rPr>
          <w:sz w:val="22"/>
          <w:szCs w:val="22"/>
        </w:rPr>
        <w:t xml:space="preserve"> analysis as</w:t>
      </w:r>
      <w:r w:rsidR="00F273D6">
        <w:rPr>
          <w:sz w:val="22"/>
          <w:szCs w:val="22"/>
        </w:rPr>
        <w:t xml:space="preserve"> </w:t>
      </w:r>
      <w:r w:rsidR="00196EC9" w:rsidRPr="00196EC9">
        <w:rPr>
          <w:sz w:val="22"/>
          <w:szCs w:val="22"/>
        </w:rPr>
        <w:t>they have a potential to deter similar transactions among peers</w:t>
      </w:r>
      <w:r w:rsidR="00042D82">
        <w:rPr>
          <w:sz w:val="22"/>
          <w:szCs w:val="22"/>
        </w:rPr>
        <w:t xml:space="preserve"> (</w:t>
      </w:r>
      <w:r w:rsidR="00C54600">
        <w:rPr>
          <w:sz w:val="22"/>
          <w:szCs w:val="22"/>
        </w:rPr>
        <w:t>Connel</w:t>
      </w:r>
      <w:r w:rsidR="005C603A">
        <w:rPr>
          <w:sz w:val="22"/>
          <w:szCs w:val="22"/>
        </w:rPr>
        <w:t>l</w:t>
      </w:r>
      <w:r w:rsidR="00C54600">
        <w:rPr>
          <w:sz w:val="22"/>
          <w:szCs w:val="22"/>
        </w:rPr>
        <w:t xml:space="preserve"> </w:t>
      </w:r>
      <w:r w:rsidR="00BD46CD" w:rsidRPr="00437988">
        <w:rPr>
          <w:sz w:val="22"/>
          <w:szCs w:val="22"/>
        </w:rPr>
        <w:t xml:space="preserve">&amp; </w:t>
      </w:r>
      <w:r w:rsidR="00C54600">
        <w:rPr>
          <w:sz w:val="22"/>
          <w:szCs w:val="22"/>
        </w:rPr>
        <w:t xml:space="preserve">Huang, </w:t>
      </w:r>
      <w:r w:rsidR="005C603A">
        <w:rPr>
          <w:sz w:val="22"/>
          <w:szCs w:val="22"/>
        </w:rPr>
        <w:t>2014)</w:t>
      </w:r>
      <w:r w:rsidR="00196EC9" w:rsidRPr="00196EC9">
        <w:rPr>
          <w:sz w:val="22"/>
          <w:szCs w:val="22"/>
        </w:rPr>
        <w:t xml:space="preserve">. CFIUS </w:t>
      </w:r>
      <w:r w:rsidR="00196EC9">
        <w:rPr>
          <w:sz w:val="22"/>
          <w:szCs w:val="22"/>
        </w:rPr>
        <w:t>denials</w:t>
      </w:r>
      <w:r w:rsidR="00196EC9" w:rsidRPr="00196EC9">
        <w:rPr>
          <w:sz w:val="22"/>
          <w:szCs w:val="22"/>
        </w:rPr>
        <w:t xml:space="preserve"> represent an incremental adjustment in the </w:t>
      </w:r>
      <w:r w:rsidR="002113C8">
        <w:rPr>
          <w:sz w:val="22"/>
          <w:szCs w:val="22"/>
        </w:rPr>
        <w:t>likelihood</w:t>
      </w:r>
      <w:r w:rsidR="00196EC9" w:rsidRPr="00196EC9">
        <w:rPr>
          <w:sz w:val="22"/>
          <w:szCs w:val="22"/>
        </w:rPr>
        <w:t xml:space="preserve"> of future blocks, relative to the </w:t>
      </w:r>
      <w:r w:rsidR="00042D82">
        <w:rPr>
          <w:sz w:val="22"/>
          <w:szCs w:val="22"/>
        </w:rPr>
        <w:t xml:space="preserve">ex-ante </w:t>
      </w:r>
      <w:r w:rsidR="00196EC9" w:rsidRPr="00196EC9">
        <w:rPr>
          <w:sz w:val="22"/>
          <w:szCs w:val="22"/>
        </w:rPr>
        <w:t>estimated probability assigned to the same event</w:t>
      </w:r>
      <w:r w:rsidR="00756679">
        <w:rPr>
          <w:sz w:val="22"/>
          <w:szCs w:val="22"/>
        </w:rPr>
        <w:t xml:space="preserve"> (</w:t>
      </w:r>
      <w:r w:rsidR="00BD46CD">
        <w:rPr>
          <w:sz w:val="22"/>
          <w:szCs w:val="22"/>
        </w:rPr>
        <w:t xml:space="preserve">Priest </w:t>
      </w:r>
      <w:r w:rsidR="00BD46CD" w:rsidRPr="00437988">
        <w:rPr>
          <w:sz w:val="22"/>
          <w:szCs w:val="22"/>
        </w:rPr>
        <w:t xml:space="preserve">&amp; </w:t>
      </w:r>
      <w:r w:rsidR="00196EC9" w:rsidRPr="00196EC9">
        <w:rPr>
          <w:sz w:val="22"/>
          <w:szCs w:val="22"/>
        </w:rPr>
        <w:t>Klein</w:t>
      </w:r>
      <w:r w:rsidR="00756679">
        <w:rPr>
          <w:sz w:val="22"/>
          <w:szCs w:val="22"/>
        </w:rPr>
        <w:t xml:space="preserve">, </w:t>
      </w:r>
      <w:r w:rsidR="00196EC9" w:rsidRPr="00196EC9">
        <w:rPr>
          <w:sz w:val="22"/>
          <w:szCs w:val="22"/>
        </w:rPr>
        <w:t>1984)</w:t>
      </w:r>
      <w:r w:rsidR="00756679">
        <w:rPr>
          <w:sz w:val="22"/>
          <w:szCs w:val="22"/>
        </w:rPr>
        <w:t>.</w:t>
      </w:r>
      <w:r>
        <w:rPr>
          <w:sz w:val="22"/>
          <w:szCs w:val="22"/>
        </w:rPr>
        <w:t xml:space="preserve"> In this vein, w</w:t>
      </w:r>
      <w:r w:rsidRPr="00196EC9">
        <w:rPr>
          <w:sz w:val="22"/>
          <w:szCs w:val="22"/>
        </w:rPr>
        <w:t xml:space="preserve">e </w:t>
      </w:r>
      <w:r>
        <w:rPr>
          <w:sz w:val="22"/>
          <w:szCs w:val="22"/>
        </w:rPr>
        <w:t>investigate</w:t>
      </w:r>
      <w:r w:rsidRPr="00196EC9">
        <w:rPr>
          <w:sz w:val="22"/>
          <w:szCs w:val="22"/>
        </w:rPr>
        <w:t xml:space="preserve"> publicly announced CFIUS </w:t>
      </w:r>
      <w:r>
        <w:rPr>
          <w:sz w:val="22"/>
          <w:szCs w:val="22"/>
        </w:rPr>
        <w:t xml:space="preserve">denials </w:t>
      </w:r>
      <w:r w:rsidRPr="00196EC9">
        <w:rPr>
          <w:sz w:val="22"/>
          <w:szCs w:val="22"/>
        </w:rPr>
        <w:t xml:space="preserve">involving listed targets in the </w:t>
      </w:r>
      <w:r>
        <w:rPr>
          <w:sz w:val="22"/>
          <w:szCs w:val="22"/>
        </w:rPr>
        <w:t>2008-</w:t>
      </w:r>
      <w:r w:rsidRPr="00196EC9">
        <w:rPr>
          <w:sz w:val="22"/>
          <w:szCs w:val="22"/>
        </w:rPr>
        <w:t>2019</w:t>
      </w:r>
      <w:r>
        <w:rPr>
          <w:sz w:val="22"/>
          <w:szCs w:val="22"/>
        </w:rPr>
        <w:t xml:space="preserve"> period in which FINSA was in place</w:t>
      </w:r>
      <w:r w:rsidRPr="00196EC9">
        <w:rPr>
          <w:sz w:val="22"/>
          <w:szCs w:val="22"/>
        </w:rPr>
        <w:t>.</w:t>
      </w:r>
    </w:p>
    <w:p w14:paraId="31C08503" w14:textId="784018AB" w:rsidR="00B30011" w:rsidRDefault="00196EC9" w:rsidP="00F73B47">
      <w:pPr>
        <w:spacing w:line="480" w:lineRule="auto"/>
        <w:ind w:firstLine="720"/>
        <w:jc w:val="both"/>
        <w:rPr>
          <w:sz w:val="22"/>
          <w:szCs w:val="22"/>
        </w:rPr>
      </w:pPr>
      <w:r>
        <w:rPr>
          <w:sz w:val="22"/>
          <w:szCs w:val="22"/>
        </w:rPr>
        <w:t>First, w</w:t>
      </w:r>
      <w:r w:rsidR="00F73B47">
        <w:rPr>
          <w:sz w:val="22"/>
          <w:szCs w:val="22"/>
        </w:rPr>
        <w:t xml:space="preserve">e </w:t>
      </w:r>
      <w:r w:rsidR="00C47E80">
        <w:rPr>
          <w:sz w:val="22"/>
          <w:szCs w:val="22"/>
        </w:rPr>
        <w:t xml:space="preserve">describe CFIUS </w:t>
      </w:r>
      <w:r>
        <w:rPr>
          <w:sz w:val="22"/>
          <w:szCs w:val="22"/>
        </w:rPr>
        <w:t>denials of regulatory approval</w:t>
      </w:r>
      <w:r w:rsidR="00A3470F">
        <w:rPr>
          <w:sz w:val="22"/>
          <w:szCs w:val="22"/>
        </w:rPr>
        <w:t xml:space="preserve"> (see Table 1)</w:t>
      </w:r>
      <w:r w:rsidR="00EF450F">
        <w:rPr>
          <w:sz w:val="22"/>
          <w:szCs w:val="22"/>
        </w:rPr>
        <w:t xml:space="preserve">. </w:t>
      </w:r>
      <w:r>
        <w:rPr>
          <w:sz w:val="22"/>
          <w:szCs w:val="22"/>
        </w:rPr>
        <w:t xml:space="preserve">We document a sharp increase in CFIUS denials </w:t>
      </w:r>
      <w:r w:rsidR="00BD7552">
        <w:rPr>
          <w:sz w:val="22"/>
          <w:szCs w:val="22"/>
        </w:rPr>
        <w:t xml:space="preserve">notably after 2016, the year </w:t>
      </w:r>
      <w:r w:rsidR="00CE542A">
        <w:rPr>
          <w:sz w:val="22"/>
          <w:szCs w:val="22"/>
        </w:rPr>
        <w:t xml:space="preserve">in which </w:t>
      </w:r>
      <w:r w:rsidR="00BD7552">
        <w:rPr>
          <w:sz w:val="22"/>
          <w:szCs w:val="22"/>
        </w:rPr>
        <w:t xml:space="preserve">Trump </w:t>
      </w:r>
      <w:r w:rsidR="00CE542A">
        <w:rPr>
          <w:sz w:val="22"/>
          <w:szCs w:val="22"/>
        </w:rPr>
        <w:t>was elected president</w:t>
      </w:r>
      <w:r w:rsidR="00134E2B">
        <w:rPr>
          <w:sz w:val="22"/>
          <w:szCs w:val="22"/>
        </w:rPr>
        <w:t>.</w:t>
      </w:r>
      <w:r w:rsidR="00CE542A">
        <w:rPr>
          <w:sz w:val="22"/>
          <w:szCs w:val="22"/>
        </w:rPr>
        <w:t xml:space="preserve"> </w:t>
      </w:r>
      <w:r w:rsidR="00A3470F">
        <w:rPr>
          <w:sz w:val="22"/>
          <w:szCs w:val="22"/>
        </w:rPr>
        <w:t>Moreover</w:t>
      </w:r>
      <w:r w:rsidR="00CE542A">
        <w:rPr>
          <w:sz w:val="22"/>
          <w:szCs w:val="22"/>
        </w:rPr>
        <w:t>,</w:t>
      </w:r>
      <w:r w:rsidR="0021787A">
        <w:rPr>
          <w:sz w:val="22"/>
          <w:szCs w:val="22"/>
        </w:rPr>
        <w:t xml:space="preserve"> </w:t>
      </w:r>
      <w:r w:rsidR="00CE542A">
        <w:rPr>
          <w:sz w:val="22"/>
          <w:szCs w:val="22"/>
        </w:rPr>
        <w:t>most</w:t>
      </w:r>
      <w:r w:rsidR="00886B25">
        <w:rPr>
          <w:sz w:val="22"/>
          <w:szCs w:val="22"/>
        </w:rPr>
        <w:t xml:space="preserve"> CFIUS denials</w:t>
      </w:r>
      <w:r w:rsidR="001001C3">
        <w:rPr>
          <w:sz w:val="22"/>
          <w:szCs w:val="22"/>
        </w:rPr>
        <w:t xml:space="preserve"> </w:t>
      </w:r>
      <w:r w:rsidR="000409BF">
        <w:rPr>
          <w:sz w:val="22"/>
          <w:szCs w:val="22"/>
        </w:rPr>
        <w:t xml:space="preserve">are </w:t>
      </w:r>
      <w:r w:rsidR="00D2669F">
        <w:rPr>
          <w:sz w:val="22"/>
          <w:szCs w:val="22"/>
        </w:rPr>
        <w:t>issued to</w:t>
      </w:r>
      <w:r w:rsidR="00701EA6">
        <w:rPr>
          <w:sz w:val="22"/>
          <w:szCs w:val="22"/>
        </w:rPr>
        <w:t xml:space="preserve"> Chinese acquirer</w:t>
      </w:r>
      <w:r w:rsidR="006E64E3">
        <w:rPr>
          <w:sz w:val="22"/>
          <w:szCs w:val="22"/>
        </w:rPr>
        <w:t>s</w:t>
      </w:r>
      <w:r w:rsidR="0043699D">
        <w:rPr>
          <w:sz w:val="22"/>
          <w:szCs w:val="22"/>
        </w:rPr>
        <w:t xml:space="preserve"> </w:t>
      </w:r>
      <w:r w:rsidR="00CE542A">
        <w:rPr>
          <w:sz w:val="22"/>
          <w:szCs w:val="22"/>
        </w:rPr>
        <w:t xml:space="preserve">(92%) </w:t>
      </w:r>
      <w:r w:rsidR="0043699D">
        <w:rPr>
          <w:sz w:val="22"/>
          <w:szCs w:val="22"/>
        </w:rPr>
        <w:t>and</w:t>
      </w:r>
      <w:r w:rsidR="00701EA6">
        <w:rPr>
          <w:sz w:val="22"/>
          <w:szCs w:val="22"/>
        </w:rPr>
        <w:t xml:space="preserve"> </w:t>
      </w:r>
      <w:r w:rsidR="00CE542A">
        <w:rPr>
          <w:sz w:val="22"/>
          <w:szCs w:val="22"/>
        </w:rPr>
        <w:t>involve targets in tech industries</w:t>
      </w:r>
      <w:r w:rsidR="00E95DE1">
        <w:rPr>
          <w:sz w:val="22"/>
          <w:szCs w:val="22"/>
        </w:rPr>
        <w:t>, consistent with threats that such investments pose to national security of the Unite</w:t>
      </w:r>
      <w:r w:rsidR="007B3B5A">
        <w:rPr>
          <w:sz w:val="22"/>
          <w:szCs w:val="22"/>
        </w:rPr>
        <w:t>d</w:t>
      </w:r>
      <w:r w:rsidR="00E95DE1">
        <w:rPr>
          <w:sz w:val="22"/>
          <w:szCs w:val="22"/>
        </w:rPr>
        <w:t xml:space="preserve"> States (Griffin, </w:t>
      </w:r>
      <w:r w:rsidR="00E95DE1">
        <w:rPr>
          <w:sz w:val="22"/>
          <w:szCs w:val="22"/>
        </w:rPr>
        <w:lastRenderedPageBreak/>
        <w:t>2017)</w:t>
      </w:r>
      <w:r w:rsidR="00007BD6">
        <w:rPr>
          <w:sz w:val="22"/>
          <w:szCs w:val="22"/>
        </w:rPr>
        <w:t xml:space="preserve">. </w:t>
      </w:r>
      <w:r w:rsidR="0043699D">
        <w:rPr>
          <w:color w:val="000000"/>
          <w:sz w:val="22"/>
          <w:szCs w:val="22"/>
        </w:rPr>
        <w:t xml:space="preserve">We show that </w:t>
      </w:r>
      <w:r w:rsidR="0043699D" w:rsidRPr="00233992">
        <w:rPr>
          <w:sz w:val="22"/>
          <w:szCs w:val="22"/>
        </w:rPr>
        <w:t xml:space="preserve">CFIUS </w:t>
      </w:r>
      <w:r w:rsidR="00CE542A">
        <w:rPr>
          <w:sz w:val="22"/>
          <w:szCs w:val="22"/>
        </w:rPr>
        <w:t>denials</w:t>
      </w:r>
      <w:r w:rsidR="00CE542A" w:rsidRPr="00233992">
        <w:rPr>
          <w:sz w:val="22"/>
          <w:szCs w:val="22"/>
        </w:rPr>
        <w:t xml:space="preserve"> </w:t>
      </w:r>
      <w:r w:rsidR="0043699D" w:rsidRPr="00233992">
        <w:rPr>
          <w:sz w:val="22"/>
          <w:szCs w:val="22"/>
        </w:rPr>
        <w:t>are</w:t>
      </w:r>
      <w:r w:rsidR="0043699D">
        <w:rPr>
          <w:sz w:val="22"/>
          <w:szCs w:val="22"/>
        </w:rPr>
        <w:t xml:space="preserve"> </w:t>
      </w:r>
      <w:r w:rsidR="00CE542A">
        <w:rPr>
          <w:sz w:val="22"/>
          <w:szCs w:val="22"/>
        </w:rPr>
        <w:t>followed by</w:t>
      </w:r>
      <w:r w:rsidR="0043699D" w:rsidRPr="00233992">
        <w:rPr>
          <w:sz w:val="22"/>
          <w:szCs w:val="22"/>
        </w:rPr>
        <w:t xml:space="preserve"> </w:t>
      </w:r>
      <w:r w:rsidR="002113C8">
        <w:rPr>
          <w:sz w:val="22"/>
          <w:szCs w:val="22"/>
        </w:rPr>
        <w:t xml:space="preserve">a </w:t>
      </w:r>
      <w:r w:rsidR="0043699D" w:rsidRPr="00233992">
        <w:rPr>
          <w:sz w:val="22"/>
          <w:szCs w:val="22"/>
        </w:rPr>
        <w:t>negative m</w:t>
      </w:r>
      <w:r w:rsidR="002113C8">
        <w:rPr>
          <w:sz w:val="22"/>
          <w:szCs w:val="22"/>
        </w:rPr>
        <w:t>arket reaction</w:t>
      </w:r>
      <w:r w:rsidR="0043699D" w:rsidRPr="00233992">
        <w:rPr>
          <w:sz w:val="22"/>
          <w:szCs w:val="22"/>
        </w:rPr>
        <w:t xml:space="preserve"> for firms in industries of the blocked-acquisition targets.</w:t>
      </w:r>
      <w:r w:rsidR="00C47E80">
        <w:rPr>
          <w:sz w:val="22"/>
          <w:szCs w:val="22"/>
        </w:rPr>
        <w:t xml:space="preserve"> </w:t>
      </w:r>
      <w:r w:rsidR="0043699D">
        <w:rPr>
          <w:sz w:val="22"/>
          <w:szCs w:val="22"/>
        </w:rPr>
        <w:t>A</w:t>
      </w:r>
      <w:r w:rsidR="00C021F1">
        <w:rPr>
          <w:sz w:val="22"/>
          <w:szCs w:val="22"/>
        </w:rPr>
        <w:t>fter an acquisition is denied</w:t>
      </w:r>
      <w:r w:rsidR="00EE54E7">
        <w:rPr>
          <w:sz w:val="22"/>
          <w:szCs w:val="22"/>
        </w:rPr>
        <w:t xml:space="preserve"> by CFIUS</w:t>
      </w:r>
      <w:r w:rsidR="00C021F1">
        <w:rPr>
          <w:sz w:val="22"/>
          <w:szCs w:val="22"/>
        </w:rPr>
        <w:t>, there is</w:t>
      </w:r>
      <w:r w:rsidR="00143E32">
        <w:rPr>
          <w:sz w:val="22"/>
          <w:szCs w:val="22"/>
        </w:rPr>
        <w:t xml:space="preserve"> a decrease in </w:t>
      </w:r>
      <w:r w:rsidR="00CE542A">
        <w:rPr>
          <w:sz w:val="22"/>
          <w:szCs w:val="22"/>
        </w:rPr>
        <w:t>foreign takeovers</w:t>
      </w:r>
      <w:r w:rsidR="00C021F1">
        <w:rPr>
          <w:sz w:val="22"/>
          <w:szCs w:val="22"/>
        </w:rPr>
        <w:t xml:space="preserve"> in the target’s industry</w:t>
      </w:r>
      <w:r w:rsidR="00143E32">
        <w:rPr>
          <w:sz w:val="22"/>
          <w:szCs w:val="22"/>
        </w:rPr>
        <w:t xml:space="preserve">, an effect that remains uncompensated by domestic </w:t>
      </w:r>
      <w:r w:rsidR="00A3470F">
        <w:rPr>
          <w:sz w:val="22"/>
          <w:szCs w:val="22"/>
        </w:rPr>
        <w:t xml:space="preserve">buyers </w:t>
      </w:r>
      <w:r w:rsidR="003773CF">
        <w:rPr>
          <w:sz w:val="22"/>
          <w:szCs w:val="22"/>
        </w:rPr>
        <w:t>(for s</w:t>
      </w:r>
      <w:r w:rsidR="00143E32">
        <w:rPr>
          <w:sz w:val="22"/>
          <w:szCs w:val="22"/>
        </w:rPr>
        <w:t xml:space="preserve">imilar </w:t>
      </w:r>
      <w:r w:rsidR="003773CF">
        <w:rPr>
          <w:sz w:val="22"/>
          <w:szCs w:val="22"/>
        </w:rPr>
        <w:t>results after</w:t>
      </w:r>
      <w:r w:rsidR="00143E32">
        <w:rPr>
          <w:sz w:val="22"/>
          <w:szCs w:val="22"/>
        </w:rPr>
        <w:t xml:space="preserve"> </w:t>
      </w:r>
      <w:r w:rsidR="00CE542A">
        <w:rPr>
          <w:sz w:val="22"/>
          <w:szCs w:val="22"/>
        </w:rPr>
        <w:t xml:space="preserve">the </w:t>
      </w:r>
      <w:r w:rsidR="00143E32">
        <w:rPr>
          <w:sz w:val="22"/>
          <w:szCs w:val="22"/>
        </w:rPr>
        <w:t xml:space="preserve">introduction of national security </w:t>
      </w:r>
      <w:r w:rsidR="00CE542A">
        <w:rPr>
          <w:sz w:val="22"/>
          <w:szCs w:val="22"/>
        </w:rPr>
        <w:t>policies</w:t>
      </w:r>
      <w:r w:rsidR="00143E32">
        <w:rPr>
          <w:sz w:val="22"/>
          <w:szCs w:val="22"/>
        </w:rPr>
        <w:t xml:space="preserve"> see </w:t>
      </w:r>
      <w:r w:rsidR="00143E32" w:rsidRPr="00D22465">
        <w:rPr>
          <w:rFonts w:eastAsiaTheme="minorHAnsi"/>
          <w:sz w:val="22"/>
          <w:szCs w:val="22"/>
          <w:lang w:eastAsia="en-US"/>
        </w:rPr>
        <w:t xml:space="preserve">Frattaroli, 2020; </w:t>
      </w:r>
      <w:r w:rsidR="00143E32" w:rsidRPr="00803710">
        <w:rPr>
          <w:sz w:val="22"/>
          <w:szCs w:val="22"/>
        </w:rPr>
        <w:t>Godsell</w:t>
      </w:r>
      <w:r w:rsidR="009825E9">
        <w:rPr>
          <w:sz w:val="22"/>
          <w:szCs w:val="22"/>
        </w:rPr>
        <w:t xml:space="preserve">, </w:t>
      </w:r>
      <w:r w:rsidR="009825E9" w:rsidRPr="009825E9">
        <w:rPr>
          <w:sz w:val="22"/>
          <w:szCs w:val="22"/>
        </w:rPr>
        <w:t>Lel,</w:t>
      </w:r>
      <w:r w:rsidR="009825E9">
        <w:rPr>
          <w:sz w:val="22"/>
          <w:szCs w:val="22"/>
        </w:rPr>
        <w:t xml:space="preserve"> </w:t>
      </w:r>
      <w:r w:rsidR="009825E9" w:rsidRPr="00D22465">
        <w:rPr>
          <w:rFonts w:eastAsiaTheme="minorHAnsi"/>
          <w:sz w:val="22"/>
          <w:szCs w:val="22"/>
          <w:lang w:eastAsia="en-US"/>
        </w:rPr>
        <w:t xml:space="preserve">&amp; </w:t>
      </w:r>
      <w:r w:rsidR="009825E9" w:rsidRPr="009825E9">
        <w:rPr>
          <w:sz w:val="22"/>
          <w:szCs w:val="22"/>
        </w:rPr>
        <w:t>Miller</w:t>
      </w:r>
      <w:r w:rsidR="00143E32" w:rsidRPr="00803710">
        <w:rPr>
          <w:sz w:val="22"/>
          <w:szCs w:val="22"/>
        </w:rPr>
        <w:t>, 2023</w:t>
      </w:r>
      <w:r w:rsidR="00143E32">
        <w:rPr>
          <w:sz w:val="22"/>
          <w:szCs w:val="22"/>
        </w:rPr>
        <w:t>).</w:t>
      </w:r>
      <w:r w:rsidR="002034C1" w:rsidRPr="00233992">
        <w:rPr>
          <w:rStyle w:val="Appelnotedebasdep"/>
          <w:color w:val="000000"/>
          <w:sz w:val="22"/>
          <w:szCs w:val="22"/>
        </w:rPr>
        <w:footnoteReference w:id="3"/>
      </w:r>
      <w:r w:rsidR="002034C1">
        <w:rPr>
          <w:color w:val="000000"/>
          <w:sz w:val="22"/>
          <w:szCs w:val="22"/>
        </w:rPr>
        <w:t xml:space="preserve"> </w:t>
      </w:r>
    </w:p>
    <w:p w14:paraId="33009469" w14:textId="2B2804E2" w:rsidR="00A3470F" w:rsidRDefault="00C47E80" w:rsidP="00D47BCE">
      <w:pPr>
        <w:spacing w:line="480" w:lineRule="auto"/>
        <w:ind w:firstLine="720"/>
        <w:jc w:val="both"/>
        <w:rPr>
          <w:sz w:val="22"/>
          <w:szCs w:val="22"/>
        </w:rPr>
      </w:pPr>
      <w:r>
        <w:rPr>
          <w:sz w:val="22"/>
          <w:szCs w:val="22"/>
        </w:rPr>
        <w:t xml:space="preserve">Second, we </w:t>
      </w:r>
      <w:r w:rsidR="00CE542A">
        <w:rPr>
          <w:sz w:val="22"/>
          <w:szCs w:val="22"/>
        </w:rPr>
        <w:t>examine how</w:t>
      </w:r>
      <w:r>
        <w:rPr>
          <w:sz w:val="22"/>
          <w:szCs w:val="22"/>
        </w:rPr>
        <w:t xml:space="preserve"> CFIUS denials </w:t>
      </w:r>
      <w:r w:rsidR="00CE542A">
        <w:rPr>
          <w:sz w:val="22"/>
          <w:szCs w:val="22"/>
        </w:rPr>
        <w:t xml:space="preserve">of regulatory approval affect </w:t>
      </w:r>
      <w:r>
        <w:rPr>
          <w:sz w:val="22"/>
          <w:szCs w:val="22"/>
        </w:rPr>
        <w:t xml:space="preserve">corporate investment. </w:t>
      </w:r>
      <w:r w:rsidR="0043699D">
        <w:rPr>
          <w:sz w:val="22"/>
          <w:szCs w:val="22"/>
        </w:rPr>
        <w:t>A</w:t>
      </w:r>
      <w:r w:rsidR="00B30011" w:rsidRPr="00D22465">
        <w:rPr>
          <w:sz w:val="22"/>
          <w:szCs w:val="22"/>
        </w:rPr>
        <w:t>lthough</w:t>
      </w:r>
      <w:r w:rsidR="00B30011">
        <w:rPr>
          <w:sz w:val="22"/>
          <w:szCs w:val="22"/>
        </w:rPr>
        <w:t xml:space="preserve"> CFIUS denials</w:t>
      </w:r>
      <w:r w:rsidR="00B30011" w:rsidRPr="00803710">
        <w:rPr>
          <w:sz w:val="22"/>
          <w:szCs w:val="22"/>
        </w:rPr>
        <w:t xml:space="preserve"> </w:t>
      </w:r>
      <w:r w:rsidR="00B30011" w:rsidRPr="00D22465">
        <w:rPr>
          <w:sz w:val="22"/>
          <w:szCs w:val="22"/>
        </w:rPr>
        <w:t>protect critical assets from foreign hands</w:t>
      </w:r>
      <w:r w:rsidR="00B30011">
        <w:rPr>
          <w:sz w:val="22"/>
          <w:szCs w:val="22"/>
        </w:rPr>
        <w:t xml:space="preserve">, </w:t>
      </w:r>
      <w:r w:rsidR="005A396B">
        <w:rPr>
          <w:sz w:val="22"/>
          <w:szCs w:val="22"/>
        </w:rPr>
        <w:t>they</w:t>
      </w:r>
      <w:r w:rsidR="00F77FB2">
        <w:rPr>
          <w:sz w:val="22"/>
          <w:szCs w:val="22"/>
        </w:rPr>
        <w:t xml:space="preserve"> also</w:t>
      </w:r>
      <w:r w:rsidR="005A396B">
        <w:rPr>
          <w:sz w:val="22"/>
          <w:szCs w:val="22"/>
        </w:rPr>
        <w:t xml:space="preserve"> risk</w:t>
      </w:r>
      <w:r w:rsidR="00B30011">
        <w:rPr>
          <w:sz w:val="22"/>
          <w:szCs w:val="22"/>
        </w:rPr>
        <w:t xml:space="preserve"> </w:t>
      </w:r>
      <w:r w:rsidR="00B30011" w:rsidRPr="00D22465">
        <w:rPr>
          <w:sz w:val="22"/>
          <w:szCs w:val="22"/>
        </w:rPr>
        <w:t xml:space="preserve">hampering </w:t>
      </w:r>
      <w:r w:rsidR="00986870">
        <w:rPr>
          <w:sz w:val="22"/>
          <w:szCs w:val="22"/>
        </w:rPr>
        <w:t xml:space="preserve">corporate </w:t>
      </w:r>
      <w:r w:rsidR="00B30011" w:rsidRPr="00D22465">
        <w:rPr>
          <w:sz w:val="22"/>
          <w:szCs w:val="22"/>
        </w:rPr>
        <w:t xml:space="preserve">investment </w:t>
      </w:r>
      <w:r w:rsidR="00AC0336">
        <w:rPr>
          <w:sz w:val="22"/>
          <w:szCs w:val="22"/>
        </w:rPr>
        <w:t>among the firms</w:t>
      </w:r>
      <w:r w:rsidR="00B30011" w:rsidRPr="00D22465">
        <w:rPr>
          <w:sz w:val="22"/>
          <w:szCs w:val="22"/>
        </w:rPr>
        <w:t xml:space="preserve"> they aim to protect</w:t>
      </w:r>
      <w:r w:rsidR="00087279">
        <w:rPr>
          <w:sz w:val="22"/>
          <w:szCs w:val="22"/>
        </w:rPr>
        <w:t>.</w:t>
      </w:r>
      <w:r w:rsidR="00B30011">
        <w:rPr>
          <w:sz w:val="22"/>
          <w:szCs w:val="22"/>
        </w:rPr>
        <w:t xml:space="preserve"> </w:t>
      </w:r>
      <w:r w:rsidR="00210FDE">
        <w:rPr>
          <w:sz w:val="22"/>
          <w:szCs w:val="22"/>
        </w:rPr>
        <w:t xml:space="preserve">This is because </w:t>
      </w:r>
      <w:r w:rsidR="00094A11" w:rsidRPr="00D22465">
        <w:rPr>
          <w:rFonts w:eastAsiaTheme="minorHAnsi"/>
          <w:sz w:val="22"/>
          <w:szCs w:val="22"/>
          <w:lang w:eastAsia="en-US"/>
        </w:rPr>
        <w:t>r</w:t>
      </w:r>
      <w:r w:rsidR="00094A11" w:rsidRPr="00D22465">
        <w:rPr>
          <w:sz w:val="22"/>
          <w:szCs w:val="22"/>
        </w:rPr>
        <w:t>estrictions on access to capital</w:t>
      </w:r>
      <w:r w:rsidR="00094A11" w:rsidRPr="00D22465">
        <w:rPr>
          <w:rFonts w:eastAsiaTheme="minorHAnsi"/>
          <w:sz w:val="22"/>
          <w:szCs w:val="22"/>
          <w:lang w:eastAsia="en-US"/>
        </w:rPr>
        <w:t xml:space="preserve"> constrict funding opportunities (Hoberg &amp; Maksimovic, 2015; Frattaroli, 2020; Santioni, Schiantarelli, &amp; Strahan, 2020), </w:t>
      </w:r>
      <w:r w:rsidR="00094A11" w:rsidRPr="00D22465">
        <w:rPr>
          <w:sz w:val="22"/>
          <w:szCs w:val="22"/>
        </w:rPr>
        <w:t xml:space="preserve">increase the cost of capital (Forbes, 2007; Alfaro, Chari, </w:t>
      </w:r>
      <w:r w:rsidR="00094A11" w:rsidRPr="00D22465">
        <w:rPr>
          <w:rFonts w:eastAsiaTheme="minorHAnsi"/>
          <w:sz w:val="22"/>
          <w:szCs w:val="22"/>
          <w:lang w:eastAsia="en-US"/>
        </w:rPr>
        <w:t xml:space="preserve">&amp; </w:t>
      </w:r>
      <w:r w:rsidR="00094A11" w:rsidRPr="00D22465">
        <w:rPr>
          <w:sz w:val="22"/>
          <w:szCs w:val="22"/>
        </w:rPr>
        <w:t>Kanczuk, 2017)</w:t>
      </w:r>
      <w:r w:rsidR="00574A7C">
        <w:rPr>
          <w:sz w:val="22"/>
          <w:szCs w:val="22"/>
        </w:rPr>
        <w:t>,</w:t>
      </w:r>
      <w:r w:rsidR="00094A11" w:rsidRPr="00D22465">
        <w:rPr>
          <w:sz w:val="22"/>
          <w:szCs w:val="22"/>
        </w:rPr>
        <w:t xml:space="preserve"> and reduce real activities such as corporate investment (</w:t>
      </w:r>
      <w:r w:rsidR="00094A11" w:rsidRPr="00D22465">
        <w:rPr>
          <w:color w:val="000000"/>
          <w:sz w:val="22"/>
          <w:szCs w:val="22"/>
        </w:rPr>
        <w:t xml:space="preserve">Rauh, 2006; Almeida </w:t>
      </w:r>
      <w:r w:rsidR="00094A11" w:rsidRPr="00D22465">
        <w:rPr>
          <w:rFonts w:eastAsiaTheme="minorHAnsi"/>
          <w:sz w:val="22"/>
          <w:szCs w:val="22"/>
          <w:lang w:eastAsia="en-US"/>
        </w:rPr>
        <w:t xml:space="preserve">&amp; </w:t>
      </w:r>
      <w:r w:rsidR="00094A11" w:rsidRPr="00D22465">
        <w:rPr>
          <w:color w:val="000000"/>
          <w:sz w:val="22"/>
          <w:szCs w:val="22"/>
        </w:rPr>
        <w:t xml:space="preserve">Campello, 2007; Campbell, Dhaliwal, </w:t>
      </w:r>
      <w:r w:rsidR="00094A11" w:rsidRPr="00D22465">
        <w:rPr>
          <w:rFonts w:eastAsiaTheme="minorHAnsi"/>
          <w:sz w:val="22"/>
          <w:szCs w:val="22"/>
          <w:lang w:eastAsia="en-US"/>
        </w:rPr>
        <w:t xml:space="preserve">&amp; </w:t>
      </w:r>
      <w:r w:rsidR="00094A11" w:rsidRPr="00D22465">
        <w:rPr>
          <w:color w:val="000000"/>
          <w:sz w:val="22"/>
          <w:szCs w:val="22"/>
        </w:rPr>
        <w:t>Schwartz, 2012).</w:t>
      </w:r>
      <w:r w:rsidR="0079762E">
        <w:rPr>
          <w:color w:val="000000"/>
          <w:sz w:val="22"/>
          <w:szCs w:val="22"/>
        </w:rPr>
        <w:t xml:space="preserve"> </w:t>
      </w:r>
      <w:r w:rsidR="00584800" w:rsidRPr="00233992">
        <w:rPr>
          <w:sz w:val="22"/>
          <w:szCs w:val="22"/>
        </w:rPr>
        <w:t xml:space="preserve">CFIUS </w:t>
      </w:r>
      <w:r w:rsidR="00A3470F">
        <w:rPr>
          <w:sz w:val="22"/>
          <w:szCs w:val="22"/>
        </w:rPr>
        <w:t xml:space="preserve">denials </w:t>
      </w:r>
      <w:r w:rsidR="005B2617" w:rsidRPr="00233992">
        <w:rPr>
          <w:sz w:val="22"/>
          <w:szCs w:val="22"/>
        </w:rPr>
        <w:t>impose restrictions on access to capital</w:t>
      </w:r>
      <w:r w:rsidR="00D62D9E" w:rsidRPr="00233992">
        <w:rPr>
          <w:sz w:val="22"/>
          <w:szCs w:val="22"/>
        </w:rPr>
        <w:t xml:space="preserve"> </w:t>
      </w:r>
      <w:r w:rsidR="00C847F7" w:rsidRPr="00233992">
        <w:rPr>
          <w:sz w:val="22"/>
          <w:szCs w:val="22"/>
        </w:rPr>
        <w:t xml:space="preserve">that </w:t>
      </w:r>
      <w:r w:rsidR="00584800" w:rsidRPr="00233992">
        <w:rPr>
          <w:sz w:val="22"/>
          <w:szCs w:val="22"/>
        </w:rPr>
        <w:t xml:space="preserve">deter foreign </w:t>
      </w:r>
      <w:r w:rsidR="00F66B25" w:rsidRPr="00233992">
        <w:rPr>
          <w:sz w:val="22"/>
          <w:szCs w:val="22"/>
        </w:rPr>
        <w:t>takeovers</w:t>
      </w:r>
      <w:r w:rsidR="00584800" w:rsidRPr="00233992">
        <w:rPr>
          <w:sz w:val="22"/>
          <w:szCs w:val="22"/>
        </w:rPr>
        <w:t xml:space="preserve"> of similar firms</w:t>
      </w:r>
      <w:r w:rsidR="00486306" w:rsidRPr="00233992">
        <w:rPr>
          <w:sz w:val="22"/>
          <w:szCs w:val="22"/>
        </w:rPr>
        <w:t>, reduce equity values,</w:t>
      </w:r>
      <w:r w:rsidR="009346C6" w:rsidRPr="00233992">
        <w:rPr>
          <w:sz w:val="22"/>
          <w:szCs w:val="22"/>
        </w:rPr>
        <w:t xml:space="preserve"> and consequently </w:t>
      </w:r>
      <w:r w:rsidR="00A3470F">
        <w:rPr>
          <w:sz w:val="22"/>
          <w:szCs w:val="22"/>
        </w:rPr>
        <w:t>are deemed to decrease</w:t>
      </w:r>
      <w:r w:rsidR="00A3470F" w:rsidRPr="00233992">
        <w:rPr>
          <w:sz w:val="22"/>
          <w:szCs w:val="22"/>
        </w:rPr>
        <w:t xml:space="preserve"> </w:t>
      </w:r>
      <w:r w:rsidR="001D27F6" w:rsidRPr="00233992">
        <w:rPr>
          <w:sz w:val="22"/>
          <w:szCs w:val="22"/>
        </w:rPr>
        <w:t>corporate</w:t>
      </w:r>
      <w:r w:rsidR="009346C6" w:rsidRPr="00233992">
        <w:rPr>
          <w:sz w:val="22"/>
          <w:szCs w:val="22"/>
        </w:rPr>
        <w:t xml:space="preserve"> investment</w:t>
      </w:r>
      <w:r w:rsidR="00B30011">
        <w:rPr>
          <w:sz w:val="22"/>
          <w:szCs w:val="22"/>
        </w:rPr>
        <w:t xml:space="preserve"> </w:t>
      </w:r>
      <w:r w:rsidR="00A3470F" w:rsidRPr="00A3470F">
        <w:rPr>
          <w:sz w:val="22"/>
          <w:szCs w:val="22"/>
        </w:rPr>
        <w:t>in industries of the blocked-acquisition targets</w:t>
      </w:r>
      <w:r w:rsidR="00B30011">
        <w:rPr>
          <w:sz w:val="22"/>
          <w:szCs w:val="22"/>
        </w:rPr>
        <w:t xml:space="preserve">. </w:t>
      </w:r>
    </w:p>
    <w:p w14:paraId="3D05D4A9" w14:textId="53BA3883" w:rsidR="00717C9F" w:rsidRPr="00233992" w:rsidRDefault="00E90F9B" w:rsidP="00D47BCE">
      <w:pPr>
        <w:spacing w:line="480" w:lineRule="auto"/>
        <w:ind w:firstLine="720"/>
        <w:jc w:val="both"/>
        <w:rPr>
          <w:rFonts w:eastAsiaTheme="minorHAnsi"/>
          <w:sz w:val="22"/>
          <w:szCs w:val="22"/>
          <w:lang w:eastAsia="en-US"/>
        </w:rPr>
      </w:pPr>
      <w:r w:rsidRPr="00D47BCE">
        <w:rPr>
          <w:sz w:val="22"/>
          <w:szCs w:val="22"/>
        </w:rPr>
        <w:t>Using CFIUS</w:t>
      </w:r>
      <w:r>
        <w:rPr>
          <w:rFonts w:eastAsiaTheme="minorHAnsi"/>
          <w:sz w:val="22"/>
          <w:szCs w:val="22"/>
          <w:lang w:eastAsia="en-US"/>
        </w:rPr>
        <w:t xml:space="preserve"> </w:t>
      </w:r>
      <w:r w:rsidR="00A3470F">
        <w:rPr>
          <w:rFonts w:eastAsiaTheme="minorHAnsi"/>
          <w:sz w:val="22"/>
          <w:szCs w:val="22"/>
          <w:lang w:eastAsia="en-US"/>
        </w:rPr>
        <w:t>denials of regulatory approval</w:t>
      </w:r>
      <w:r w:rsidR="00477C0A">
        <w:rPr>
          <w:rFonts w:eastAsiaTheme="minorHAnsi"/>
          <w:sz w:val="22"/>
          <w:szCs w:val="22"/>
          <w:lang w:eastAsia="en-US"/>
        </w:rPr>
        <w:t xml:space="preserve"> rather than </w:t>
      </w:r>
      <w:r w:rsidR="006B2138">
        <w:rPr>
          <w:rFonts w:eastAsiaTheme="minorHAnsi"/>
          <w:sz w:val="22"/>
          <w:szCs w:val="22"/>
          <w:lang w:eastAsia="en-US"/>
        </w:rPr>
        <w:t>the introduction of FINSA</w:t>
      </w:r>
      <w:r w:rsidR="002113C8">
        <w:rPr>
          <w:rFonts w:eastAsiaTheme="minorHAnsi"/>
          <w:sz w:val="22"/>
          <w:szCs w:val="22"/>
          <w:lang w:eastAsia="en-US"/>
        </w:rPr>
        <w:t>,</w:t>
      </w:r>
      <w:r w:rsidR="00907287">
        <w:rPr>
          <w:rFonts w:eastAsiaTheme="minorHAnsi"/>
          <w:sz w:val="22"/>
          <w:szCs w:val="22"/>
          <w:lang w:eastAsia="en-US"/>
        </w:rPr>
        <w:t xml:space="preserve"> </w:t>
      </w:r>
      <w:r w:rsidR="006F3BCB">
        <w:rPr>
          <w:rFonts w:eastAsiaTheme="minorHAnsi"/>
          <w:sz w:val="22"/>
          <w:szCs w:val="22"/>
          <w:lang w:eastAsia="en-US"/>
        </w:rPr>
        <w:t>which preceded them</w:t>
      </w:r>
      <w:r w:rsidR="002113C8">
        <w:rPr>
          <w:rFonts w:eastAsiaTheme="minorHAnsi"/>
          <w:sz w:val="22"/>
          <w:szCs w:val="22"/>
          <w:lang w:eastAsia="en-US"/>
        </w:rPr>
        <w:t>,</w:t>
      </w:r>
      <w:r w:rsidR="00907287">
        <w:rPr>
          <w:rFonts w:eastAsiaTheme="minorHAnsi"/>
          <w:sz w:val="22"/>
          <w:szCs w:val="22"/>
          <w:lang w:eastAsia="en-US"/>
        </w:rPr>
        <w:t xml:space="preserve"> or</w:t>
      </w:r>
      <w:r w:rsidR="00A3470F">
        <w:rPr>
          <w:rFonts w:eastAsiaTheme="minorHAnsi"/>
          <w:sz w:val="22"/>
          <w:szCs w:val="22"/>
          <w:lang w:eastAsia="en-US"/>
        </w:rPr>
        <w:t xml:space="preserve"> of</w:t>
      </w:r>
      <w:r w:rsidR="00907287">
        <w:rPr>
          <w:rFonts w:eastAsiaTheme="minorHAnsi"/>
          <w:sz w:val="22"/>
          <w:szCs w:val="22"/>
          <w:lang w:eastAsia="en-US"/>
        </w:rPr>
        <w:t xml:space="preserve"> FIRRMA</w:t>
      </w:r>
      <w:r w:rsidR="002113C8">
        <w:rPr>
          <w:rFonts w:eastAsiaTheme="minorHAnsi"/>
          <w:sz w:val="22"/>
          <w:szCs w:val="22"/>
          <w:lang w:eastAsia="en-US"/>
        </w:rPr>
        <w:t>,</w:t>
      </w:r>
      <w:r w:rsidR="00907287">
        <w:rPr>
          <w:rFonts w:eastAsiaTheme="minorHAnsi"/>
          <w:sz w:val="22"/>
          <w:szCs w:val="22"/>
          <w:lang w:eastAsia="en-US"/>
        </w:rPr>
        <w:t xml:space="preserve"> </w:t>
      </w:r>
      <w:r w:rsidR="002113C8">
        <w:rPr>
          <w:rFonts w:eastAsiaTheme="minorHAnsi"/>
          <w:sz w:val="22"/>
          <w:szCs w:val="22"/>
          <w:lang w:eastAsia="en-US"/>
        </w:rPr>
        <w:t>which</w:t>
      </w:r>
      <w:r w:rsidR="00907287">
        <w:rPr>
          <w:rFonts w:eastAsiaTheme="minorHAnsi"/>
          <w:sz w:val="22"/>
          <w:szCs w:val="22"/>
          <w:lang w:eastAsia="en-US"/>
        </w:rPr>
        <w:t xml:space="preserve"> followed them</w:t>
      </w:r>
      <w:r w:rsidR="00236492">
        <w:rPr>
          <w:rFonts w:eastAsiaTheme="minorHAnsi"/>
          <w:sz w:val="22"/>
          <w:szCs w:val="22"/>
          <w:lang w:eastAsia="en-US"/>
        </w:rPr>
        <w:t>,</w:t>
      </w:r>
      <w:r w:rsidR="006F3BCB">
        <w:rPr>
          <w:rFonts w:eastAsiaTheme="minorHAnsi"/>
          <w:sz w:val="22"/>
          <w:szCs w:val="22"/>
          <w:lang w:eastAsia="en-US"/>
        </w:rPr>
        <w:t xml:space="preserve"> </w:t>
      </w:r>
      <w:r>
        <w:rPr>
          <w:rFonts w:eastAsiaTheme="minorHAnsi"/>
          <w:sz w:val="22"/>
          <w:szCs w:val="22"/>
          <w:lang w:eastAsia="en-US"/>
        </w:rPr>
        <w:t xml:space="preserve">allows us </w:t>
      </w:r>
      <w:r w:rsidR="003B304B">
        <w:rPr>
          <w:rFonts w:eastAsiaTheme="minorHAnsi"/>
          <w:sz w:val="22"/>
          <w:szCs w:val="22"/>
          <w:lang w:eastAsia="en-US"/>
        </w:rPr>
        <w:t>to avoid</w:t>
      </w:r>
      <w:r w:rsidR="006B2138">
        <w:rPr>
          <w:rFonts w:eastAsiaTheme="minorHAnsi"/>
          <w:sz w:val="22"/>
          <w:szCs w:val="22"/>
          <w:lang w:eastAsia="en-US"/>
        </w:rPr>
        <w:t xml:space="preserve"> confounding effects</w:t>
      </w:r>
      <w:r w:rsidR="00236492">
        <w:rPr>
          <w:rFonts w:eastAsiaTheme="minorHAnsi"/>
          <w:sz w:val="22"/>
          <w:szCs w:val="22"/>
          <w:lang w:eastAsia="en-US"/>
        </w:rPr>
        <w:t xml:space="preserve"> of other concurrent events that could</w:t>
      </w:r>
      <w:r w:rsidR="00907287">
        <w:rPr>
          <w:rFonts w:eastAsiaTheme="minorHAnsi"/>
          <w:sz w:val="22"/>
          <w:szCs w:val="22"/>
          <w:lang w:eastAsia="en-US"/>
        </w:rPr>
        <w:t xml:space="preserve"> </w:t>
      </w:r>
      <w:r w:rsidR="00236492">
        <w:rPr>
          <w:rFonts w:eastAsiaTheme="minorHAnsi"/>
          <w:sz w:val="22"/>
          <w:szCs w:val="22"/>
          <w:lang w:eastAsia="en-US"/>
        </w:rPr>
        <w:t>bias</w:t>
      </w:r>
      <w:r w:rsidR="00907287">
        <w:rPr>
          <w:rFonts w:eastAsiaTheme="minorHAnsi"/>
          <w:sz w:val="22"/>
          <w:szCs w:val="22"/>
          <w:lang w:eastAsia="en-US"/>
        </w:rPr>
        <w:t xml:space="preserve"> our results</w:t>
      </w:r>
      <w:r w:rsidR="00236492">
        <w:rPr>
          <w:rFonts w:eastAsiaTheme="minorHAnsi"/>
          <w:sz w:val="22"/>
          <w:szCs w:val="22"/>
          <w:lang w:eastAsia="en-US"/>
        </w:rPr>
        <w:t>.</w:t>
      </w:r>
      <w:r w:rsidR="00907287">
        <w:rPr>
          <w:rFonts w:eastAsiaTheme="minorHAnsi"/>
          <w:sz w:val="22"/>
          <w:szCs w:val="22"/>
          <w:lang w:eastAsia="en-US"/>
        </w:rPr>
        <w:t xml:space="preserve"> </w:t>
      </w:r>
      <w:r w:rsidR="00236492">
        <w:rPr>
          <w:rFonts w:eastAsiaTheme="minorHAnsi"/>
          <w:sz w:val="22"/>
          <w:szCs w:val="22"/>
          <w:lang w:eastAsia="en-US"/>
        </w:rPr>
        <w:t>N</w:t>
      </w:r>
      <w:r w:rsidR="00907287">
        <w:rPr>
          <w:rFonts w:eastAsiaTheme="minorHAnsi"/>
          <w:sz w:val="22"/>
          <w:szCs w:val="22"/>
          <w:lang w:eastAsia="en-US"/>
        </w:rPr>
        <w:t>otably</w:t>
      </w:r>
      <w:r w:rsidR="00236492">
        <w:rPr>
          <w:rFonts w:eastAsiaTheme="minorHAnsi"/>
          <w:sz w:val="22"/>
          <w:szCs w:val="22"/>
          <w:lang w:eastAsia="en-US"/>
        </w:rPr>
        <w:t>,</w:t>
      </w:r>
      <w:r w:rsidR="00907287">
        <w:rPr>
          <w:rFonts w:eastAsiaTheme="minorHAnsi"/>
          <w:sz w:val="22"/>
          <w:szCs w:val="22"/>
          <w:lang w:eastAsia="en-US"/>
        </w:rPr>
        <w:t xml:space="preserve"> </w:t>
      </w:r>
      <w:r w:rsidR="006B2138">
        <w:rPr>
          <w:rFonts w:eastAsiaTheme="minorHAnsi"/>
          <w:sz w:val="22"/>
          <w:szCs w:val="22"/>
          <w:lang w:eastAsia="en-US"/>
        </w:rPr>
        <w:t>the financial crisis</w:t>
      </w:r>
      <w:r w:rsidR="00907287">
        <w:rPr>
          <w:rFonts w:eastAsiaTheme="minorHAnsi"/>
          <w:sz w:val="22"/>
          <w:szCs w:val="22"/>
          <w:lang w:eastAsia="en-US"/>
        </w:rPr>
        <w:t xml:space="preserve"> </w:t>
      </w:r>
      <w:r w:rsidR="00B263D3">
        <w:rPr>
          <w:rFonts w:eastAsiaTheme="minorHAnsi"/>
          <w:sz w:val="22"/>
          <w:szCs w:val="22"/>
          <w:lang w:eastAsia="en-US"/>
        </w:rPr>
        <w:t xml:space="preserve">of 2008 </w:t>
      </w:r>
      <w:r w:rsidR="00236492">
        <w:rPr>
          <w:rFonts w:eastAsiaTheme="minorHAnsi"/>
          <w:sz w:val="22"/>
          <w:szCs w:val="22"/>
          <w:lang w:eastAsia="en-US"/>
        </w:rPr>
        <w:t>occurred when</w:t>
      </w:r>
      <w:r w:rsidR="00907287">
        <w:rPr>
          <w:rFonts w:eastAsiaTheme="minorHAnsi"/>
          <w:sz w:val="22"/>
          <w:szCs w:val="22"/>
          <w:lang w:eastAsia="en-US"/>
        </w:rPr>
        <w:t xml:space="preserve"> FINSA</w:t>
      </w:r>
      <w:r w:rsidR="00236492">
        <w:rPr>
          <w:rFonts w:eastAsiaTheme="minorHAnsi"/>
          <w:sz w:val="22"/>
          <w:szCs w:val="22"/>
          <w:lang w:eastAsia="en-US"/>
        </w:rPr>
        <w:t xml:space="preserve"> was </w:t>
      </w:r>
      <w:r w:rsidR="003B304B">
        <w:rPr>
          <w:rFonts w:eastAsiaTheme="minorHAnsi"/>
          <w:sz w:val="22"/>
          <w:szCs w:val="22"/>
          <w:lang w:eastAsia="en-US"/>
        </w:rPr>
        <w:t>introduced,</w:t>
      </w:r>
      <w:r w:rsidR="00907287">
        <w:rPr>
          <w:rFonts w:eastAsiaTheme="minorHAnsi"/>
          <w:sz w:val="22"/>
          <w:szCs w:val="22"/>
          <w:lang w:eastAsia="en-US"/>
        </w:rPr>
        <w:t xml:space="preserve"> and </w:t>
      </w:r>
      <w:r w:rsidR="00896822">
        <w:rPr>
          <w:rFonts w:eastAsiaTheme="minorHAnsi"/>
          <w:sz w:val="22"/>
          <w:szCs w:val="22"/>
          <w:lang w:eastAsia="en-US"/>
        </w:rPr>
        <w:t>C</w:t>
      </w:r>
      <w:r w:rsidR="00B263D3">
        <w:rPr>
          <w:rFonts w:eastAsiaTheme="minorHAnsi"/>
          <w:sz w:val="22"/>
          <w:szCs w:val="22"/>
          <w:lang w:eastAsia="en-US"/>
        </w:rPr>
        <w:t>ovid</w:t>
      </w:r>
      <w:r w:rsidR="00907287">
        <w:rPr>
          <w:rFonts w:eastAsiaTheme="minorHAnsi"/>
          <w:sz w:val="22"/>
          <w:szCs w:val="22"/>
          <w:lang w:eastAsia="en-US"/>
        </w:rPr>
        <w:t>-19</w:t>
      </w:r>
      <w:r w:rsidR="00B263D3">
        <w:rPr>
          <w:rFonts w:eastAsiaTheme="minorHAnsi"/>
          <w:sz w:val="22"/>
          <w:szCs w:val="22"/>
          <w:lang w:eastAsia="en-US"/>
        </w:rPr>
        <w:t xml:space="preserve"> pandemic</w:t>
      </w:r>
      <w:r w:rsidR="00907287">
        <w:rPr>
          <w:rFonts w:eastAsiaTheme="minorHAnsi"/>
          <w:sz w:val="22"/>
          <w:szCs w:val="22"/>
          <w:lang w:eastAsia="en-US"/>
        </w:rPr>
        <w:t xml:space="preserve"> </w:t>
      </w:r>
      <w:r w:rsidR="00236492">
        <w:rPr>
          <w:rFonts w:eastAsiaTheme="minorHAnsi"/>
          <w:sz w:val="22"/>
          <w:szCs w:val="22"/>
          <w:lang w:eastAsia="en-US"/>
        </w:rPr>
        <w:t xml:space="preserve">happened </w:t>
      </w:r>
      <w:r w:rsidR="00B263D3">
        <w:rPr>
          <w:rFonts w:eastAsiaTheme="minorHAnsi"/>
          <w:sz w:val="22"/>
          <w:szCs w:val="22"/>
          <w:lang w:eastAsia="en-US"/>
        </w:rPr>
        <w:t>when</w:t>
      </w:r>
      <w:r w:rsidR="00907287">
        <w:rPr>
          <w:rFonts w:eastAsiaTheme="minorHAnsi"/>
          <w:sz w:val="22"/>
          <w:szCs w:val="22"/>
          <w:lang w:eastAsia="en-US"/>
        </w:rPr>
        <w:t xml:space="preserve"> FIRRMA</w:t>
      </w:r>
      <w:r w:rsidR="00236492">
        <w:rPr>
          <w:rFonts w:eastAsiaTheme="minorHAnsi"/>
          <w:sz w:val="22"/>
          <w:szCs w:val="22"/>
          <w:lang w:eastAsia="en-US"/>
        </w:rPr>
        <w:t xml:space="preserve"> went into effect.</w:t>
      </w:r>
      <w:r w:rsidR="006B2138">
        <w:rPr>
          <w:rFonts w:eastAsiaTheme="minorHAnsi"/>
          <w:sz w:val="22"/>
          <w:szCs w:val="22"/>
          <w:lang w:eastAsia="en-US"/>
        </w:rPr>
        <w:t xml:space="preserve"> </w:t>
      </w:r>
      <w:r w:rsidR="00B263D3">
        <w:rPr>
          <w:rFonts w:eastAsiaTheme="minorHAnsi"/>
          <w:sz w:val="22"/>
          <w:szCs w:val="22"/>
          <w:lang w:eastAsia="en-US"/>
        </w:rPr>
        <w:t xml:space="preserve">This choice </w:t>
      </w:r>
      <w:r w:rsidR="00477C0A">
        <w:rPr>
          <w:rFonts w:eastAsiaTheme="minorHAnsi"/>
          <w:sz w:val="22"/>
          <w:szCs w:val="22"/>
          <w:lang w:eastAsia="en-US"/>
        </w:rPr>
        <w:t xml:space="preserve">provides </w:t>
      </w:r>
      <w:r w:rsidR="006F3BCB">
        <w:rPr>
          <w:rFonts w:eastAsiaTheme="minorHAnsi"/>
          <w:sz w:val="22"/>
          <w:szCs w:val="22"/>
          <w:lang w:eastAsia="en-US"/>
        </w:rPr>
        <w:t xml:space="preserve">a </w:t>
      </w:r>
      <w:r w:rsidR="00477C0A">
        <w:rPr>
          <w:rFonts w:eastAsiaTheme="minorHAnsi"/>
          <w:sz w:val="22"/>
          <w:szCs w:val="22"/>
          <w:lang w:eastAsia="en-US"/>
        </w:rPr>
        <w:t xml:space="preserve">series of </w:t>
      </w:r>
      <w:r w:rsidR="006F3BCB">
        <w:rPr>
          <w:rFonts w:eastAsiaTheme="minorHAnsi"/>
          <w:sz w:val="22"/>
          <w:szCs w:val="22"/>
          <w:lang w:eastAsia="en-US"/>
        </w:rPr>
        <w:t xml:space="preserve">staggered events </w:t>
      </w:r>
      <w:r w:rsidR="00BD0B47">
        <w:rPr>
          <w:rFonts w:eastAsiaTheme="minorHAnsi"/>
          <w:sz w:val="22"/>
          <w:szCs w:val="22"/>
          <w:lang w:eastAsia="en-US"/>
        </w:rPr>
        <w:t xml:space="preserve">with </w:t>
      </w:r>
      <w:r w:rsidR="00B263D3">
        <w:rPr>
          <w:rFonts w:eastAsiaTheme="minorHAnsi"/>
          <w:sz w:val="22"/>
          <w:szCs w:val="22"/>
          <w:lang w:eastAsia="en-US"/>
        </w:rPr>
        <w:t xml:space="preserve">a better </w:t>
      </w:r>
      <w:r w:rsidR="006B2138">
        <w:rPr>
          <w:rFonts w:eastAsiaTheme="minorHAnsi"/>
          <w:sz w:val="22"/>
          <w:szCs w:val="22"/>
          <w:lang w:eastAsia="en-US"/>
        </w:rPr>
        <w:t>identif</w:t>
      </w:r>
      <w:r w:rsidR="00BD0B47">
        <w:rPr>
          <w:rFonts w:eastAsiaTheme="minorHAnsi"/>
          <w:sz w:val="22"/>
          <w:szCs w:val="22"/>
          <w:lang w:eastAsia="en-US"/>
        </w:rPr>
        <w:t>ied</w:t>
      </w:r>
      <w:r w:rsidR="006B2138">
        <w:rPr>
          <w:rFonts w:eastAsiaTheme="minorHAnsi"/>
          <w:sz w:val="22"/>
          <w:szCs w:val="22"/>
          <w:lang w:eastAsia="en-US"/>
        </w:rPr>
        <w:t xml:space="preserve"> treatment </w:t>
      </w:r>
      <w:r w:rsidR="00B263D3">
        <w:rPr>
          <w:rFonts w:eastAsiaTheme="minorHAnsi"/>
          <w:sz w:val="22"/>
          <w:szCs w:val="22"/>
          <w:lang w:eastAsia="en-US"/>
        </w:rPr>
        <w:t>group</w:t>
      </w:r>
      <w:r w:rsidR="00877073">
        <w:rPr>
          <w:rFonts w:eastAsiaTheme="minorHAnsi"/>
          <w:sz w:val="22"/>
          <w:szCs w:val="22"/>
          <w:lang w:eastAsia="en-US"/>
        </w:rPr>
        <w:t xml:space="preserve">. Unlike FINSA and FIRRMA, which have economy-wide </w:t>
      </w:r>
      <w:r w:rsidR="00477C0A">
        <w:rPr>
          <w:rFonts w:eastAsiaTheme="minorHAnsi"/>
          <w:sz w:val="22"/>
          <w:szCs w:val="22"/>
          <w:lang w:eastAsia="en-US"/>
        </w:rPr>
        <w:t>effects</w:t>
      </w:r>
      <w:r w:rsidR="00877073">
        <w:rPr>
          <w:rFonts w:eastAsiaTheme="minorHAnsi"/>
          <w:sz w:val="22"/>
          <w:szCs w:val="22"/>
          <w:lang w:eastAsia="en-US"/>
        </w:rPr>
        <w:t xml:space="preserve">, </w:t>
      </w:r>
      <w:r w:rsidR="00E63A6E">
        <w:rPr>
          <w:rFonts w:eastAsiaTheme="minorHAnsi"/>
          <w:sz w:val="22"/>
          <w:szCs w:val="22"/>
          <w:lang w:eastAsia="en-US"/>
        </w:rPr>
        <w:t xml:space="preserve">CFIUS </w:t>
      </w:r>
      <w:r w:rsidR="00B263D3">
        <w:rPr>
          <w:rFonts w:eastAsiaTheme="minorHAnsi"/>
          <w:sz w:val="22"/>
          <w:szCs w:val="22"/>
          <w:lang w:eastAsia="en-US"/>
        </w:rPr>
        <w:t xml:space="preserve">denials </w:t>
      </w:r>
      <w:r w:rsidR="00E63A6E">
        <w:rPr>
          <w:rFonts w:eastAsiaTheme="minorHAnsi"/>
          <w:sz w:val="22"/>
          <w:szCs w:val="22"/>
          <w:lang w:eastAsia="en-US"/>
        </w:rPr>
        <w:t>impact target</w:t>
      </w:r>
      <w:r w:rsidR="00B263D3">
        <w:rPr>
          <w:rFonts w:eastAsiaTheme="minorHAnsi"/>
          <w:sz w:val="22"/>
          <w:szCs w:val="22"/>
          <w:lang w:eastAsia="en-US"/>
        </w:rPr>
        <w:t>s</w:t>
      </w:r>
      <w:r w:rsidR="00E63A6E">
        <w:rPr>
          <w:rFonts w:eastAsiaTheme="minorHAnsi"/>
          <w:sz w:val="22"/>
          <w:szCs w:val="22"/>
          <w:lang w:eastAsia="en-US"/>
        </w:rPr>
        <w:t>’ peer</w:t>
      </w:r>
      <w:r w:rsidR="00B263D3">
        <w:rPr>
          <w:rFonts w:eastAsiaTheme="minorHAnsi"/>
          <w:sz w:val="22"/>
          <w:szCs w:val="22"/>
          <w:lang w:eastAsia="en-US"/>
        </w:rPr>
        <w:t>s</w:t>
      </w:r>
      <w:r w:rsidR="00E63A6E">
        <w:rPr>
          <w:rFonts w:eastAsiaTheme="minorHAnsi"/>
          <w:sz w:val="22"/>
          <w:szCs w:val="22"/>
          <w:lang w:eastAsia="en-US"/>
        </w:rPr>
        <w:t xml:space="preserve">, allowing us to </w:t>
      </w:r>
      <w:r w:rsidR="00B263D3">
        <w:rPr>
          <w:rFonts w:eastAsiaTheme="minorHAnsi"/>
          <w:sz w:val="22"/>
          <w:szCs w:val="22"/>
          <w:lang w:eastAsia="en-US"/>
        </w:rPr>
        <w:t xml:space="preserve">better </w:t>
      </w:r>
      <w:r w:rsidR="00DF4984">
        <w:rPr>
          <w:rFonts w:eastAsiaTheme="minorHAnsi"/>
          <w:sz w:val="22"/>
          <w:szCs w:val="22"/>
          <w:lang w:eastAsia="en-US"/>
        </w:rPr>
        <w:t xml:space="preserve">distinguish between treatment and control </w:t>
      </w:r>
      <w:r w:rsidR="00B263D3">
        <w:rPr>
          <w:rFonts w:eastAsiaTheme="minorHAnsi"/>
          <w:sz w:val="22"/>
          <w:szCs w:val="22"/>
          <w:lang w:eastAsia="en-US"/>
        </w:rPr>
        <w:t>groups</w:t>
      </w:r>
      <w:r w:rsidR="00DF4984">
        <w:rPr>
          <w:rFonts w:eastAsiaTheme="minorHAnsi"/>
          <w:sz w:val="22"/>
          <w:szCs w:val="22"/>
          <w:lang w:eastAsia="en-US"/>
        </w:rPr>
        <w:t>.</w:t>
      </w:r>
      <w:r w:rsidR="003D2B5C">
        <w:rPr>
          <w:rStyle w:val="Appelnotedebasdep"/>
          <w:rFonts w:eastAsiaTheme="minorHAnsi"/>
          <w:sz w:val="22"/>
          <w:szCs w:val="22"/>
          <w:lang w:eastAsia="en-US"/>
        </w:rPr>
        <w:footnoteReference w:id="4"/>
      </w:r>
      <w:r w:rsidR="00877073">
        <w:rPr>
          <w:rFonts w:eastAsiaTheme="minorHAnsi"/>
          <w:sz w:val="22"/>
          <w:szCs w:val="22"/>
          <w:lang w:eastAsia="en-US"/>
        </w:rPr>
        <w:t xml:space="preserve"> </w:t>
      </w:r>
      <w:r w:rsidR="00584800" w:rsidRPr="00233992">
        <w:rPr>
          <w:sz w:val="22"/>
          <w:szCs w:val="22"/>
        </w:rPr>
        <w:t xml:space="preserve">To define </w:t>
      </w:r>
      <w:r w:rsidR="00E63A6E">
        <w:rPr>
          <w:sz w:val="22"/>
          <w:szCs w:val="22"/>
        </w:rPr>
        <w:t>targets’</w:t>
      </w:r>
      <w:r w:rsidR="00E63A6E" w:rsidRPr="00233992">
        <w:rPr>
          <w:sz w:val="22"/>
          <w:szCs w:val="22"/>
        </w:rPr>
        <w:t xml:space="preserve"> </w:t>
      </w:r>
      <w:r w:rsidR="00584800" w:rsidRPr="00233992">
        <w:rPr>
          <w:sz w:val="22"/>
          <w:szCs w:val="22"/>
        </w:rPr>
        <w:t>industries,</w:t>
      </w:r>
      <w:r w:rsidR="00E63A6E">
        <w:rPr>
          <w:sz w:val="22"/>
          <w:szCs w:val="22"/>
        </w:rPr>
        <w:t xml:space="preserve"> </w:t>
      </w:r>
      <w:r w:rsidR="00584800" w:rsidRPr="00233992">
        <w:rPr>
          <w:sz w:val="22"/>
          <w:szCs w:val="22"/>
        </w:rPr>
        <w:t xml:space="preserve">we use </w:t>
      </w:r>
      <w:r w:rsidR="00584800" w:rsidRPr="00233992">
        <w:rPr>
          <w:rFonts w:eastAsiaTheme="minorHAnsi"/>
          <w:sz w:val="22"/>
          <w:szCs w:val="22"/>
          <w:lang w:eastAsia="en-US"/>
        </w:rPr>
        <w:t>the textual network-based industry classification (TNIC) (</w:t>
      </w:r>
      <w:bookmarkStart w:id="1" w:name="_Hlk148278498"/>
      <w:r w:rsidR="00584800" w:rsidRPr="00233992">
        <w:rPr>
          <w:rFonts w:eastAsiaTheme="minorHAnsi"/>
          <w:sz w:val="22"/>
          <w:szCs w:val="22"/>
          <w:lang w:eastAsia="en-US"/>
        </w:rPr>
        <w:t>Ho</w:t>
      </w:r>
      <w:r w:rsidR="00257AD0" w:rsidRPr="00233992">
        <w:rPr>
          <w:rFonts w:eastAsiaTheme="minorHAnsi"/>
          <w:sz w:val="22"/>
          <w:szCs w:val="22"/>
          <w:lang w:eastAsia="en-US"/>
        </w:rPr>
        <w:t xml:space="preserve">berg </w:t>
      </w:r>
      <w:r w:rsidR="00BD74EA" w:rsidRPr="009E743F">
        <w:rPr>
          <w:rFonts w:eastAsiaTheme="minorHAnsi"/>
          <w:sz w:val="22"/>
          <w:szCs w:val="22"/>
          <w:lang w:eastAsia="en-US"/>
        </w:rPr>
        <w:t>&amp;</w:t>
      </w:r>
      <w:r w:rsidR="00BD74EA">
        <w:rPr>
          <w:rFonts w:eastAsiaTheme="minorHAnsi"/>
          <w:sz w:val="22"/>
          <w:szCs w:val="22"/>
          <w:lang w:eastAsia="en-US"/>
        </w:rPr>
        <w:t xml:space="preserve"> </w:t>
      </w:r>
      <w:r w:rsidR="00257AD0" w:rsidRPr="00233992">
        <w:rPr>
          <w:rFonts w:eastAsiaTheme="minorHAnsi"/>
          <w:sz w:val="22"/>
          <w:szCs w:val="22"/>
          <w:lang w:eastAsia="en-US"/>
        </w:rPr>
        <w:t xml:space="preserve">Phillips, </w:t>
      </w:r>
      <w:r w:rsidR="00584800" w:rsidRPr="00233992">
        <w:rPr>
          <w:rFonts w:eastAsiaTheme="minorHAnsi"/>
          <w:sz w:val="22"/>
          <w:szCs w:val="22"/>
          <w:lang w:eastAsia="en-US"/>
        </w:rPr>
        <w:t>2010</w:t>
      </w:r>
      <w:r w:rsidR="00DE755F" w:rsidRPr="00233992">
        <w:rPr>
          <w:rFonts w:eastAsiaTheme="minorHAnsi"/>
          <w:sz w:val="22"/>
          <w:szCs w:val="22"/>
          <w:lang w:eastAsia="en-US"/>
        </w:rPr>
        <w:t>,</w:t>
      </w:r>
      <w:r w:rsidR="00584800" w:rsidRPr="00233992">
        <w:rPr>
          <w:rFonts w:eastAsiaTheme="minorHAnsi"/>
          <w:sz w:val="22"/>
          <w:szCs w:val="22"/>
          <w:lang w:eastAsia="en-US"/>
        </w:rPr>
        <w:t xml:space="preserve"> 2016). </w:t>
      </w:r>
      <w:bookmarkEnd w:id="1"/>
      <w:r w:rsidR="003D4E73" w:rsidRPr="00233992">
        <w:rPr>
          <w:rFonts w:eastAsiaTheme="minorHAnsi"/>
          <w:sz w:val="22"/>
          <w:szCs w:val="22"/>
          <w:lang w:eastAsia="en-US"/>
        </w:rPr>
        <w:t xml:space="preserve">As explained by Hoberg </w:t>
      </w:r>
      <w:r w:rsidR="003D4E73" w:rsidRPr="00233992">
        <w:rPr>
          <w:rFonts w:eastAsiaTheme="minorHAnsi"/>
          <w:sz w:val="22"/>
          <w:szCs w:val="22"/>
          <w:lang w:eastAsia="en-US"/>
        </w:rPr>
        <w:lastRenderedPageBreak/>
        <w:t>and Phillips (2010</w:t>
      </w:r>
      <w:r w:rsidR="00DE755F" w:rsidRPr="00233992">
        <w:rPr>
          <w:rFonts w:eastAsiaTheme="minorHAnsi"/>
          <w:sz w:val="22"/>
          <w:szCs w:val="22"/>
          <w:lang w:eastAsia="en-US"/>
        </w:rPr>
        <w:t>,</w:t>
      </w:r>
      <w:r w:rsidR="003D4E73" w:rsidRPr="00233992">
        <w:rPr>
          <w:rFonts w:eastAsiaTheme="minorHAnsi"/>
          <w:sz w:val="22"/>
          <w:szCs w:val="22"/>
          <w:lang w:eastAsia="en-US"/>
        </w:rPr>
        <w:t xml:space="preserve"> 2016), </w:t>
      </w:r>
      <w:r w:rsidR="00FE3774" w:rsidRPr="00233992">
        <w:rPr>
          <w:rFonts w:eastAsiaTheme="minorHAnsi"/>
          <w:sz w:val="22"/>
          <w:szCs w:val="22"/>
          <w:lang w:eastAsia="en-US"/>
        </w:rPr>
        <w:t xml:space="preserve">this </w:t>
      </w:r>
      <w:r w:rsidR="009978FB" w:rsidRPr="00233992">
        <w:rPr>
          <w:rFonts w:eastAsiaTheme="minorHAnsi"/>
          <w:sz w:val="22"/>
          <w:szCs w:val="22"/>
          <w:lang w:eastAsia="en-US"/>
        </w:rPr>
        <w:t xml:space="preserve">classification </w:t>
      </w:r>
      <w:r w:rsidR="003D4E73" w:rsidRPr="00233992">
        <w:rPr>
          <w:rFonts w:eastAsiaTheme="minorHAnsi"/>
          <w:sz w:val="22"/>
          <w:szCs w:val="22"/>
          <w:lang w:eastAsia="en-US"/>
        </w:rPr>
        <w:t>has evident advantages over other industry classifications based on header codes.</w:t>
      </w:r>
      <w:r w:rsidR="00701093">
        <w:rPr>
          <w:rStyle w:val="Appelnotedebasdep"/>
          <w:rFonts w:eastAsiaTheme="minorHAnsi"/>
          <w:sz w:val="22"/>
          <w:szCs w:val="22"/>
          <w:lang w:eastAsia="en-US"/>
        </w:rPr>
        <w:footnoteReference w:id="5"/>
      </w:r>
      <w:r w:rsidR="003D4E73" w:rsidRPr="00233992">
        <w:rPr>
          <w:rFonts w:eastAsiaTheme="minorHAnsi"/>
          <w:sz w:val="22"/>
          <w:szCs w:val="22"/>
          <w:lang w:eastAsia="en-US"/>
        </w:rPr>
        <w:t xml:space="preserve"> </w:t>
      </w:r>
      <w:r w:rsidR="00B263D3">
        <w:rPr>
          <w:rFonts w:eastAsiaTheme="minorHAnsi"/>
          <w:sz w:val="22"/>
          <w:szCs w:val="22"/>
          <w:lang w:eastAsia="en-US"/>
        </w:rPr>
        <w:t>Finally, w</w:t>
      </w:r>
      <w:r w:rsidR="004C250B">
        <w:rPr>
          <w:rFonts w:eastAsiaTheme="minorHAnsi"/>
          <w:sz w:val="22"/>
          <w:szCs w:val="22"/>
          <w:lang w:eastAsia="en-US"/>
        </w:rPr>
        <w:t xml:space="preserve">e limit our sample to </w:t>
      </w:r>
      <w:r w:rsidR="00E70740">
        <w:rPr>
          <w:rFonts w:eastAsiaTheme="minorHAnsi"/>
          <w:sz w:val="22"/>
          <w:szCs w:val="22"/>
          <w:lang w:eastAsia="en-US"/>
        </w:rPr>
        <w:t xml:space="preserve">the </w:t>
      </w:r>
      <w:r w:rsidR="004C250B">
        <w:rPr>
          <w:rFonts w:eastAsiaTheme="minorHAnsi"/>
          <w:sz w:val="22"/>
          <w:szCs w:val="22"/>
          <w:lang w:eastAsia="en-US"/>
        </w:rPr>
        <w:t xml:space="preserve">2008-2019 </w:t>
      </w:r>
      <w:r w:rsidR="00E70740">
        <w:rPr>
          <w:rFonts w:eastAsiaTheme="minorHAnsi"/>
          <w:sz w:val="22"/>
          <w:szCs w:val="22"/>
          <w:lang w:eastAsia="en-US"/>
        </w:rPr>
        <w:t xml:space="preserve">period </w:t>
      </w:r>
      <w:r w:rsidR="004C250B">
        <w:rPr>
          <w:rFonts w:eastAsiaTheme="minorHAnsi"/>
          <w:sz w:val="22"/>
          <w:szCs w:val="22"/>
          <w:lang w:eastAsia="en-US"/>
        </w:rPr>
        <w:t xml:space="preserve">because it </w:t>
      </w:r>
      <w:r w:rsidR="00907287" w:rsidRPr="00233992">
        <w:rPr>
          <w:sz w:val="22"/>
          <w:szCs w:val="22"/>
        </w:rPr>
        <w:t>matches the years in which FINSA was effective</w:t>
      </w:r>
      <w:r w:rsidR="004C250B">
        <w:rPr>
          <w:sz w:val="22"/>
          <w:szCs w:val="22"/>
        </w:rPr>
        <w:t>.</w:t>
      </w:r>
      <w:r w:rsidR="00907287" w:rsidRPr="00233992">
        <w:rPr>
          <w:sz w:val="22"/>
          <w:szCs w:val="22"/>
        </w:rPr>
        <w:t xml:space="preserve"> </w:t>
      </w:r>
      <w:r w:rsidR="006A4F1B">
        <w:rPr>
          <w:sz w:val="22"/>
          <w:szCs w:val="22"/>
        </w:rPr>
        <w:t xml:space="preserve">This choice ensures we have a stable regulatory environment during our sample period. </w:t>
      </w:r>
      <w:r w:rsidR="00357E17">
        <w:rPr>
          <w:sz w:val="22"/>
          <w:szCs w:val="22"/>
        </w:rPr>
        <w:t xml:space="preserve">For completeness, we also test for the impact of FINSA. </w:t>
      </w:r>
    </w:p>
    <w:p w14:paraId="3F6A04E9" w14:textId="17F20E17" w:rsidR="00584800" w:rsidRPr="00233992" w:rsidRDefault="00584800" w:rsidP="00233992">
      <w:pPr>
        <w:spacing w:line="480" w:lineRule="auto"/>
        <w:ind w:firstLine="360"/>
        <w:jc w:val="both"/>
        <w:rPr>
          <w:sz w:val="22"/>
          <w:szCs w:val="22"/>
        </w:rPr>
      </w:pPr>
      <w:r w:rsidRPr="00233992">
        <w:rPr>
          <w:sz w:val="22"/>
          <w:szCs w:val="22"/>
        </w:rPr>
        <w:t xml:space="preserve">We find that CFIUS </w:t>
      </w:r>
      <w:r w:rsidR="00F267A5">
        <w:rPr>
          <w:sz w:val="22"/>
          <w:szCs w:val="22"/>
        </w:rPr>
        <w:t>denials of regulatory approval</w:t>
      </w:r>
      <w:r w:rsidR="00F267A5" w:rsidRPr="00233992">
        <w:rPr>
          <w:sz w:val="22"/>
          <w:szCs w:val="22"/>
        </w:rPr>
        <w:t xml:space="preserve"> </w:t>
      </w:r>
      <w:r w:rsidRPr="00233992">
        <w:rPr>
          <w:sz w:val="22"/>
          <w:szCs w:val="22"/>
        </w:rPr>
        <w:t xml:space="preserve">are followed by a </w:t>
      </w:r>
      <w:r w:rsidR="00CD1070" w:rsidRPr="00233992">
        <w:rPr>
          <w:sz w:val="22"/>
          <w:szCs w:val="22"/>
        </w:rPr>
        <w:t>20%</w:t>
      </w:r>
      <w:r w:rsidR="002660EB" w:rsidRPr="00233992">
        <w:rPr>
          <w:sz w:val="22"/>
          <w:szCs w:val="22"/>
        </w:rPr>
        <w:t xml:space="preserve"> </w:t>
      </w:r>
      <w:r w:rsidRPr="00233992">
        <w:rPr>
          <w:sz w:val="22"/>
          <w:szCs w:val="22"/>
        </w:rPr>
        <w:t xml:space="preserve">percent decrease in corporate investment in </w:t>
      </w:r>
      <w:r w:rsidR="005B2617" w:rsidRPr="00233992">
        <w:rPr>
          <w:sz w:val="22"/>
          <w:szCs w:val="22"/>
        </w:rPr>
        <w:t>affected industries</w:t>
      </w:r>
      <w:r w:rsidRPr="00233992">
        <w:rPr>
          <w:sz w:val="22"/>
          <w:szCs w:val="22"/>
        </w:rPr>
        <w:t>.</w:t>
      </w:r>
      <w:r w:rsidR="00C333D6" w:rsidRPr="00233992">
        <w:rPr>
          <w:sz w:val="22"/>
          <w:szCs w:val="22"/>
        </w:rPr>
        <w:t xml:space="preserve"> </w:t>
      </w:r>
      <w:r w:rsidR="006105C7">
        <w:rPr>
          <w:sz w:val="22"/>
          <w:szCs w:val="22"/>
        </w:rPr>
        <w:t>Such</w:t>
      </w:r>
      <w:r w:rsidR="003C5688" w:rsidRPr="00233992">
        <w:rPr>
          <w:sz w:val="22"/>
          <w:szCs w:val="22"/>
        </w:rPr>
        <w:t xml:space="preserve"> magnitude is similar </w:t>
      </w:r>
      <w:r w:rsidR="006105C7">
        <w:rPr>
          <w:sz w:val="22"/>
          <w:szCs w:val="22"/>
        </w:rPr>
        <w:t>that of</w:t>
      </w:r>
      <w:r w:rsidR="003C5688" w:rsidRPr="00233992">
        <w:rPr>
          <w:sz w:val="22"/>
          <w:szCs w:val="22"/>
        </w:rPr>
        <w:t xml:space="preserve"> studies </w:t>
      </w:r>
      <w:r w:rsidR="008A214B" w:rsidRPr="00233992">
        <w:rPr>
          <w:sz w:val="22"/>
          <w:szCs w:val="22"/>
        </w:rPr>
        <w:t>exami</w:t>
      </w:r>
      <w:r w:rsidR="006105C7">
        <w:rPr>
          <w:sz w:val="22"/>
          <w:szCs w:val="22"/>
        </w:rPr>
        <w:t>ning</w:t>
      </w:r>
      <w:r w:rsidR="00162FA9" w:rsidRPr="00233992">
        <w:rPr>
          <w:sz w:val="22"/>
          <w:szCs w:val="22"/>
        </w:rPr>
        <w:t xml:space="preserve"> the impact of</w:t>
      </w:r>
      <w:r w:rsidR="00921568" w:rsidRPr="00233992">
        <w:rPr>
          <w:sz w:val="22"/>
          <w:szCs w:val="22"/>
        </w:rPr>
        <w:t xml:space="preserve"> </w:t>
      </w:r>
      <w:r w:rsidR="00B65346" w:rsidRPr="00233992">
        <w:rPr>
          <w:sz w:val="22"/>
          <w:szCs w:val="22"/>
        </w:rPr>
        <w:t>capital controls</w:t>
      </w:r>
      <w:r w:rsidR="00876955" w:rsidRPr="00233992">
        <w:rPr>
          <w:sz w:val="22"/>
          <w:szCs w:val="22"/>
        </w:rPr>
        <w:t xml:space="preserve"> or</w:t>
      </w:r>
      <w:r w:rsidR="008364FA" w:rsidRPr="00233992">
        <w:rPr>
          <w:sz w:val="22"/>
          <w:szCs w:val="22"/>
        </w:rPr>
        <w:t xml:space="preserve"> </w:t>
      </w:r>
      <w:r w:rsidR="00BE3823" w:rsidRPr="00233992">
        <w:rPr>
          <w:sz w:val="22"/>
          <w:szCs w:val="22"/>
        </w:rPr>
        <w:t>tax laws</w:t>
      </w:r>
      <w:r w:rsidR="00162FA9" w:rsidRPr="00233992">
        <w:rPr>
          <w:sz w:val="22"/>
          <w:szCs w:val="22"/>
        </w:rPr>
        <w:t xml:space="preserve"> on corporate investment</w:t>
      </w:r>
      <w:r w:rsidR="008A214B" w:rsidRPr="00233992">
        <w:rPr>
          <w:sz w:val="22"/>
          <w:szCs w:val="22"/>
        </w:rPr>
        <w:t xml:space="preserve"> </w:t>
      </w:r>
      <w:r w:rsidR="00B65346" w:rsidRPr="00233992">
        <w:rPr>
          <w:sz w:val="22"/>
          <w:szCs w:val="22"/>
        </w:rPr>
        <w:t>(</w:t>
      </w:r>
      <w:bookmarkStart w:id="2" w:name="_Hlk148278507"/>
      <w:r w:rsidR="00F00D80" w:rsidRPr="00233992">
        <w:rPr>
          <w:sz w:val="22"/>
          <w:szCs w:val="22"/>
        </w:rPr>
        <w:t xml:space="preserve">Desai, Foley, </w:t>
      </w:r>
      <w:r w:rsidR="00BD74EA" w:rsidRPr="009E743F">
        <w:rPr>
          <w:rFonts w:eastAsiaTheme="minorHAnsi"/>
          <w:sz w:val="22"/>
          <w:szCs w:val="22"/>
          <w:lang w:eastAsia="en-US"/>
        </w:rPr>
        <w:t>&amp;</w:t>
      </w:r>
      <w:r w:rsidR="00BD74EA">
        <w:rPr>
          <w:rFonts w:eastAsiaTheme="minorHAnsi"/>
          <w:sz w:val="22"/>
          <w:szCs w:val="22"/>
          <w:lang w:eastAsia="en-US"/>
        </w:rPr>
        <w:t xml:space="preserve"> </w:t>
      </w:r>
      <w:r w:rsidR="00F00D80" w:rsidRPr="00233992">
        <w:rPr>
          <w:sz w:val="22"/>
          <w:szCs w:val="22"/>
        </w:rPr>
        <w:t xml:space="preserve">Hines, </w:t>
      </w:r>
      <w:r w:rsidR="00B65346" w:rsidRPr="00233992">
        <w:rPr>
          <w:sz w:val="22"/>
          <w:szCs w:val="22"/>
        </w:rPr>
        <w:t>2006</w:t>
      </w:r>
      <w:r w:rsidR="00F00D80" w:rsidRPr="00233992">
        <w:rPr>
          <w:sz w:val="22"/>
          <w:szCs w:val="22"/>
        </w:rPr>
        <w:t>;</w:t>
      </w:r>
      <w:r w:rsidR="00B65346" w:rsidRPr="00233992">
        <w:rPr>
          <w:sz w:val="22"/>
          <w:szCs w:val="22"/>
        </w:rPr>
        <w:t xml:space="preserve"> </w:t>
      </w:r>
      <w:r w:rsidR="00F00D80" w:rsidRPr="00233992">
        <w:rPr>
          <w:sz w:val="22"/>
          <w:szCs w:val="22"/>
        </w:rPr>
        <w:t xml:space="preserve">Moon, </w:t>
      </w:r>
      <w:r w:rsidR="00DA399C" w:rsidRPr="00233992">
        <w:rPr>
          <w:sz w:val="22"/>
          <w:szCs w:val="22"/>
        </w:rPr>
        <w:t>20</w:t>
      </w:r>
      <w:r w:rsidR="00921568" w:rsidRPr="00233992">
        <w:rPr>
          <w:sz w:val="22"/>
          <w:szCs w:val="22"/>
        </w:rPr>
        <w:t>22</w:t>
      </w:r>
      <w:r w:rsidR="00DA399C" w:rsidRPr="00233992">
        <w:rPr>
          <w:sz w:val="22"/>
          <w:szCs w:val="22"/>
        </w:rPr>
        <w:t>)</w:t>
      </w:r>
      <w:r w:rsidR="00FA02CB" w:rsidRPr="00233992">
        <w:rPr>
          <w:sz w:val="22"/>
          <w:szCs w:val="22"/>
        </w:rPr>
        <w:t>.</w:t>
      </w:r>
      <w:r w:rsidRPr="00233992">
        <w:rPr>
          <w:sz w:val="22"/>
          <w:szCs w:val="22"/>
        </w:rPr>
        <w:t xml:space="preserve"> </w:t>
      </w:r>
      <w:bookmarkEnd w:id="2"/>
      <w:r w:rsidR="00E70740">
        <w:rPr>
          <w:sz w:val="22"/>
          <w:szCs w:val="22"/>
        </w:rPr>
        <w:t>Since</w:t>
      </w:r>
      <w:r w:rsidR="00E70740" w:rsidRPr="00233992">
        <w:rPr>
          <w:sz w:val="22"/>
          <w:szCs w:val="22"/>
        </w:rPr>
        <w:t xml:space="preserve"> </w:t>
      </w:r>
      <w:r w:rsidRPr="00233992">
        <w:rPr>
          <w:sz w:val="22"/>
          <w:szCs w:val="22"/>
        </w:rPr>
        <w:t>CFIUS interventions are staggered over time</w:t>
      </w:r>
      <w:r w:rsidR="00E70740">
        <w:rPr>
          <w:sz w:val="22"/>
          <w:szCs w:val="22"/>
        </w:rPr>
        <w:t>,</w:t>
      </w:r>
      <w:r w:rsidRPr="00233992">
        <w:rPr>
          <w:sz w:val="22"/>
          <w:szCs w:val="22"/>
        </w:rPr>
        <w:t xml:space="preserve"> </w:t>
      </w:r>
      <w:r w:rsidR="00E70740">
        <w:rPr>
          <w:sz w:val="22"/>
          <w:szCs w:val="22"/>
        </w:rPr>
        <w:t>we</w:t>
      </w:r>
      <w:r w:rsidRPr="00233992">
        <w:rPr>
          <w:sz w:val="22"/>
          <w:szCs w:val="22"/>
        </w:rPr>
        <w:t xml:space="preserve"> address the issues raised by </w:t>
      </w:r>
      <w:r w:rsidR="00133663" w:rsidRPr="00233992">
        <w:rPr>
          <w:sz w:val="22"/>
          <w:szCs w:val="22"/>
        </w:rPr>
        <w:t xml:space="preserve">Baker, Larcker, and Wang </w:t>
      </w:r>
      <w:r w:rsidRPr="00233992">
        <w:rPr>
          <w:sz w:val="22"/>
          <w:szCs w:val="22"/>
        </w:rPr>
        <w:t>(2022)</w:t>
      </w:r>
      <w:r w:rsidR="00E70740">
        <w:rPr>
          <w:sz w:val="22"/>
          <w:szCs w:val="22"/>
        </w:rPr>
        <w:t>. In particular,</w:t>
      </w:r>
      <w:r w:rsidRPr="00233992">
        <w:rPr>
          <w:sz w:val="22"/>
          <w:szCs w:val="22"/>
        </w:rPr>
        <w:t xml:space="preserve"> we estimate our models using the methodology pro</w:t>
      </w:r>
      <w:r w:rsidR="00263732" w:rsidRPr="00233992">
        <w:rPr>
          <w:sz w:val="22"/>
          <w:szCs w:val="22"/>
        </w:rPr>
        <w:t>posed by Sun and Abraham (2021)</w:t>
      </w:r>
      <w:r w:rsidR="00C847F7" w:rsidRPr="00233992">
        <w:rPr>
          <w:sz w:val="22"/>
          <w:szCs w:val="22"/>
        </w:rPr>
        <w:t xml:space="preserve"> and </w:t>
      </w:r>
      <w:r w:rsidR="00BF35A7" w:rsidRPr="00233992">
        <w:rPr>
          <w:sz w:val="22"/>
          <w:szCs w:val="22"/>
        </w:rPr>
        <w:t>find similar results.</w:t>
      </w:r>
      <w:r w:rsidR="00E73646">
        <w:rPr>
          <w:sz w:val="22"/>
          <w:szCs w:val="22"/>
        </w:rPr>
        <w:t xml:space="preserve"> </w:t>
      </w:r>
    </w:p>
    <w:p w14:paraId="614B26B9" w14:textId="560E4517" w:rsidR="00584800" w:rsidRPr="00233992" w:rsidRDefault="00584800" w:rsidP="00233992">
      <w:pPr>
        <w:spacing w:line="480" w:lineRule="auto"/>
        <w:jc w:val="both"/>
        <w:rPr>
          <w:sz w:val="22"/>
          <w:szCs w:val="22"/>
        </w:rPr>
      </w:pPr>
      <w:r w:rsidRPr="00233992">
        <w:rPr>
          <w:sz w:val="22"/>
          <w:szCs w:val="22"/>
        </w:rPr>
        <w:tab/>
      </w:r>
      <w:r w:rsidR="00C847F7" w:rsidRPr="00233992">
        <w:rPr>
          <w:rFonts w:eastAsiaTheme="minorHAnsi"/>
          <w:sz w:val="22"/>
          <w:szCs w:val="22"/>
          <w:lang w:eastAsia="en-US"/>
        </w:rPr>
        <w:t>As</w:t>
      </w:r>
      <w:r w:rsidRPr="00233992">
        <w:rPr>
          <w:rFonts w:eastAsiaTheme="minorHAnsi"/>
          <w:sz w:val="22"/>
          <w:szCs w:val="22"/>
          <w:lang w:eastAsia="en-US"/>
        </w:rPr>
        <w:t xml:space="preserve"> </w:t>
      </w:r>
      <w:r w:rsidR="00DF015C" w:rsidRPr="00233992">
        <w:rPr>
          <w:rFonts w:eastAsiaTheme="minorHAnsi"/>
          <w:sz w:val="22"/>
          <w:szCs w:val="22"/>
          <w:lang w:eastAsia="en-US"/>
        </w:rPr>
        <w:t xml:space="preserve">restrictions on access to capital imposed by CFIUS </w:t>
      </w:r>
      <w:r w:rsidR="00E70740">
        <w:rPr>
          <w:rFonts w:eastAsiaTheme="minorHAnsi"/>
          <w:sz w:val="22"/>
          <w:szCs w:val="22"/>
          <w:lang w:eastAsia="en-US"/>
        </w:rPr>
        <w:t>limit</w:t>
      </w:r>
      <w:r w:rsidR="00E70740" w:rsidRPr="00233992">
        <w:rPr>
          <w:rFonts w:eastAsiaTheme="minorHAnsi"/>
          <w:sz w:val="22"/>
          <w:szCs w:val="22"/>
          <w:lang w:eastAsia="en-US"/>
        </w:rPr>
        <w:t xml:space="preserve"> </w:t>
      </w:r>
      <w:r w:rsidRPr="00233992">
        <w:rPr>
          <w:rFonts w:eastAsiaTheme="minorHAnsi"/>
          <w:sz w:val="22"/>
          <w:szCs w:val="22"/>
          <w:lang w:eastAsia="en-US"/>
        </w:rPr>
        <w:t xml:space="preserve">funding opportunities and increase </w:t>
      </w:r>
      <w:r w:rsidR="005B2617" w:rsidRPr="00233992">
        <w:rPr>
          <w:rFonts w:eastAsiaTheme="minorHAnsi"/>
          <w:sz w:val="22"/>
          <w:szCs w:val="22"/>
          <w:lang w:eastAsia="en-US"/>
        </w:rPr>
        <w:t>the</w:t>
      </w:r>
      <w:r w:rsidRPr="00233992">
        <w:rPr>
          <w:rFonts w:eastAsiaTheme="minorHAnsi"/>
          <w:sz w:val="22"/>
          <w:szCs w:val="22"/>
          <w:lang w:eastAsia="en-US"/>
        </w:rPr>
        <w:t xml:space="preserve"> cost of capital, the </w:t>
      </w:r>
      <w:r w:rsidR="00CD1070" w:rsidRPr="00233992">
        <w:rPr>
          <w:rFonts w:eastAsiaTheme="minorHAnsi"/>
          <w:sz w:val="22"/>
          <w:szCs w:val="22"/>
          <w:lang w:eastAsia="en-US"/>
        </w:rPr>
        <w:t xml:space="preserve">reduction </w:t>
      </w:r>
      <w:r w:rsidRPr="00233992">
        <w:rPr>
          <w:rFonts w:eastAsiaTheme="minorHAnsi"/>
          <w:sz w:val="22"/>
          <w:szCs w:val="22"/>
          <w:lang w:eastAsia="en-US"/>
        </w:rPr>
        <w:t xml:space="preserve">in corporate investment should be bigger </w:t>
      </w:r>
      <w:r w:rsidR="00EF70F9">
        <w:rPr>
          <w:rFonts w:eastAsiaTheme="minorHAnsi"/>
          <w:sz w:val="22"/>
          <w:szCs w:val="22"/>
          <w:lang w:eastAsia="en-US"/>
        </w:rPr>
        <w:t>among</w:t>
      </w:r>
      <w:r w:rsidR="00EF70F9" w:rsidRPr="00233992">
        <w:rPr>
          <w:rFonts w:eastAsiaTheme="minorHAnsi"/>
          <w:sz w:val="22"/>
          <w:szCs w:val="22"/>
          <w:lang w:eastAsia="en-US"/>
        </w:rPr>
        <w:t xml:space="preserve"> </w:t>
      </w:r>
      <w:r w:rsidRPr="00233992">
        <w:rPr>
          <w:rFonts w:eastAsiaTheme="minorHAnsi"/>
          <w:sz w:val="22"/>
          <w:szCs w:val="22"/>
          <w:lang w:eastAsia="en-US"/>
        </w:rPr>
        <w:t xml:space="preserve">firms </w:t>
      </w:r>
      <w:r w:rsidR="00EF70F9">
        <w:rPr>
          <w:rFonts w:eastAsiaTheme="minorHAnsi"/>
          <w:sz w:val="22"/>
          <w:szCs w:val="22"/>
          <w:lang w:eastAsia="en-US"/>
        </w:rPr>
        <w:t xml:space="preserve">that </w:t>
      </w:r>
      <w:r w:rsidRPr="00233992">
        <w:rPr>
          <w:rFonts w:eastAsiaTheme="minorHAnsi"/>
          <w:sz w:val="22"/>
          <w:szCs w:val="22"/>
          <w:lang w:eastAsia="en-US"/>
        </w:rPr>
        <w:t>are already financially constrained (</w:t>
      </w:r>
      <w:r w:rsidRPr="00233992">
        <w:rPr>
          <w:sz w:val="22"/>
          <w:szCs w:val="22"/>
        </w:rPr>
        <w:t xml:space="preserve">Campbell </w:t>
      </w:r>
      <w:r w:rsidRPr="00BD74EA">
        <w:rPr>
          <w:sz w:val="22"/>
          <w:szCs w:val="22"/>
        </w:rPr>
        <w:t>et al</w:t>
      </w:r>
      <w:r w:rsidR="00135F40" w:rsidRPr="00233992">
        <w:rPr>
          <w:sz w:val="22"/>
          <w:szCs w:val="22"/>
        </w:rPr>
        <w:t>.</w:t>
      </w:r>
      <w:r w:rsidR="00F00D80" w:rsidRPr="00233992">
        <w:rPr>
          <w:sz w:val="22"/>
          <w:szCs w:val="22"/>
        </w:rPr>
        <w:t>,</w:t>
      </w:r>
      <w:r w:rsidRPr="00233992">
        <w:rPr>
          <w:sz w:val="22"/>
          <w:szCs w:val="22"/>
        </w:rPr>
        <w:t xml:space="preserve"> 2012</w:t>
      </w:r>
      <w:r w:rsidR="00F00D80" w:rsidRPr="00233992">
        <w:rPr>
          <w:sz w:val="22"/>
          <w:szCs w:val="22"/>
        </w:rPr>
        <w:t>;</w:t>
      </w:r>
      <w:r w:rsidRPr="00233992">
        <w:rPr>
          <w:sz w:val="22"/>
          <w:szCs w:val="22"/>
        </w:rPr>
        <w:t xml:space="preserve"> </w:t>
      </w:r>
      <w:r w:rsidR="00F00D80" w:rsidRPr="00233992">
        <w:rPr>
          <w:rFonts w:eastAsiaTheme="minorHAnsi"/>
          <w:sz w:val="22"/>
          <w:szCs w:val="22"/>
          <w:lang w:eastAsia="en-US"/>
        </w:rPr>
        <w:t xml:space="preserve">Hoberg </w:t>
      </w:r>
      <w:r w:rsidR="00BD74EA" w:rsidRPr="009E743F">
        <w:rPr>
          <w:rFonts w:eastAsiaTheme="minorHAnsi"/>
          <w:sz w:val="22"/>
          <w:szCs w:val="22"/>
          <w:lang w:eastAsia="en-US"/>
        </w:rPr>
        <w:t>&amp;</w:t>
      </w:r>
      <w:r w:rsidR="00BD74EA">
        <w:rPr>
          <w:rFonts w:eastAsiaTheme="minorHAnsi"/>
          <w:sz w:val="22"/>
          <w:szCs w:val="22"/>
          <w:lang w:eastAsia="en-US"/>
        </w:rPr>
        <w:t xml:space="preserve"> </w:t>
      </w:r>
      <w:r w:rsidR="00F00D80" w:rsidRPr="00233992">
        <w:rPr>
          <w:rFonts w:eastAsiaTheme="minorHAnsi"/>
          <w:sz w:val="22"/>
          <w:szCs w:val="22"/>
          <w:lang w:eastAsia="en-US"/>
        </w:rPr>
        <w:t xml:space="preserve">Maksimovic, </w:t>
      </w:r>
      <w:r w:rsidRPr="00233992">
        <w:rPr>
          <w:rFonts w:eastAsiaTheme="minorHAnsi"/>
          <w:sz w:val="22"/>
          <w:szCs w:val="22"/>
          <w:lang w:eastAsia="en-US"/>
        </w:rPr>
        <w:t>2015).</w:t>
      </w:r>
      <w:r w:rsidRPr="00233992">
        <w:rPr>
          <w:rStyle w:val="Appelnotedebasdep"/>
          <w:rFonts w:eastAsiaTheme="minorHAnsi"/>
          <w:sz w:val="22"/>
          <w:szCs w:val="22"/>
          <w:lang w:eastAsia="en-US"/>
        </w:rPr>
        <w:footnoteReference w:id="6"/>
      </w:r>
      <w:r w:rsidRPr="00233992">
        <w:rPr>
          <w:rFonts w:eastAsiaTheme="minorHAnsi"/>
          <w:sz w:val="22"/>
          <w:szCs w:val="22"/>
          <w:lang w:eastAsia="en-US"/>
        </w:rPr>
        <w:t xml:space="preserve"> </w:t>
      </w:r>
      <w:r w:rsidRPr="00233992">
        <w:rPr>
          <w:sz w:val="22"/>
          <w:szCs w:val="22"/>
        </w:rPr>
        <w:t xml:space="preserve">The </w:t>
      </w:r>
      <w:r w:rsidR="00C847F7" w:rsidRPr="00233992">
        <w:rPr>
          <w:sz w:val="22"/>
          <w:szCs w:val="22"/>
        </w:rPr>
        <w:t>effects we document</w:t>
      </w:r>
      <w:r w:rsidRPr="00233992">
        <w:rPr>
          <w:sz w:val="22"/>
          <w:szCs w:val="22"/>
        </w:rPr>
        <w:t xml:space="preserve"> should also be </w:t>
      </w:r>
      <w:r w:rsidR="00E70740">
        <w:rPr>
          <w:sz w:val="22"/>
          <w:szCs w:val="22"/>
        </w:rPr>
        <w:t>bigger in</w:t>
      </w:r>
      <w:r w:rsidRPr="00233992">
        <w:rPr>
          <w:sz w:val="22"/>
          <w:szCs w:val="22"/>
        </w:rPr>
        <w:t xml:space="preserve"> those industries that rely </w:t>
      </w:r>
      <w:r w:rsidR="00C847F7" w:rsidRPr="00233992">
        <w:rPr>
          <w:sz w:val="22"/>
          <w:szCs w:val="22"/>
        </w:rPr>
        <w:t xml:space="preserve">more </w:t>
      </w:r>
      <w:r w:rsidRPr="00233992">
        <w:rPr>
          <w:sz w:val="22"/>
          <w:szCs w:val="22"/>
        </w:rPr>
        <w:t>on foreign investments. Our results support these two predictions. We find that the reduction in corporate investment is more pronounced amon</w:t>
      </w:r>
      <w:r w:rsidR="00F26416" w:rsidRPr="00233992">
        <w:rPr>
          <w:sz w:val="22"/>
          <w:szCs w:val="22"/>
        </w:rPr>
        <w:t>g financially constrained firms</w:t>
      </w:r>
      <w:r w:rsidRPr="00233992">
        <w:rPr>
          <w:sz w:val="22"/>
          <w:szCs w:val="22"/>
        </w:rPr>
        <w:t xml:space="preserve"> and </w:t>
      </w:r>
      <w:r w:rsidR="00F26416" w:rsidRPr="00233992">
        <w:rPr>
          <w:sz w:val="22"/>
          <w:szCs w:val="22"/>
        </w:rPr>
        <w:t>among</w:t>
      </w:r>
      <w:r w:rsidRPr="00233992">
        <w:rPr>
          <w:sz w:val="22"/>
          <w:szCs w:val="22"/>
        </w:rPr>
        <w:t xml:space="preserve"> industries with </w:t>
      </w:r>
      <w:r w:rsidR="00C847F7" w:rsidRPr="00233992">
        <w:rPr>
          <w:sz w:val="22"/>
          <w:szCs w:val="22"/>
        </w:rPr>
        <w:t>high</w:t>
      </w:r>
      <w:r w:rsidR="000A1632" w:rsidRPr="00233992">
        <w:rPr>
          <w:sz w:val="22"/>
          <w:szCs w:val="22"/>
        </w:rPr>
        <w:t xml:space="preserve"> </w:t>
      </w:r>
      <w:r w:rsidR="00F26416" w:rsidRPr="00233992">
        <w:rPr>
          <w:sz w:val="22"/>
          <w:szCs w:val="22"/>
        </w:rPr>
        <w:t>foreign investments.</w:t>
      </w:r>
    </w:p>
    <w:p w14:paraId="5153F5F7" w14:textId="7C8CC4B9" w:rsidR="00584800" w:rsidRPr="00233992" w:rsidRDefault="00584800" w:rsidP="00233992">
      <w:pPr>
        <w:spacing w:line="480" w:lineRule="auto"/>
        <w:jc w:val="both"/>
        <w:rPr>
          <w:sz w:val="22"/>
          <w:szCs w:val="22"/>
        </w:rPr>
      </w:pPr>
      <w:r w:rsidRPr="00233992">
        <w:rPr>
          <w:rFonts w:eastAsiaTheme="minorHAnsi"/>
          <w:sz w:val="22"/>
          <w:szCs w:val="22"/>
          <w:lang w:eastAsia="en-US"/>
        </w:rPr>
        <w:tab/>
      </w:r>
      <w:r w:rsidRPr="00233992">
        <w:rPr>
          <w:sz w:val="22"/>
          <w:szCs w:val="22"/>
        </w:rPr>
        <w:t>Our results are robust to alternative proxies for corporate investment. In addition to capital expenditures, our results are confirmed when we test for changes in rese</w:t>
      </w:r>
      <w:r w:rsidR="00DF6A19">
        <w:rPr>
          <w:sz w:val="22"/>
          <w:szCs w:val="22"/>
        </w:rPr>
        <w:t>arch and development expenses</w:t>
      </w:r>
      <w:r w:rsidRPr="00233992">
        <w:rPr>
          <w:sz w:val="22"/>
          <w:szCs w:val="22"/>
        </w:rPr>
        <w:t xml:space="preserve">, and the sum of capital expenditures, research and development expenses, and acquisitions. These additional proxies for corporate investment significantly decrease following CFIUS </w:t>
      </w:r>
      <w:r w:rsidR="00E70740">
        <w:rPr>
          <w:sz w:val="22"/>
          <w:szCs w:val="22"/>
        </w:rPr>
        <w:t>denials of regulatory approval</w:t>
      </w:r>
      <w:r w:rsidRPr="00233992">
        <w:rPr>
          <w:sz w:val="22"/>
          <w:szCs w:val="22"/>
        </w:rPr>
        <w:t xml:space="preserve">. Throughout our </w:t>
      </w:r>
      <w:r w:rsidR="00EF70F9">
        <w:rPr>
          <w:sz w:val="22"/>
          <w:szCs w:val="22"/>
        </w:rPr>
        <w:t>analyses</w:t>
      </w:r>
      <w:r w:rsidRPr="00233992">
        <w:rPr>
          <w:sz w:val="22"/>
          <w:szCs w:val="22"/>
        </w:rPr>
        <w:t>, we include firm and year fixed effects to control for firm and time invariant characteristics and control variables for time-varying attributes. A battery of robustness tests confirms our results.</w:t>
      </w:r>
    </w:p>
    <w:p w14:paraId="07165EFB" w14:textId="5721B1DF" w:rsidR="00584800" w:rsidRPr="00233992" w:rsidRDefault="00584800" w:rsidP="00233992">
      <w:pPr>
        <w:spacing w:line="480" w:lineRule="auto"/>
        <w:jc w:val="both"/>
        <w:rPr>
          <w:sz w:val="22"/>
          <w:szCs w:val="22"/>
        </w:rPr>
      </w:pPr>
      <w:r w:rsidRPr="00233992">
        <w:rPr>
          <w:rFonts w:eastAsiaTheme="minorHAnsi"/>
          <w:sz w:val="22"/>
          <w:szCs w:val="22"/>
          <w:lang w:eastAsia="en-US"/>
        </w:rPr>
        <w:lastRenderedPageBreak/>
        <w:tab/>
      </w:r>
      <w:r w:rsidRPr="00233992">
        <w:rPr>
          <w:sz w:val="22"/>
          <w:szCs w:val="22"/>
        </w:rPr>
        <w:t>To our knowledge, this paper is the first one to analyze</w:t>
      </w:r>
      <w:r w:rsidR="008E2ACF">
        <w:rPr>
          <w:sz w:val="22"/>
          <w:szCs w:val="22"/>
        </w:rPr>
        <w:t xml:space="preserve"> a comprehensive sample of</w:t>
      </w:r>
      <w:r w:rsidRPr="00233992">
        <w:rPr>
          <w:sz w:val="22"/>
          <w:szCs w:val="22"/>
        </w:rPr>
        <w:t xml:space="preserve"> </w:t>
      </w:r>
      <w:r w:rsidR="00EC4DBE">
        <w:rPr>
          <w:sz w:val="22"/>
          <w:szCs w:val="22"/>
        </w:rPr>
        <w:t xml:space="preserve">CFIUS </w:t>
      </w:r>
      <w:r w:rsidR="001E7F28">
        <w:rPr>
          <w:sz w:val="22"/>
          <w:szCs w:val="22"/>
        </w:rPr>
        <w:t>denials of regulatory approval</w:t>
      </w:r>
      <w:r w:rsidR="00EC4DBE">
        <w:rPr>
          <w:sz w:val="22"/>
          <w:szCs w:val="22"/>
        </w:rPr>
        <w:t>, their pattern, and consequences.</w:t>
      </w:r>
      <w:r w:rsidR="008E2ACF">
        <w:rPr>
          <w:sz w:val="22"/>
          <w:szCs w:val="22"/>
        </w:rPr>
        <w:t xml:space="preserve"> Prior </w:t>
      </w:r>
      <w:r w:rsidR="00E70740">
        <w:rPr>
          <w:sz w:val="22"/>
          <w:szCs w:val="22"/>
        </w:rPr>
        <w:t>works</w:t>
      </w:r>
      <w:r w:rsidR="008E2ACF">
        <w:rPr>
          <w:sz w:val="22"/>
          <w:szCs w:val="22"/>
        </w:rPr>
        <w:t xml:space="preserve">, mostly case studies, </w:t>
      </w:r>
      <w:r w:rsidR="002B3423">
        <w:rPr>
          <w:sz w:val="22"/>
          <w:szCs w:val="22"/>
        </w:rPr>
        <w:t>investigate</w:t>
      </w:r>
      <w:r w:rsidR="008E2ACF">
        <w:rPr>
          <w:sz w:val="22"/>
          <w:szCs w:val="22"/>
        </w:rPr>
        <w:t xml:space="preserve"> a small number of selected CFIUS </w:t>
      </w:r>
      <w:r w:rsidR="00E70740">
        <w:rPr>
          <w:sz w:val="22"/>
          <w:szCs w:val="22"/>
        </w:rPr>
        <w:t xml:space="preserve">actions </w:t>
      </w:r>
      <w:r w:rsidR="008E2ACF">
        <w:rPr>
          <w:sz w:val="22"/>
          <w:szCs w:val="22"/>
        </w:rPr>
        <w:t xml:space="preserve">(Connell </w:t>
      </w:r>
      <w:r w:rsidR="00E70740" w:rsidRPr="009E743F">
        <w:rPr>
          <w:rFonts w:eastAsiaTheme="minorHAnsi"/>
          <w:sz w:val="22"/>
          <w:szCs w:val="22"/>
          <w:lang w:eastAsia="en-US"/>
        </w:rPr>
        <w:t>&amp;</w:t>
      </w:r>
      <w:r w:rsidR="00574A7C">
        <w:rPr>
          <w:rFonts w:eastAsiaTheme="minorHAnsi"/>
          <w:sz w:val="22"/>
          <w:szCs w:val="22"/>
          <w:lang w:eastAsia="en-US"/>
        </w:rPr>
        <w:t xml:space="preserve"> </w:t>
      </w:r>
      <w:r w:rsidR="008E2ACF">
        <w:rPr>
          <w:sz w:val="22"/>
          <w:szCs w:val="22"/>
        </w:rPr>
        <w:t xml:space="preserve">Huang, 2014; Josselyn, 2014; Tipler, 2014; Griffin, 2017; Deen Westbrook, 2019; Tarbert, 2020). </w:t>
      </w:r>
      <w:r w:rsidR="00EC4DBE">
        <w:rPr>
          <w:sz w:val="22"/>
          <w:szCs w:val="22"/>
        </w:rPr>
        <w:t xml:space="preserve">It is also the first paper to </w:t>
      </w:r>
      <w:r w:rsidR="008B7B3B">
        <w:rPr>
          <w:sz w:val="22"/>
          <w:szCs w:val="22"/>
        </w:rPr>
        <w:t xml:space="preserve">examine whether and </w:t>
      </w:r>
      <w:r w:rsidRPr="00233992">
        <w:rPr>
          <w:sz w:val="22"/>
          <w:szCs w:val="22"/>
        </w:rPr>
        <w:t xml:space="preserve">how </w:t>
      </w:r>
      <w:r w:rsidR="005B2617" w:rsidRPr="00233992">
        <w:rPr>
          <w:sz w:val="22"/>
          <w:szCs w:val="22"/>
        </w:rPr>
        <w:t xml:space="preserve">the implementation of </w:t>
      </w:r>
      <w:r w:rsidRPr="00233992">
        <w:rPr>
          <w:sz w:val="22"/>
          <w:szCs w:val="22"/>
        </w:rPr>
        <w:t xml:space="preserve">national security </w:t>
      </w:r>
      <w:r w:rsidR="00AF6337" w:rsidRPr="00233992">
        <w:rPr>
          <w:sz w:val="22"/>
          <w:szCs w:val="22"/>
        </w:rPr>
        <w:t xml:space="preserve">policies </w:t>
      </w:r>
      <w:r w:rsidR="001E7F28">
        <w:rPr>
          <w:sz w:val="22"/>
          <w:szCs w:val="22"/>
        </w:rPr>
        <w:t xml:space="preserve">by CFIUS </w:t>
      </w:r>
      <w:r w:rsidR="00AF6337" w:rsidRPr="00233992">
        <w:rPr>
          <w:sz w:val="22"/>
          <w:szCs w:val="22"/>
        </w:rPr>
        <w:t>affect</w:t>
      </w:r>
      <w:r w:rsidR="005B2617" w:rsidRPr="00233992">
        <w:rPr>
          <w:sz w:val="22"/>
          <w:szCs w:val="22"/>
        </w:rPr>
        <w:t>s</w:t>
      </w:r>
      <w:r w:rsidRPr="00233992">
        <w:rPr>
          <w:sz w:val="22"/>
          <w:szCs w:val="22"/>
        </w:rPr>
        <w:t xml:space="preserve"> corporate investment. </w:t>
      </w:r>
      <w:r w:rsidR="00EC4DBE">
        <w:rPr>
          <w:sz w:val="22"/>
          <w:szCs w:val="22"/>
        </w:rPr>
        <w:t xml:space="preserve">It extends and complements empirical papers on </w:t>
      </w:r>
      <w:r w:rsidR="00EC4DBE" w:rsidRPr="00233992">
        <w:rPr>
          <w:sz w:val="22"/>
          <w:szCs w:val="22"/>
        </w:rPr>
        <w:t>economic facets of national security policies (</w:t>
      </w:r>
      <w:r w:rsidR="00437C39">
        <w:rPr>
          <w:sz w:val="22"/>
          <w:szCs w:val="22"/>
        </w:rPr>
        <w:t xml:space="preserve">Connell </w:t>
      </w:r>
      <w:r w:rsidR="000F2ED2" w:rsidRPr="009E743F">
        <w:rPr>
          <w:rFonts w:eastAsiaTheme="minorHAnsi"/>
          <w:sz w:val="22"/>
          <w:szCs w:val="22"/>
          <w:lang w:eastAsia="en-US"/>
        </w:rPr>
        <w:t>&amp;</w:t>
      </w:r>
      <w:r w:rsidR="000F2ED2">
        <w:rPr>
          <w:rFonts w:eastAsiaTheme="minorHAnsi"/>
          <w:sz w:val="22"/>
          <w:szCs w:val="22"/>
          <w:lang w:eastAsia="en-US"/>
        </w:rPr>
        <w:t xml:space="preserve"> </w:t>
      </w:r>
      <w:r w:rsidR="00437C39">
        <w:rPr>
          <w:sz w:val="22"/>
          <w:szCs w:val="22"/>
        </w:rPr>
        <w:t xml:space="preserve">Huang, 2014; </w:t>
      </w:r>
      <w:r w:rsidR="00EC4DBE" w:rsidRPr="00FD51DA">
        <w:rPr>
          <w:sz w:val="22"/>
          <w:szCs w:val="22"/>
        </w:rPr>
        <w:t>Frattaroli</w:t>
      </w:r>
      <w:r w:rsidR="00EC4DBE">
        <w:rPr>
          <w:sz w:val="22"/>
          <w:szCs w:val="22"/>
        </w:rPr>
        <w:t xml:space="preserve">, 2020; </w:t>
      </w:r>
      <w:r w:rsidR="00EC4DBE" w:rsidRPr="00233992">
        <w:rPr>
          <w:sz w:val="22"/>
          <w:szCs w:val="22"/>
        </w:rPr>
        <w:t xml:space="preserve">Godsell </w:t>
      </w:r>
      <w:r w:rsidR="00EC4DBE" w:rsidRPr="0044359F">
        <w:rPr>
          <w:sz w:val="22"/>
          <w:szCs w:val="22"/>
        </w:rPr>
        <w:t>et al</w:t>
      </w:r>
      <w:r w:rsidR="00EC4DBE" w:rsidRPr="00233992">
        <w:rPr>
          <w:sz w:val="22"/>
          <w:szCs w:val="22"/>
        </w:rPr>
        <w:t>., 2023).</w:t>
      </w:r>
      <w:r w:rsidR="009D073E">
        <w:rPr>
          <w:sz w:val="22"/>
          <w:szCs w:val="22"/>
        </w:rPr>
        <w:t xml:space="preserve"> </w:t>
      </w:r>
      <w:r w:rsidRPr="00233992">
        <w:rPr>
          <w:sz w:val="22"/>
          <w:szCs w:val="22"/>
        </w:rPr>
        <w:t xml:space="preserve">As such, our results may be of interest to regulators in countries that have recently adopted or plan to expand CFIUS-like mechanisms to protect critical assets from foreign </w:t>
      </w:r>
      <w:r w:rsidR="0054675C" w:rsidRPr="00233992">
        <w:rPr>
          <w:sz w:val="22"/>
          <w:szCs w:val="22"/>
        </w:rPr>
        <w:t>hands</w:t>
      </w:r>
      <w:r w:rsidR="001E7F28">
        <w:rPr>
          <w:sz w:val="22"/>
          <w:szCs w:val="22"/>
        </w:rPr>
        <w:t xml:space="preserve"> </w:t>
      </w:r>
      <w:r w:rsidR="00F00D80" w:rsidRPr="00233992">
        <w:rPr>
          <w:sz w:val="22"/>
          <w:szCs w:val="22"/>
        </w:rPr>
        <w:t xml:space="preserve">(see Pohl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F00D80" w:rsidRPr="00233992">
        <w:rPr>
          <w:sz w:val="22"/>
          <w:szCs w:val="22"/>
        </w:rPr>
        <w:t xml:space="preserve">Rosselot, </w:t>
      </w:r>
      <w:r w:rsidR="00BC1991" w:rsidRPr="00233992">
        <w:rPr>
          <w:sz w:val="22"/>
          <w:szCs w:val="22"/>
        </w:rPr>
        <w:t>2020)</w:t>
      </w:r>
      <w:r w:rsidR="00C95A5A" w:rsidRPr="00233992">
        <w:rPr>
          <w:sz w:val="22"/>
          <w:szCs w:val="22"/>
        </w:rPr>
        <w:t xml:space="preserve">. </w:t>
      </w:r>
      <w:r w:rsidRPr="00233992">
        <w:rPr>
          <w:sz w:val="22"/>
          <w:szCs w:val="22"/>
        </w:rPr>
        <w:t xml:space="preserve">Our paper also </w:t>
      </w:r>
      <w:r w:rsidR="001E7F28">
        <w:rPr>
          <w:sz w:val="22"/>
          <w:szCs w:val="22"/>
        </w:rPr>
        <w:t>provides</w:t>
      </w:r>
      <w:r w:rsidR="001E7F28" w:rsidRPr="00233992">
        <w:rPr>
          <w:sz w:val="22"/>
          <w:szCs w:val="22"/>
        </w:rPr>
        <w:t xml:space="preserve"> </w:t>
      </w:r>
      <w:r w:rsidRPr="00233992">
        <w:rPr>
          <w:sz w:val="22"/>
          <w:szCs w:val="22"/>
        </w:rPr>
        <w:t xml:space="preserve">new evidence to the </w:t>
      </w:r>
      <w:r w:rsidR="001E7F28">
        <w:rPr>
          <w:sz w:val="22"/>
          <w:szCs w:val="22"/>
        </w:rPr>
        <w:t xml:space="preserve">existing </w:t>
      </w:r>
      <w:r w:rsidRPr="00233992">
        <w:rPr>
          <w:sz w:val="22"/>
          <w:szCs w:val="22"/>
        </w:rPr>
        <w:t>literature that examines restrictions on access to capital and their impact on corporate investment (</w:t>
      </w:r>
      <w:r w:rsidR="00F00D80" w:rsidRPr="00233992">
        <w:rPr>
          <w:color w:val="000000"/>
          <w:sz w:val="22"/>
          <w:szCs w:val="22"/>
        </w:rPr>
        <w:t xml:space="preserve">Rauh, </w:t>
      </w:r>
      <w:r w:rsidRPr="00233992">
        <w:rPr>
          <w:color w:val="000000"/>
          <w:sz w:val="22"/>
          <w:szCs w:val="22"/>
        </w:rPr>
        <w:t>2006</w:t>
      </w:r>
      <w:r w:rsidR="00F00D80" w:rsidRPr="00233992">
        <w:rPr>
          <w:color w:val="000000"/>
          <w:sz w:val="22"/>
          <w:szCs w:val="22"/>
        </w:rPr>
        <w:t xml:space="preserve">; Almeida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F00D80" w:rsidRPr="00233992">
        <w:rPr>
          <w:color w:val="000000"/>
          <w:sz w:val="22"/>
          <w:szCs w:val="22"/>
        </w:rPr>
        <w:t xml:space="preserve">Campello, </w:t>
      </w:r>
      <w:r w:rsidRPr="00233992">
        <w:rPr>
          <w:color w:val="000000"/>
          <w:sz w:val="22"/>
          <w:szCs w:val="22"/>
        </w:rPr>
        <w:t>2007</w:t>
      </w:r>
      <w:r w:rsidR="00F00D80" w:rsidRPr="00233992">
        <w:rPr>
          <w:color w:val="000000"/>
          <w:sz w:val="22"/>
          <w:szCs w:val="22"/>
        </w:rPr>
        <w:t xml:space="preserve">; Forbes, </w:t>
      </w:r>
      <w:r w:rsidRPr="00233992">
        <w:rPr>
          <w:color w:val="000000"/>
          <w:sz w:val="22"/>
          <w:szCs w:val="22"/>
        </w:rPr>
        <w:t>2007</w:t>
      </w:r>
      <w:r w:rsidR="00F00D80" w:rsidRPr="00233992">
        <w:rPr>
          <w:color w:val="000000"/>
          <w:sz w:val="22"/>
          <w:szCs w:val="22"/>
        </w:rPr>
        <w:t xml:space="preserve">; Campbell </w:t>
      </w:r>
      <w:r w:rsidR="00F00D80" w:rsidRPr="000137AC">
        <w:rPr>
          <w:color w:val="000000"/>
          <w:sz w:val="22"/>
          <w:szCs w:val="22"/>
        </w:rPr>
        <w:t>et al</w:t>
      </w:r>
      <w:r w:rsidR="00F00D80" w:rsidRPr="00233992">
        <w:rPr>
          <w:color w:val="000000"/>
          <w:sz w:val="22"/>
          <w:szCs w:val="22"/>
        </w:rPr>
        <w:t xml:space="preserve">., </w:t>
      </w:r>
      <w:r w:rsidRPr="00233992">
        <w:rPr>
          <w:color w:val="000000"/>
          <w:sz w:val="22"/>
          <w:szCs w:val="22"/>
        </w:rPr>
        <w:t>2012</w:t>
      </w:r>
      <w:r w:rsidR="00F00D80" w:rsidRPr="00233992">
        <w:rPr>
          <w:color w:val="000000"/>
          <w:sz w:val="22"/>
          <w:szCs w:val="22"/>
        </w:rPr>
        <w:t>;</w:t>
      </w:r>
      <w:r w:rsidRPr="00233992">
        <w:rPr>
          <w:color w:val="000000"/>
          <w:sz w:val="22"/>
          <w:szCs w:val="22"/>
        </w:rPr>
        <w:t xml:space="preserve"> </w:t>
      </w:r>
      <w:r w:rsidR="00F00D80" w:rsidRPr="00233992">
        <w:rPr>
          <w:rFonts w:eastAsiaTheme="minorHAnsi"/>
          <w:sz w:val="22"/>
          <w:szCs w:val="22"/>
          <w:lang w:eastAsia="en-US"/>
        </w:rPr>
        <w:t xml:space="preserve">Hoberg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F00D80" w:rsidRPr="00233992">
        <w:rPr>
          <w:rFonts w:eastAsiaTheme="minorHAnsi"/>
          <w:sz w:val="22"/>
          <w:szCs w:val="22"/>
          <w:lang w:eastAsia="en-US"/>
        </w:rPr>
        <w:t xml:space="preserve">Maksimovic, </w:t>
      </w:r>
      <w:r w:rsidRPr="00233992">
        <w:rPr>
          <w:rFonts w:eastAsiaTheme="minorHAnsi"/>
          <w:sz w:val="22"/>
          <w:szCs w:val="22"/>
          <w:lang w:eastAsia="en-US"/>
        </w:rPr>
        <w:t>2015</w:t>
      </w:r>
      <w:r w:rsidR="00F00D80" w:rsidRPr="00233992">
        <w:rPr>
          <w:rFonts w:eastAsiaTheme="minorHAnsi"/>
          <w:sz w:val="22"/>
          <w:szCs w:val="22"/>
          <w:lang w:eastAsia="en-US"/>
        </w:rPr>
        <w:t>;</w:t>
      </w:r>
      <w:r w:rsidRPr="00233992">
        <w:rPr>
          <w:rFonts w:eastAsiaTheme="minorHAnsi"/>
          <w:sz w:val="22"/>
          <w:szCs w:val="22"/>
          <w:lang w:eastAsia="en-US"/>
        </w:rPr>
        <w:t xml:space="preserve"> </w:t>
      </w:r>
      <w:r w:rsidRPr="00233992">
        <w:rPr>
          <w:sz w:val="22"/>
          <w:szCs w:val="22"/>
        </w:rPr>
        <w:t xml:space="preserve">Alfaro </w:t>
      </w:r>
      <w:r w:rsidRPr="000137AC">
        <w:rPr>
          <w:sz w:val="22"/>
          <w:szCs w:val="22"/>
        </w:rPr>
        <w:t>et al</w:t>
      </w:r>
      <w:r w:rsidRPr="00233992">
        <w:rPr>
          <w:sz w:val="22"/>
          <w:szCs w:val="22"/>
        </w:rPr>
        <w:t>.</w:t>
      </w:r>
      <w:r w:rsidR="00F00D80" w:rsidRPr="00233992">
        <w:rPr>
          <w:sz w:val="22"/>
          <w:szCs w:val="22"/>
        </w:rPr>
        <w:t>,</w:t>
      </w:r>
      <w:r w:rsidRPr="00233992">
        <w:rPr>
          <w:sz w:val="22"/>
          <w:szCs w:val="22"/>
        </w:rPr>
        <w:t xml:space="preserve"> 2017</w:t>
      </w:r>
      <w:r w:rsidR="00F00D80" w:rsidRPr="00233992">
        <w:rPr>
          <w:sz w:val="22"/>
          <w:szCs w:val="22"/>
        </w:rPr>
        <w:t>;</w:t>
      </w:r>
      <w:r w:rsidR="0003537C" w:rsidRPr="00233992">
        <w:rPr>
          <w:sz w:val="22"/>
          <w:szCs w:val="22"/>
        </w:rPr>
        <w:t xml:space="preserve"> </w:t>
      </w:r>
      <w:r w:rsidR="00F00D80" w:rsidRPr="00233992">
        <w:rPr>
          <w:rFonts w:eastAsiaTheme="minorHAnsi"/>
          <w:sz w:val="22"/>
          <w:szCs w:val="22"/>
          <w:lang w:eastAsia="en-US"/>
        </w:rPr>
        <w:t xml:space="preserve">Santioni </w:t>
      </w:r>
      <w:r w:rsidR="00F00D80" w:rsidRPr="000137AC">
        <w:rPr>
          <w:rFonts w:eastAsiaTheme="minorHAnsi"/>
          <w:sz w:val="22"/>
          <w:szCs w:val="22"/>
          <w:lang w:eastAsia="en-US"/>
        </w:rPr>
        <w:t>et al</w:t>
      </w:r>
      <w:r w:rsidR="00F00D80" w:rsidRPr="00233992">
        <w:rPr>
          <w:rFonts w:eastAsiaTheme="minorHAnsi"/>
          <w:sz w:val="22"/>
          <w:szCs w:val="22"/>
          <w:lang w:eastAsia="en-US"/>
        </w:rPr>
        <w:t xml:space="preserve">., </w:t>
      </w:r>
      <w:r w:rsidR="0003537C" w:rsidRPr="00233992">
        <w:rPr>
          <w:rFonts w:eastAsiaTheme="minorHAnsi"/>
          <w:sz w:val="22"/>
          <w:szCs w:val="22"/>
          <w:lang w:eastAsia="en-US"/>
        </w:rPr>
        <w:t>2020</w:t>
      </w:r>
      <w:r w:rsidRPr="00233992">
        <w:rPr>
          <w:sz w:val="22"/>
          <w:szCs w:val="22"/>
        </w:rPr>
        <w:t>)</w:t>
      </w:r>
      <w:r w:rsidR="00C05A00">
        <w:rPr>
          <w:sz w:val="22"/>
          <w:szCs w:val="22"/>
        </w:rPr>
        <w:t xml:space="preserve">, as well as to </w:t>
      </w:r>
      <w:r w:rsidR="00124304">
        <w:rPr>
          <w:sz w:val="22"/>
          <w:szCs w:val="22"/>
        </w:rPr>
        <w:t xml:space="preserve">prior research </w:t>
      </w:r>
      <w:r w:rsidR="00C05A00">
        <w:rPr>
          <w:sz w:val="22"/>
          <w:szCs w:val="22"/>
        </w:rPr>
        <w:t xml:space="preserve">that </w:t>
      </w:r>
      <w:r w:rsidR="002B3423">
        <w:rPr>
          <w:sz w:val="22"/>
          <w:szCs w:val="22"/>
        </w:rPr>
        <w:t>explores</w:t>
      </w:r>
      <w:r w:rsidR="00C05A00">
        <w:rPr>
          <w:sz w:val="22"/>
          <w:szCs w:val="22"/>
        </w:rPr>
        <w:t xml:space="preserve"> the </w:t>
      </w:r>
      <w:r w:rsidR="001E7F28">
        <w:rPr>
          <w:sz w:val="22"/>
          <w:szCs w:val="22"/>
        </w:rPr>
        <w:t>interplay between</w:t>
      </w:r>
      <w:r w:rsidR="00C05A00">
        <w:rPr>
          <w:sz w:val="22"/>
          <w:szCs w:val="22"/>
        </w:rPr>
        <w:t xml:space="preserve"> compliance </w:t>
      </w:r>
      <w:r w:rsidR="001E7F28">
        <w:rPr>
          <w:sz w:val="22"/>
          <w:szCs w:val="22"/>
        </w:rPr>
        <w:t xml:space="preserve">and </w:t>
      </w:r>
      <w:r w:rsidR="00C05A00">
        <w:rPr>
          <w:sz w:val="22"/>
          <w:szCs w:val="22"/>
        </w:rPr>
        <w:t xml:space="preserve">investment </w:t>
      </w:r>
      <w:r w:rsidR="002B3423">
        <w:rPr>
          <w:sz w:val="22"/>
          <w:szCs w:val="22"/>
        </w:rPr>
        <w:t xml:space="preserve">decisions </w:t>
      </w:r>
      <w:r w:rsidR="00C05A00" w:rsidRPr="001E7F28">
        <w:rPr>
          <w:sz w:val="22"/>
        </w:rPr>
        <w:t xml:space="preserve">(Averch </w:t>
      </w:r>
      <w:r w:rsidR="001E7F28" w:rsidRPr="009E743F">
        <w:rPr>
          <w:rFonts w:eastAsiaTheme="minorHAnsi"/>
          <w:sz w:val="22"/>
          <w:szCs w:val="22"/>
          <w:lang w:eastAsia="en-US"/>
        </w:rPr>
        <w:t>&amp;</w:t>
      </w:r>
      <w:r w:rsidR="001E7F28">
        <w:rPr>
          <w:rFonts w:eastAsiaTheme="minorHAnsi"/>
          <w:sz w:val="22"/>
          <w:szCs w:val="22"/>
          <w:lang w:eastAsia="en-US"/>
        </w:rPr>
        <w:t xml:space="preserve"> </w:t>
      </w:r>
      <w:r w:rsidR="00C05A00" w:rsidRPr="001E7F28">
        <w:rPr>
          <w:sz w:val="22"/>
        </w:rPr>
        <w:t>Johnson 1962; Alesina</w:t>
      </w:r>
      <w:r w:rsidR="009F4897">
        <w:rPr>
          <w:sz w:val="22"/>
        </w:rPr>
        <w:t>,</w:t>
      </w:r>
      <w:r w:rsidR="00C05A00" w:rsidRPr="001E7F28">
        <w:rPr>
          <w:sz w:val="22"/>
        </w:rPr>
        <w:t xml:space="preserve"> </w:t>
      </w:r>
      <w:r w:rsidR="009F4897" w:rsidRPr="009F4897">
        <w:rPr>
          <w:sz w:val="22"/>
        </w:rPr>
        <w:t>Ardagna, Nicoletti,</w:t>
      </w:r>
      <w:r w:rsidR="009F4897">
        <w:rPr>
          <w:sz w:val="22"/>
        </w:rPr>
        <w:t xml:space="preserve"> </w:t>
      </w:r>
      <w:r w:rsidR="009F4897" w:rsidRPr="009E743F">
        <w:rPr>
          <w:rFonts w:eastAsiaTheme="minorHAnsi"/>
          <w:sz w:val="22"/>
          <w:szCs w:val="22"/>
          <w:lang w:eastAsia="en-US"/>
        </w:rPr>
        <w:t>&amp;</w:t>
      </w:r>
      <w:r w:rsidR="009F4897" w:rsidRPr="009F4897">
        <w:rPr>
          <w:sz w:val="22"/>
        </w:rPr>
        <w:t xml:space="preserve"> Schiantarelli, </w:t>
      </w:r>
      <w:r w:rsidR="00C05A00" w:rsidRPr="001E7F28">
        <w:rPr>
          <w:sz w:val="22"/>
        </w:rPr>
        <w:t xml:space="preserve">2005; Grajek </w:t>
      </w:r>
      <w:r w:rsidR="001E7F28" w:rsidRPr="009E743F">
        <w:rPr>
          <w:rFonts w:eastAsiaTheme="minorHAnsi"/>
          <w:sz w:val="22"/>
          <w:szCs w:val="22"/>
          <w:lang w:eastAsia="en-US"/>
        </w:rPr>
        <w:t>&amp;</w:t>
      </w:r>
      <w:r w:rsidR="001E7F28">
        <w:rPr>
          <w:rFonts w:eastAsiaTheme="minorHAnsi"/>
          <w:sz w:val="22"/>
          <w:szCs w:val="22"/>
          <w:lang w:eastAsia="en-US"/>
        </w:rPr>
        <w:t xml:space="preserve"> </w:t>
      </w:r>
      <w:r w:rsidR="00C05A00" w:rsidRPr="001E7F28">
        <w:rPr>
          <w:sz w:val="22"/>
        </w:rPr>
        <w:t>Roller 2012).</w:t>
      </w:r>
      <w:r w:rsidRPr="001E7F28">
        <w:rPr>
          <w:sz w:val="20"/>
          <w:szCs w:val="22"/>
        </w:rPr>
        <w:t xml:space="preserve"> </w:t>
      </w:r>
      <w:r w:rsidRPr="00233992">
        <w:rPr>
          <w:sz w:val="22"/>
          <w:szCs w:val="22"/>
        </w:rPr>
        <w:t xml:space="preserve">Our findings indicate that </w:t>
      </w:r>
      <w:r w:rsidR="00DF015C" w:rsidRPr="00233992">
        <w:rPr>
          <w:sz w:val="22"/>
          <w:szCs w:val="22"/>
        </w:rPr>
        <w:t>restrictions on access to capital imposed by CFIUS</w:t>
      </w:r>
      <w:r w:rsidR="00DF6A19">
        <w:rPr>
          <w:sz w:val="22"/>
          <w:szCs w:val="22"/>
        </w:rPr>
        <w:t xml:space="preserve"> </w:t>
      </w:r>
      <w:r w:rsidR="00DF6A19" w:rsidRPr="00233992">
        <w:rPr>
          <w:sz w:val="22"/>
          <w:szCs w:val="22"/>
        </w:rPr>
        <w:t>deter foreign takeovers of similar firms</w:t>
      </w:r>
      <w:r w:rsidR="00DF6A19">
        <w:rPr>
          <w:sz w:val="22"/>
          <w:szCs w:val="22"/>
        </w:rPr>
        <w:t>,</w:t>
      </w:r>
      <w:r w:rsidR="00DF015C" w:rsidRPr="00233992">
        <w:rPr>
          <w:sz w:val="22"/>
          <w:szCs w:val="22"/>
        </w:rPr>
        <w:t xml:space="preserve"> </w:t>
      </w:r>
      <w:r w:rsidRPr="00233992">
        <w:rPr>
          <w:sz w:val="22"/>
          <w:szCs w:val="22"/>
        </w:rPr>
        <w:t>decrease equity values</w:t>
      </w:r>
      <w:r w:rsidR="00DF6A19">
        <w:rPr>
          <w:sz w:val="22"/>
          <w:szCs w:val="22"/>
        </w:rPr>
        <w:t>,</w:t>
      </w:r>
      <w:r w:rsidRPr="00233992">
        <w:rPr>
          <w:sz w:val="22"/>
          <w:szCs w:val="22"/>
        </w:rPr>
        <w:t xml:space="preserve"> and increase </w:t>
      </w:r>
      <w:r w:rsidR="006A5BB0" w:rsidRPr="00233992">
        <w:rPr>
          <w:sz w:val="22"/>
          <w:szCs w:val="22"/>
        </w:rPr>
        <w:t xml:space="preserve">the </w:t>
      </w:r>
      <w:r w:rsidRPr="00233992">
        <w:rPr>
          <w:sz w:val="22"/>
          <w:szCs w:val="22"/>
        </w:rPr>
        <w:t xml:space="preserve">cost of capital, thus resulting in a reduction in corporate investment. Prior research examines </w:t>
      </w:r>
      <w:r w:rsidR="00640D1F" w:rsidRPr="00233992">
        <w:rPr>
          <w:sz w:val="22"/>
          <w:szCs w:val="22"/>
        </w:rPr>
        <w:t>similar</w:t>
      </w:r>
      <w:r w:rsidRPr="00233992">
        <w:rPr>
          <w:sz w:val="22"/>
          <w:szCs w:val="22"/>
        </w:rPr>
        <w:t xml:space="preserve"> restrictions in developing economies s</w:t>
      </w:r>
      <w:r w:rsidR="00F665C7" w:rsidRPr="00233992">
        <w:rPr>
          <w:sz w:val="22"/>
          <w:szCs w:val="22"/>
        </w:rPr>
        <w:t xml:space="preserve">uch as Brazil and Chile </w:t>
      </w:r>
      <w:r w:rsidR="00FD51DA">
        <w:rPr>
          <w:sz w:val="22"/>
          <w:szCs w:val="22"/>
        </w:rPr>
        <w:t>and</w:t>
      </w:r>
      <w:r w:rsidR="00A01B51">
        <w:rPr>
          <w:sz w:val="22"/>
          <w:szCs w:val="22"/>
        </w:rPr>
        <w:t xml:space="preserve"> in developed economies such as</w:t>
      </w:r>
      <w:r w:rsidR="00FD51DA">
        <w:rPr>
          <w:sz w:val="22"/>
          <w:szCs w:val="22"/>
        </w:rPr>
        <w:t xml:space="preserve"> France </w:t>
      </w:r>
      <w:r w:rsidR="00F665C7" w:rsidRPr="00233992">
        <w:rPr>
          <w:sz w:val="22"/>
          <w:szCs w:val="22"/>
        </w:rPr>
        <w:t xml:space="preserve">(Forbes, </w:t>
      </w:r>
      <w:r w:rsidRPr="00233992">
        <w:rPr>
          <w:sz w:val="22"/>
          <w:szCs w:val="22"/>
        </w:rPr>
        <w:t>2007</w:t>
      </w:r>
      <w:r w:rsidR="00F665C7" w:rsidRPr="00233992">
        <w:rPr>
          <w:sz w:val="22"/>
          <w:szCs w:val="22"/>
        </w:rPr>
        <w:t>;</w:t>
      </w:r>
      <w:r w:rsidRPr="00233992">
        <w:rPr>
          <w:sz w:val="22"/>
          <w:szCs w:val="22"/>
        </w:rPr>
        <w:t xml:space="preserve"> Alfaro </w:t>
      </w:r>
      <w:r w:rsidRPr="000137AC">
        <w:rPr>
          <w:sz w:val="22"/>
          <w:szCs w:val="22"/>
        </w:rPr>
        <w:t>et al.</w:t>
      </w:r>
      <w:r w:rsidR="00F665C7" w:rsidRPr="000137AC">
        <w:rPr>
          <w:sz w:val="22"/>
          <w:szCs w:val="22"/>
        </w:rPr>
        <w:t>,</w:t>
      </w:r>
      <w:r w:rsidRPr="000137AC">
        <w:rPr>
          <w:sz w:val="22"/>
          <w:szCs w:val="22"/>
        </w:rPr>
        <w:t xml:space="preserve"> </w:t>
      </w:r>
      <w:r w:rsidRPr="00233992">
        <w:rPr>
          <w:sz w:val="22"/>
          <w:szCs w:val="22"/>
        </w:rPr>
        <w:t>2017</w:t>
      </w:r>
      <w:r w:rsidR="00FD51DA">
        <w:rPr>
          <w:sz w:val="22"/>
          <w:szCs w:val="22"/>
        </w:rPr>
        <w:t xml:space="preserve">; </w:t>
      </w:r>
      <w:r w:rsidR="00FD51DA" w:rsidRPr="00FD51DA">
        <w:rPr>
          <w:sz w:val="22"/>
          <w:szCs w:val="22"/>
        </w:rPr>
        <w:t>Frattaroli</w:t>
      </w:r>
      <w:r w:rsidR="00FD51DA">
        <w:rPr>
          <w:sz w:val="22"/>
          <w:szCs w:val="22"/>
        </w:rPr>
        <w:t>, 2020</w:t>
      </w:r>
      <w:r w:rsidRPr="00233992">
        <w:rPr>
          <w:sz w:val="22"/>
          <w:szCs w:val="22"/>
        </w:rPr>
        <w:t xml:space="preserve">). We contribute to this literature by showing </w:t>
      </w:r>
      <w:r w:rsidR="008C6C9F">
        <w:rPr>
          <w:sz w:val="22"/>
          <w:szCs w:val="22"/>
        </w:rPr>
        <w:t>how</w:t>
      </w:r>
      <w:r w:rsidRPr="00233992">
        <w:rPr>
          <w:sz w:val="22"/>
          <w:szCs w:val="22"/>
        </w:rPr>
        <w:t xml:space="preserve"> bans on foreign </w:t>
      </w:r>
      <w:r w:rsidR="00636F2B">
        <w:rPr>
          <w:sz w:val="22"/>
          <w:szCs w:val="22"/>
        </w:rPr>
        <w:t>takeovers</w:t>
      </w:r>
      <w:r w:rsidRPr="00233992">
        <w:rPr>
          <w:sz w:val="22"/>
          <w:szCs w:val="22"/>
        </w:rPr>
        <w:t xml:space="preserve"> </w:t>
      </w:r>
      <w:r w:rsidR="008C6C9F">
        <w:rPr>
          <w:sz w:val="22"/>
          <w:szCs w:val="22"/>
        </w:rPr>
        <w:t xml:space="preserve">affect corporate investment </w:t>
      </w:r>
      <w:r w:rsidRPr="00233992">
        <w:rPr>
          <w:sz w:val="22"/>
          <w:szCs w:val="22"/>
        </w:rPr>
        <w:t>in the U</w:t>
      </w:r>
      <w:r w:rsidR="008A3E91">
        <w:rPr>
          <w:sz w:val="22"/>
          <w:szCs w:val="22"/>
        </w:rPr>
        <w:t>.</w:t>
      </w:r>
      <w:r w:rsidR="00D055A2" w:rsidRPr="00233992">
        <w:rPr>
          <w:sz w:val="22"/>
          <w:szCs w:val="22"/>
        </w:rPr>
        <w:t>S</w:t>
      </w:r>
      <w:r w:rsidR="008A3E91">
        <w:rPr>
          <w:sz w:val="22"/>
          <w:szCs w:val="22"/>
        </w:rPr>
        <w:t>.</w:t>
      </w:r>
      <w:r w:rsidRPr="00233992">
        <w:rPr>
          <w:sz w:val="22"/>
          <w:szCs w:val="22"/>
        </w:rPr>
        <w:t xml:space="preserve"> economy. </w:t>
      </w:r>
    </w:p>
    <w:p w14:paraId="004667C1" w14:textId="03D89C11" w:rsidR="00584800" w:rsidRPr="00233992" w:rsidRDefault="00584800" w:rsidP="00233992">
      <w:pPr>
        <w:spacing w:line="480" w:lineRule="auto"/>
        <w:jc w:val="both"/>
        <w:rPr>
          <w:sz w:val="22"/>
          <w:szCs w:val="22"/>
        </w:rPr>
      </w:pPr>
      <w:r w:rsidRPr="00233992">
        <w:rPr>
          <w:rFonts w:eastAsiaTheme="minorHAnsi"/>
          <w:sz w:val="22"/>
          <w:szCs w:val="22"/>
          <w:lang w:eastAsia="en-US"/>
        </w:rPr>
        <w:tab/>
      </w:r>
      <w:r w:rsidR="009978FB" w:rsidRPr="00233992">
        <w:rPr>
          <w:rFonts w:eastAsiaTheme="minorHAnsi"/>
          <w:sz w:val="22"/>
          <w:szCs w:val="22"/>
          <w:lang w:eastAsia="en-US"/>
        </w:rPr>
        <w:t xml:space="preserve">The remainder of the paper is organized as follows. </w:t>
      </w:r>
      <w:r w:rsidRPr="00233992">
        <w:rPr>
          <w:sz w:val="22"/>
          <w:szCs w:val="22"/>
        </w:rPr>
        <w:t>In the next section, we illustrate CFIUS and its process of reviewing foreign investments</w:t>
      </w:r>
      <w:r w:rsidR="00797CDD" w:rsidRPr="00233992">
        <w:rPr>
          <w:sz w:val="22"/>
          <w:szCs w:val="22"/>
        </w:rPr>
        <w:t>. In S</w:t>
      </w:r>
      <w:r w:rsidRPr="00233992">
        <w:rPr>
          <w:sz w:val="22"/>
          <w:szCs w:val="22"/>
        </w:rPr>
        <w:t xml:space="preserve">ections 3 and 4, we describe </w:t>
      </w:r>
      <w:r w:rsidR="002B2C30" w:rsidRPr="00233992">
        <w:rPr>
          <w:sz w:val="22"/>
          <w:szCs w:val="22"/>
        </w:rPr>
        <w:t xml:space="preserve">CFIUS </w:t>
      </w:r>
      <w:r w:rsidR="002B2C30">
        <w:rPr>
          <w:sz w:val="22"/>
          <w:szCs w:val="22"/>
        </w:rPr>
        <w:t>denials of regulatory approval</w:t>
      </w:r>
      <w:r w:rsidRPr="00233992">
        <w:rPr>
          <w:sz w:val="22"/>
          <w:szCs w:val="22"/>
        </w:rPr>
        <w:t xml:space="preserve"> and then analyze the</w:t>
      </w:r>
      <w:r w:rsidR="002B2C30">
        <w:rPr>
          <w:sz w:val="22"/>
          <w:szCs w:val="22"/>
        </w:rPr>
        <w:t>ir</w:t>
      </w:r>
      <w:r w:rsidRPr="00233992">
        <w:rPr>
          <w:sz w:val="22"/>
          <w:szCs w:val="22"/>
        </w:rPr>
        <w:t xml:space="preserve"> impact on corporate investment. In Section 5, we perform the endogeneity analysis. In Section 6, we explore the moderating role of financial constraints. In Sections 7 and 8, we conduct additional analyses and robustness tests. In Section 9, we conclude.</w:t>
      </w:r>
    </w:p>
    <w:p w14:paraId="0C65F17D" w14:textId="77777777" w:rsidR="00A0522E" w:rsidRPr="00233992" w:rsidRDefault="00A0522E" w:rsidP="00233992">
      <w:pPr>
        <w:spacing w:line="480" w:lineRule="auto"/>
        <w:jc w:val="both"/>
        <w:rPr>
          <w:sz w:val="22"/>
          <w:szCs w:val="22"/>
        </w:rPr>
      </w:pPr>
    </w:p>
    <w:p w14:paraId="5493FBCE" w14:textId="4A57C8FF" w:rsidR="00245A4A" w:rsidRPr="00233992" w:rsidRDefault="006F023A" w:rsidP="00233992">
      <w:pPr>
        <w:pStyle w:val="Paragraphedeliste"/>
        <w:numPr>
          <w:ilvl w:val="0"/>
          <w:numId w:val="5"/>
        </w:numPr>
        <w:spacing w:line="480" w:lineRule="auto"/>
        <w:jc w:val="both"/>
        <w:rPr>
          <w:sz w:val="22"/>
          <w:szCs w:val="22"/>
        </w:rPr>
      </w:pPr>
      <w:r>
        <w:rPr>
          <w:b/>
          <w:bCs/>
          <w:sz w:val="22"/>
          <w:szCs w:val="22"/>
        </w:rPr>
        <w:t>Institutional b</w:t>
      </w:r>
      <w:r w:rsidR="00245A4A" w:rsidRPr="00233992">
        <w:rPr>
          <w:b/>
          <w:bCs/>
          <w:sz w:val="22"/>
          <w:szCs w:val="22"/>
        </w:rPr>
        <w:t>ackground</w:t>
      </w:r>
    </w:p>
    <w:p w14:paraId="4C300353" w14:textId="25BCF6BC" w:rsidR="00245A4A" w:rsidRPr="00233992" w:rsidRDefault="000F45AF" w:rsidP="00233992">
      <w:pPr>
        <w:spacing w:line="480" w:lineRule="auto"/>
        <w:jc w:val="both"/>
        <w:rPr>
          <w:sz w:val="22"/>
          <w:szCs w:val="22"/>
        </w:rPr>
      </w:pPr>
      <w:r w:rsidRPr="00233992">
        <w:rPr>
          <w:rFonts w:eastAsiaTheme="minorHAnsi"/>
          <w:sz w:val="22"/>
          <w:szCs w:val="22"/>
          <w:lang w:eastAsia="en-US"/>
        </w:rPr>
        <w:tab/>
      </w:r>
      <w:r w:rsidR="00245A4A" w:rsidRPr="00233992">
        <w:rPr>
          <w:sz w:val="22"/>
          <w:szCs w:val="22"/>
        </w:rPr>
        <w:t>The Committee on Foreign Investment in the United States</w:t>
      </w:r>
      <w:r w:rsidR="00A07A50" w:rsidRPr="00233992">
        <w:rPr>
          <w:sz w:val="22"/>
          <w:szCs w:val="22"/>
        </w:rPr>
        <w:t xml:space="preserve"> (CFIUS)</w:t>
      </w:r>
      <w:r w:rsidR="00245A4A" w:rsidRPr="00233992">
        <w:rPr>
          <w:sz w:val="22"/>
          <w:szCs w:val="22"/>
        </w:rPr>
        <w:t>, which has operated since 1975, comprises top government officials</w:t>
      </w:r>
      <w:r w:rsidR="00242775" w:rsidRPr="00233992">
        <w:rPr>
          <w:sz w:val="22"/>
          <w:szCs w:val="22"/>
        </w:rPr>
        <w:t>,</w:t>
      </w:r>
      <w:r w:rsidR="00245A4A" w:rsidRPr="00233992">
        <w:rPr>
          <w:sz w:val="22"/>
          <w:szCs w:val="22"/>
        </w:rPr>
        <w:t xml:space="preserve"> such as the heads of the </w:t>
      </w:r>
      <w:r w:rsidR="00242775" w:rsidRPr="00233992">
        <w:rPr>
          <w:sz w:val="22"/>
          <w:szCs w:val="22"/>
        </w:rPr>
        <w:t>d</w:t>
      </w:r>
      <w:r w:rsidR="00245A4A" w:rsidRPr="00233992">
        <w:rPr>
          <w:sz w:val="22"/>
          <w:szCs w:val="22"/>
        </w:rPr>
        <w:t>epartment</w:t>
      </w:r>
      <w:r w:rsidR="00242775" w:rsidRPr="00233992">
        <w:rPr>
          <w:sz w:val="22"/>
          <w:szCs w:val="22"/>
        </w:rPr>
        <w:t>s</w:t>
      </w:r>
      <w:r w:rsidR="00245A4A" w:rsidRPr="00233992">
        <w:rPr>
          <w:sz w:val="22"/>
          <w:szCs w:val="22"/>
        </w:rPr>
        <w:t xml:space="preserve"> of the Treasury (chair), </w:t>
      </w:r>
      <w:r w:rsidR="001351CE" w:rsidRPr="00233992">
        <w:rPr>
          <w:sz w:val="22"/>
          <w:szCs w:val="22"/>
        </w:rPr>
        <w:lastRenderedPageBreak/>
        <w:t xml:space="preserve">Commerce, Defense, Energy, Homeland Security, </w:t>
      </w:r>
      <w:r w:rsidR="00245A4A" w:rsidRPr="00233992">
        <w:rPr>
          <w:sz w:val="22"/>
          <w:szCs w:val="22"/>
        </w:rPr>
        <w:t>Justice</w:t>
      </w:r>
      <w:r w:rsidR="00FB100C">
        <w:rPr>
          <w:sz w:val="22"/>
          <w:szCs w:val="22"/>
        </w:rPr>
        <w:t>,</w:t>
      </w:r>
      <w:r w:rsidR="001351CE" w:rsidRPr="00233992">
        <w:rPr>
          <w:sz w:val="22"/>
          <w:szCs w:val="22"/>
        </w:rPr>
        <w:t xml:space="preserve"> </w:t>
      </w:r>
      <w:r w:rsidR="00242775" w:rsidRPr="00233992">
        <w:rPr>
          <w:sz w:val="22"/>
          <w:szCs w:val="22"/>
        </w:rPr>
        <w:t>and</w:t>
      </w:r>
      <w:r w:rsidR="00245A4A" w:rsidRPr="00233992">
        <w:rPr>
          <w:sz w:val="22"/>
          <w:szCs w:val="22"/>
        </w:rPr>
        <w:t xml:space="preserve"> </w:t>
      </w:r>
      <w:r w:rsidR="001351CE" w:rsidRPr="00233992">
        <w:rPr>
          <w:sz w:val="22"/>
          <w:szCs w:val="22"/>
        </w:rPr>
        <w:t>State</w:t>
      </w:r>
      <w:r w:rsidR="00245A4A" w:rsidRPr="00233992">
        <w:rPr>
          <w:sz w:val="22"/>
          <w:szCs w:val="22"/>
        </w:rPr>
        <w:t>.</w:t>
      </w:r>
      <w:r w:rsidR="00245A4A" w:rsidRPr="00233992">
        <w:rPr>
          <w:rStyle w:val="Appelnotedebasdep"/>
          <w:sz w:val="22"/>
          <w:szCs w:val="22"/>
        </w:rPr>
        <w:footnoteReference w:id="7"/>
      </w:r>
      <w:r w:rsidR="00245A4A" w:rsidRPr="00233992">
        <w:rPr>
          <w:sz w:val="22"/>
          <w:szCs w:val="22"/>
        </w:rPr>
        <w:t xml:space="preserve"> </w:t>
      </w:r>
      <w:r w:rsidR="001D6948" w:rsidRPr="00233992">
        <w:rPr>
          <w:sz w:val="22"/>
          <w:szCs w:val="22"/>
        </w:rPr>
        <w:t xml:space="preserve">The goal of this committee is to advise the president on national security implications of foreign investments. </w:t>
      </w:r>
      <w:r w:rsidR="00245A4A" w:rsidRPr="00233992">
        <w:rPr>
          <w:sz w:val="22"/>
          <w:szCs w:val="22"/>
        </w:rPr>
        <w:t xml:space="preserve">CFIUS is </w:t>
      </w:r>
      <w:r w:rsidR="001D6948" w:rsidRPr="00233992">
        <w:rPr>
          <w:sz w:val="22"/>
          <w:szCs w:val="22"/>
        </w:rPr>
        <w:t xml:space="preserve">therefore </w:t>
      </w:r>
      <w:r w:rsidR="00245A4A" w:rsidRPr="00233992">
        <w:rPr>
          <w:sz w:val="22"/>
          <w:szCs w:val="22"/>
        </w:rPr>
        <w:t>a governmental body under the direct authority of the president</w:t>
      </w:r>
      <w:r w:rsidR="00390555" w:rsidRPr="00233992">
        <w:rPr>
          <w:sz w:val="22"/>
          <w:szCs w:val="22"/>
        </w:rPr>
        <w:t xml:space="preserve"> </w:t>
      </w:r>
      <w:r w:rsidR="00943ED9">
        <w:rPr>
          <w:sz w:val="22"/>
          <w:szCs w:val="22"/>
        </w:rPr>
        <w:t>that</w:t>
      </w:r>
      <w:r w:rsidR="005B2617" w:rsidRPr="00233992">
        <w:rPr>
          <w:sz w:val="22"/>
          <w:szCs w:val="22"/>
        </w:rPr>
        <w:t xml:space="preserve"> </w:t>
      </w:r>
      <w:r w:rsidR="00943ED9">
        <w:rPr>
          <w:sz w:val="22"/>
          <w:szCs w:val="22"/>
        </w:rPr>
        <w:t xml:space="preserve">can block foreign takeovers </w:t>
      </w:r>
      <w:r w:rsidR="00DF015C" w:rsidRPr="00233992">
        <w:rPr>
          <w:sz w:val="22"/>
          <w:szCs w:val="22"/>
        </w:rPr>
        <w:t>on national security grounds</w:t>
      </w:r>
      <w:r w:rsidR="001D6948" w:rsidRPr="00233992">
        <w:rPr>
          <w:sz w:val="22"/>
          <w:szCs w:val="22"/>
        </w:rPr>
        <w:t>, pursuant to Section 721 of the Defense Production Act of 1950 as amended with the Exon-Florio Provision in 1988</w:t>
      </w:r>
      <w:r w:rsidR="005B2617" w:rsidRPr="00233992">
        <w:rPr>
          <w:sz w:val="22"/>
          <w:szCs w:val="22"/>
        </w:rPr>
        <w:t xml:space="preserve"> (Jackson, 2020)</w:t>
      </w:r>
      <w:r w:rsidR="001D6948" w:rsidRPr="00233992">
        <w:rPr>
          <w:sz w:val="22"/>
          <w:szCs w:val="22"/>
        </w:rPr>
        <w:t>. The</w:t>
      </w:r>
      <w:r w:rsidR="00DF015C" w:rsidRPr="00233992">
        <w:rPr>
          <w:sz w:val="22"/>
          <w:szCs w:val="22"/>
        </w:rPr>
        <w:t>se</w:t>
      </w:r>
      <w:r w:rsidR="001D6948" w:rsidRPr="00233992">
        <w:rPr>
          <w:sz w:val="22"/>
          <w:szCs w:val="22"/>
        </w:rPr>
        <w:t xml:space="preserve"> powers </w:t>
      </w:r>
      <w:r w:rsidR="00DF015C" w:rsidRPr="00233992">
        <w:rPr>
          <w:sz w:val="22"/>
          <w:szCs w:val="22"/>
        </w:rPr>
        <w:t xml:space="preserve">are exercised </w:t>
      </w:r>
      <w:r w:rsidR="001D6948" w:rsidRPr="00233992">
        <w:rPr>
          <w:sz w:val="22"/>
          <w:szCs w:val="22"/>
        </w:rPr>
        <w:t>if two criteria are met: there is no other adequate law to protect national interests, and credible evidence about a national security threat is available.</w:t>
      </w:r>
    </w:p>
    <w:p w14:paraId="68FC59CC" w14:textId="341E75BB" w:rsidR="00245A4A" w:rsidRPr="00D47BCE" w:rsidRDefault="000F45AF" w:rsidP="00233992">
      <w:pPr>
        <w:spacing w:line="480" w:lineRule="auto"/>
        <w:jc w:val="both"/>
        <w:rPr>
          <w:rFonts w:eastAsiaTheme="minorHAnsi"/>
          <w:sz w:val="22"/>
          <w:szCs w:val="22"/>
          <w:lang w:eastAsia="en-US"/>
        </w:rPr>
      </w:pPr>
      <w:r w:rsidRPr="00233992">
        <w:rPr>
          <w:rFonts w:eastAsiaTheme="minorHAnsi"/>
          <w:sz w:val="22"/>
          <w:szCs w:val="22"/>
          <w:lang w:eastAsia="en-US"/>
        </w:rPr>
        <w:tab/>
      </w:r>
      <w:r w:rsidR="00D677EC" w:rsidRPr="00233992">
        <w:rPr>
          <w:sz w:val="22"/>
          <w:szCs w:val="22"/>
        </w:rPr>
        <w:t xml:space="preserve">According to the </w:t>
      </w:r>
      <w:r w:rsidR="00DC563A" w:rsidRPr="00233992">
        <w:rPr>
          <w:sz w:val="22"/>
          <w:szCs w:val="22"/>
        </w:rPr>
        <w:t>final regulations</w:t>
      </w:r>
      <w:r w:rsidR="00D677EC" w:rsidRPr="00233992">
        <w:rPr>
          <w:sz w:val="22"/>
          <w:szCs w:val="22"/>
        </w:rPr>
        <w:t xml:space="preserve"> of t</w:t>
      </w:r>
      <w:r w:rsidR="00FB100C">
        <w:rPr>
          <w:sz w:val="22"/>
          <w:szCs w:val="22"/>
        </w:rPr>
        <w:t>he d</w:t>
      </w:r>
      <w:r w:rsidR="00297E8B" w:rsidRPr="00233992">
        <w:rPr>
          <w:sz w:val="22"/>
          <w:szCs w:val="22"/>
        </w:rPr>
        <w:t>epartment of the Treasury</w:t>
      </w:r>
      <w:r w:rsidR="00D677EC" w:rsidRPr="00233992">
        <w:rPr>
          <w:sz w:val="22"/>
          <w:szCs w:val="22"/>
        </w:rPr>
        <w:t xml:space="preserve">, </w:t>
      </w:r>
      <w:r w:rsidR="00297E8B" w:rsidRPr="00233992">
        <w:rPr>
          <w:sz w:val="22"/>
          <w:szCs w:val="22"/>
        </w:rPr>
        <w:t>all foreign takeovers are within the scope of CFIUS with the exception</w:t>
      </w:r>
      <w:r w:rsidR="00D677EC" w:rsidRPr="00233992">
        <w:rPr>
          <w:sz w:val="22"/>
          <w:szCs w:val="22"/>
        </w:rPr>
        <w:t>s</w:t>
      </w:r>
      <w:r w:rsidR="00297E8B" w:rsidRPr="00233992">
        <w:rPr>
          <w:sz w:val="22"/>
          <w:szCs w:val="22"/>
        </w:rPr>
        <w:t xml:space="preserve"> of “an acquisition of any part of an entity or of assets that do not constitute a U</w:t>
      </w:r>
      <w:r w:rsidR="008A3E91">
        <w:rPr>
          <w:sz w:val="22"/>
          <w:szCs w:val="22"/>
        </w:rPr>
        <w:t>.</w:t>
      </w:r>
      <w:r w:rsidR="00297E8B" w:rsidRPr="00233992">
        <w:rPr>
          <w:sz w:val="22"/>
          <w:szCs w:val="22"/>
        </w:rPr>
        <w:t>S</w:t>
      </w:r>
      <w:r w:rsidR="008A3E91">
        <w:rPr>
          <w:sz w:val="22"/>
          <w:szCs w:val="22"/>
        </w:rPr>
        <w:t>.</w:t>
      </w:r>
      <w:r w:rsidR="00297E8B" w:rsidRPr="00233992">
        <w:rPr>
          <w:sz w:val="22"/>
          <w:szCs w:val="22"/>
        </w:rPr>
        <w:t xml:space="preserve"> business” and transactions involving less than 10% of t</w:t>
      </w:r>
      <w:r w:rsidR="00D854F6" w:rsidRPr="00233992">
        <w:rPr>
          <w:sz w:val="22"/>
          <w:szCs w:val="22"/>
        </w:rPr>
        <w:t>he equity capital of the target</w:t>
      </w:r>
      <w:r w:rsidR="00245A4A" w:rsidRPr="00233992">
        <w:rPr>
          <w:sz w:val="22"/>
          <w:szCs w:val="22"/>
        </w:rPr>
        <w:t>.</w:t>
      </w:r>
      <w:r w:rsidR="002F239F" w:rsidRPr="00233992">
        <w:rPr>
          <w:sz w:val="22"/>
          <w:szCs w:val="22"/>
        </w:rPr>
        <w:t xml:space="preserve"> Unlike laws and statutes that allow </w:t>
      </w:r>
      <w:r w:rsidR="005B2617" w:rsidRPr="00233992">
        <w:rPr>
          <w:sz w:val="22"/>
          <w:szCs w:val="22"/>
        </w:rPr>
        <w:t>targets</w:t>
      </w:r>
      <w:r w:rsidR="002F239F" w:rsidRPr="00233992">
        <w:rPr>
          <w:sz w:val="22"/>
          <w:szCs w:val="22"/>
        </w:rPr>
        <w:t xml:space="preserve"> to fend off hostile takeovers, which have been investigated </w:t>
      </w:r>
      <w:r w:rsidR="005B2617" w:rsidRPr="00233992">
        <w:rPr>
          <w:sz w:val="22"/>
          <w:szCs w:val="22"/>
        </w:rPr>
        <w:t>already</w:t>
      </w:r>
      <w:r w:rsidR="002F239F" w:rsidRPr="00233992">
        <w:rPr>
          <w:sz w:val="22"/>
          <w:szCs w:val="22"/>
        </w:rPr>
        <w:t xml:space="preserve"> (</w:t>
      </w:r>
      <w:bookmarkStart w:id="3" w:name="_Hlk148279463"/>
      <w:r w:rsidR="00F665C7" w:rsidRPr="00233992">
        <w:rPr>
          <w:sz w:val="22"/>
          <w:szCs w:val="22"/>
        </w:rPr>
        <w:t xml:space="preserve">Bertrand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F665C7" w:rsidRPr="00233992">
        <w:rPr>
          <w:sz w:val="22"/>
          <w:szCs w:val="22"/>
        </w:rPr>
        <w:t xml:space="preserve">Mullainathan, </w:t>
      </w:r>
      <w:r w:rsidR="002F239F" w:rsidRPr="00233992">
        <w:rPr>
          <w:sz w:val="22"/>
          <w:szCs w:val="22"/>
        </w:rPr>
        <w:t>2003</w:t>
      </w:r>
      <w:r w:rsidR="00F665C7" w:rsidRPr="00233992">
        <w:rPr>
          <w:sz w:val="22"/>
          <w:szCs w:val="22"/>
        </w:rPr>
        <w:t>;</w:t>
      </w:r>
      <w:r w:rsidR="002F239F" w:rsidRPr="00233992">
        <w:rPr>
          <w:sz w:val="22"/>
          <w:szCs w:val="22"/>
        </w:rPr>
        <w:t xml:space="preserve"> </w:t>
      </w:r>
      <w:r w:rsidR="001A44D2" w:rsidRPr="00233992">
        <w:rPr>
          <w:sz w:val="22"/>
          <w:szCs w:val="22"/>
        </w:rPr>
        <w:t xml:space="preserve">Gompers, Ishii,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1A44D2" w:rsidRPr="00233992">
        <w:rPr>
          <w:sz w:val="22"/>
          <w:szCs w:val="22"/>
        </w:rPr>
        <w:t>Metrick</w:t>
      </w:r>
      <w:r w:rsidR="00F665C7" w:rsidRPr="00233992">
        <w:rPr>
          <w:sz w:val="22"/>
          <w:szCs w:val="22"/>
        </w:rPr>
        <w:t>,</w:t>
      </w:r>
      <w:r w:rsidR="001A44D2" w:rsidRPr="00233992">
        <w:rPr>
          <w:sz w:val="22"/>
          <w:szCs w:val="22"/>
        </w:rPr>
        <w:t xml:space="preserve"> </w:t>
      </w:r>
      <w:bookmarkEnd w:id="3"/>
      <w:r w:rsidR="002F239F" w:rsidRPr="00233992">
        <w:rPr>
          <w:sz w:val="22"/>
          <w:szCs w:val="22"/>
        </w:rPr>
        <w:t>2003</w:t>
      </w:r>
      <w:r w:rsidR="00F665C7" w:rsidRPr="00233992">
        <w:rPr>
          <w:sz w:val="22"/>
          <w:szCs w:val="22"/>
        </w:rPr>
        <w:t>;</w:t>
      </w:r>
      <w:bookmarkStart w:id="4" w:name="_Hlk148279515"/>
      <w:r w:rsidR="00F665C7" w:rsidRPr="00233992">
        <w:rPr>
          <w:sz w:val="22"/>
          <w:szCs w:val="22"/>
        </w:rPr>
        <w:t xml:space="preserve"> </w:t>
      </w:r>
      <w:r w:rsidR="001A44D2" w:rsidRPr="00233992">
        <w:rPr>
          <w:sz w:val="22"/>
          <w:szCs w:val="22"/>
        </w:rPr>
        <w:t xml:space="preserve">Bebchuk, Cohen,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1A44D2" w:rsidRPr="00233992">
        <w:rPr>
          <w:sz w:val="22"/>
          <w:szCs w:val="22"/>
        </w:rPr>
        <w:t>Ferrell</w:t>
      </w:r>
      <w:r w:rsidR="00F665C7" w:rsidRPr="00233992">
        <w:rPr>
          <w:sz w:val="22"/>
          <w:szCs w:val="22"/>
        </w:rPr>
        <w:t xml:space="preserve">, </w:t>
      </w:r>
      <w:r w:rsidR="002F239F" w:rsidRPr="00233992">
        <w:rPr>
          <w:sz w:val="22"/>
          <w:szCs w:val="22"/>
        </w:rPr>
        <w:t xml:space="preserve">2009), </w:t>
      </w:r>
      <w:bookmarkEnd w:id="4"/>
      <w:r w:rsidR="002F239F" w:rsidRPr="00233992">
        <w:rPr>
          <w:sz w:val="22"/>
          <w:szCs w:val="22"/>
        </w:rPr>
        <w:t xml:space="preserve">restrictions on access to capital imposed by CFIUS prevent firms from selling equity stakes to foreign </w:t>
      </w:r>
      <w:r w:rsidR="005B2617" w:rsidRPr="00233992">
        <w:rPr>
          <w:sz w:val="22"/>
          <w:szCs w:val="22"/>
        </w:rPr>
        <w:t>buyers</w:t>
      </w:r>
      <w:r w:rsidR="002F239F" w:rsidRPr="00233992">
        <w:rPr>
          <w:sz w:val="22"/>
          <w:szCs w:val="22"/>
        </w:rPr>
        <w:t xml:space="preserve">. They are also different from antitrust </w:t>
      </w:r>
      <w:r w:rsidR="00D854F6" w:rsidRPr="00233992">
        <w:rPr>
          <w:sz w:val="22"/>
          <w:szCs w:val="22"/>
        </w:rPr>
        <w:t>decisions</w:t>
      </w:r>
      <w:r w:rsidR="002F239F" w:rsidRPr="00233992">
        <w:rPr>
          <w:sz w:val="22"/>
          <w:szCs w:val="22"/>
        </w:rPr>
        <w:t xml:space="preserve"> </w:t>
      </w:r>
      <w:r w:rsidR="00D854F6" w:rsidRPr="00233992">
        <w:rPr>
          <w:sz w:val="22"/>
          <w:szCs w:val="22"/>
        </w:rPr>
        <w:t xml:space="preserve">(see Seldeslachts, Clougherty,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D854F6" w:rsidRPr="00233992">
        <w:rPr>
          <w:sz w:val="22"/>
          <w:szCs w:val="22"/>
        </w:rPr>
        <w:t>Barros, 2009</w:t>
      </w:r>
      <w:r w:rsidR="00C30199" w:rsidRPr="00233992">
        <w:rPr>
          <w:sz w:val="22"/>
          <w:szCs w:val="22"/>
        </w:rPr>
        <w:t>,</w:t>
      </w:r>
      <w:r w:rsidR="00D854F6" w:rsidRPr="00233992">
        <w:rPr>
          <w:sz w:val="22"/>
          <w:szCs w:val="22"/>
        </w:rPr>
        <w:t xml:space="preserve"> on </w:t>
      </w:r>
      <w:r w:rsidR="005B2617" w:rsidRPr="00233992">
        <w:rPr>
          <w:sz w:val="22"/>
          <w:szCs w:val="22"/>
        </w:rPr>
        <w:t xml:space="preserve">the </w:t>
      </w:r>
      <w:r w:rsidR="00D854F6" w:rsidRPr="00233992">
        <w:rPr>
          <w:sz w:val="22"/>
          <w:szCs w:val="22"/>
        </w:rPr>
        <w:t>deterrence effects of M&amp;A policies).</w:t>
      </w:r>
      <w:r w:rsidR="002F239F" w:rsidRPr="00233992">
        <w:rPr>
          <w:sz w:val="22"/>
          <w:szCs w:val="22"/>
        </w:rPr>
        <w:t xml:space="preserve"> </w:t>
      </w:r>
      <w:r w:rsidR="005B2617" w:rsidRPr="00233992">
        <w:rPr>
          <w:sz w:val="22"/>
          <w:szCs w:val="22"/>
        </w:rPr>
        <w:t>More precisely, t</w:t>
      </w:r>
      <w:r w:rsidR="002F239F" w:rsidRPr="00233992">
        <w:rPr>
          <w:sz w:val="22"/>
          <w:szCs w:val="22"/>
        </w:rPr>
        <w:t xml:space="preserve">he Federal Trade Commission can block </w:t>
      </w:r>
      <w:r w:rsidR="00DF015C" w:rsidRPr="00233992">
        <w:rPr>
          <w:sz w:val="22"/>
          <w:szCs w:val="22"/>
        </w:rPr>
        <w:t>transactions</w:t>
      </w:r>
      <w:r w:rsidR="002F239F" w:rsidRPr="00233992">
        <w:rPr>
          <w:sz w:val="22"/>
          <w:szCs w:val="22"/>
        </w:rPr>
        <w:t xml:space="preserve"> whose closing impa</w:t>
      </w:r>
      <w:r w:rsidR="005B2617" w:rsidRPr="00233992">
        <w:rPr>
          <w:sz w:val="22"/>
          <w:szCs w:val="22"/>
        </w:rPr>
        <w:t>irs fair competition and m</w:t>
      </w:r>
      <w:r w:rsidR="002F239F" w:rsidRPr="00233992">
        <w:rPr>
          <w:sz w:val="22"/>
          <w:szCs w:val="22"/>
        </w:rPr>
        <w:t xml:space="preserve">ost of its </w:t>
      </w:r>
      <w:r w:rsidR="002F239F" w:rsidRPr="00D47BCE">
        <w:rPr>
          <w:rFonts w:eastAsiaTheme="minorHAnsi"/>
          <w:sz w:val="22"/>
          <w:szCs w:val="22"/>
          <w:lang w:eastAsia="en-US"/>
        </w:rPr>
        <w:t>decisions refer to domestic takeovers creating a dominant position in a market.</w:t>
      </w:r>
    </w:p>
    <w:p w14:paraId="5668D1AA" w14:textId="122DEA4B" w:rsidR="00EC2987" w:rsidRPr="00D47BCE" w:rsidRDefault="000F45AF" w:rsidP="00233992">
      <w:pPr>
        <w:spacing w:line="480" w:lineRule="auto"/>
        <w:jc w:val="both"/>
        <w:rPr>
          <w:rFonts w:eastAsiaTheme="minorHAnsi"/>
          <w:sz w:val="22"/>
          <w:szCs w:val="22"/>
          <w:lang w:eastAsia="en-US"/>
        </w:rPr>
      </w:pPr>
      <w:r w:rsidRPr="00C6221E">
        <w:rPr>
          <w:rFonts w:eastAsiaTheme="minorHAnsi"/>
          <w:sz w:val="22"/>
          <w:szCs w:val="22"/>
          <w:lang w:eastAsia="en-US"/>
        </w:rPr>
        <w:tab/>
      </w:r>
      <w:r w:rsidR="00390555" w:rsidRPr="00D47BCE">
        <w:rPr>
          <w:rFonts w:eastAsiaTheme="minorHAnsi"/>
          <w:sz w:val="22"/>
          <w:szCs w:val="22"/>
          <w:lang w:eastAsia="en-US"/>
        </w:rPr>
        <w:t>T</w:t>
      </w:r>
      <w:r w:rsidR="00245A4A" w:rsidRPr="00D47BCE">
        <w:rPr>
          <w:rFonts w:eastAsiaTheme="minorHAnsi"/>
          <w:sz w:val="22"/>
          <w:szCs w:val="22"/>
          <w:lang w:eastAsia="en-US"/>
        </w:rPr>
        <w:t xml:space="preserve">he Foreign Investment and National Security Act </w:t>
      </w:r>
      <w:r w:rsidR="00EB0A1B" w:rsidRPr="00D47BCE">
        <w:rPr>
          <w:rFonts w:eastAsiaTheme="minorHAnsi"/>
          <w:sz w:val="22"/>
          <w:szCs w:val="22"/>
          <w:lang w:eastAsia="en-US"/>
        </w:rPr>
        <w:t xml:space="preserve">of 2007 </w:t>
      </w:r>
      <w:r w:rsidR="00390555" w:rsidRPr="00D47BCE">
        <w:rPr>
          <w:rFonts w:eastAsiaTheme="minorHAnsi"/>
          <w:sz w:val="22"/>
          <w:szCs w:val="22"/>
          <w:lang w:eastAsia="en-US"/>
        </w:rPr>
        <w:t xml:space="preserve">(FINSA) </w:t>
      </w:r>
      <w:r w:rsidR="00245A4A" w:rsidRPr="00D47BCE">
        <w:rPr>
          <w:rFonts w:eastAsiaTheme="minorHAnsi"/>
          <w:sz w:val="22"/>
          <w:szCs w:val="22"/>
          <w:lang w:eastAsia="en-US"/>
        </w:rPr>
        <w:t xml:space="preserve">codified </w:t>
      </w:r>
      <w:r w:rsidR="00D854F6" w:rsidRPr="00D47BCE">
        <w:rPr>
          <w:rFonts w:eastAsiaTheme="minorHAnsi"/>
          <w:sz w:val="22"/>
          <w:szCs w:val="22"/>
          <w:lang w:eastAsia="en-US"/>
        </w:rPr>
        <w:t>CFIUS</w:t>
      </w:r>
      <w:r w:rsidR="00245A4A" w:rsidRPr="00D47BCE">
        <w:rPr>
          <w:rFonts w:eastAsiaTheme="minorHAnsi"/>
          <w:sz w:val="22"/>
          <w:szCs w:val="22"/>
          <w:lang w:eastAsia="en-US"/>
        </w:rPr>
        <w:t xml:space="preserve"> structure, practices, and internal procedures</w:t>
      </w:r>
      <w:r w:rsidR="00FD168D">
        <w:rPr>
          <w:rFonts w:eastAsiaTheme="minorHAnsi"/>
          <w:sz w:val="22"/>
          <w:szCs w:val="22"/>
          <w:lang w:eastAsia="en-US"/>
        </w:rPr>
        <w:t xml:space="preserve"> (Georgiev, 2008)</w:t>
      </w:r>
      <w:r w:rsidR="00DC563A" w:rsidRPr="00D47BCE">
        <w:rPr>
          <w:rFonts w:eastAsiaTheme="minorHAnsi"/>
          <w:sz w:val="22"/>
          <w:szCs w:val="22"/>
          <w:lang w:eastAsia="en-US"/>
        </w:rPr>
        <w:t xml:space="preserve">. </w:t>
      </w:r>
      <w:r w:rsidR="00D854F6" w:rsidRPr="00D47BCE">
        <w:rPr>
          <w:rFonts w:eastAsiaTheme="minorHAnsi"/>
          <w:sz w:val="22"/>
          <w:szCs w:val="22"/>
          <w:lang w:eastAsia="en-US"/>
        </w:rPr>
        <w:t>With the enactment of FINSA</w:t>
      </w:r>
      <w:r w:rsidR="00245A4A" w:rsidRPr="00D47BCE">
        <w:rPr>
          <w:rFonts w:eastAsiaTheme="minorHAnsi"/>
          <w:sz w:val="22"/>
          <w:szCs w:val="22"/>
          <w:lang w:eastAsia="en-US"/>
        </w:rPr>
        <w:t xml:space="preserve">, CFIUS </w:t>
      </w:r>
      <w:r w:rsidR="00242775" w:rsidRPr="00D47BCE">
        <w:rPr>
          <w:rFonts w:eastAsiaTheme="minorHAnsi"/>
          <w:sz w:val="22"/>
          <w:szCs w:val="22"/>
          <w:lang w:eastAsia="en-US"/>
        </w:rPr>
        <w:t xml:space="preserve">must </w:t>
      </w:r>
      <w:r w:rsidR="00A668AD" w:rsidRPr="00D47BCE">
        <w:rPr>
          <w:rFonts w:eastAsiaTheme="minorHAnsi"/>
          <w:sz w:val="22"/>
          <w:szCs w:val="22"/>
          <w:lang w:eastAsia="en-US"/>
        </w:rPr>
        <w:t>submit</w:t>
      </w:r>
      <w:r w:rsidR="00EC2987" w:rsidRPr="00D47BCE">
        <w:rPr>
          <w:rFonts w:eastAsiaTheme="minorHAnsi"/>
          <w:sz w:val="22"/>
          <w:szCs w:val="22"/>
          <w:lang w:eastAsia="en-US"/>
        </w:rPr>
        <w:t xml:space="preserve"> </w:t>
      </w:r>
      <w:r w:rsidR="00245A4A" w:rsidRPr="00D47BCE">
        <w:rPr>
          <w:rFonts w:eastAsiaTheme="minorHAnsi"/>
          <w:sz w:val="22"/>
          <w:szCs w:val="22"/>
          <w:lang w:eastAsia="en-US"/>
        </w:rPr>
        <w:t xml:space="preserve">a classified annual report to the </w:t>
      </w:r>
      <w:r w:rsidR="00242775" w:rsidRPr="00D47BCE">
        <w:rPr>
          <w:rFonts w:eastAsiaTheme="minorHAnsi"/>
          <w:sz w:val="22"/>
          <w:szCs w:val="22"/>
          <w:lang w:eastAsia="en-US"/>
        </w:rPr>
        <w:t>U</w:t>
      </w:r>
      <w:r w:rsidR="008A3E91" w:rsidRPr="00D47BCE">
        <w:rPr>
          <w:rFonts w:eastAsiaTheme="minorHAnsi"/>
          <w:sz w:val="22"/>
          <w:szCs w:val="22"/>
          <w:lang w:eastAsia="en-US"/>
        </w:rPr>
        <w:t>.</w:t>
      </w:r>
      <w:r w:rsidR="00242775" w:rsidRPr="00D47BCE">
        <w:rPr>
          <w:rFonts w:eastAsiaTheme="minorHAnsi"/>
          <w:sz w:val="22"/>
          <w:szCs w:val="22"/>
          <w:lang w:eastAsia="en-US"/>
        </w:rPr>
        <w:t>S</w:t>
      </w:r>
      <w:r w:rsidR="008A3E91" w:rsidRPr="00D47BCE">
        <w:rPr>
          <w:rFonts w:eastAsiaTheme="minorHAnsi"/>
          <w:sz w:val="22"/>
          <w:szCs w:val="22"/>
          <w:lang w:eastAsia="en-US"/>
        </w:rPr>
        <w:t>.</w:t>
      </w:r>
      <w:r w:rsidR="00242775" w:rsidRPr="00D47BCE">
        <w:rPr>
          <w:rFonts w:eastAsiaTheme="minorHAnsi"/>
          <w:sz w:val="22"/>
          <w:szCs w:val="22"/>
          <w:lang w:eastAsia="en-US"/>
        </w:rPr>
        <w:t xml:space="preserve"> </w:t>
      </w:r>
      <w:r w:rsidR="00245A4A" w:rsidRPr="00D47BCE">
        <w:rPr>
          <w:rFonts w:eastAsiaTheme="minorHAnsi"/>
          <w:sz w:val="22"/>
          <w:szCs w:val="22"/>
          <w:lang w:eastAsia="en-US"/>
        </w:rPr>
        <w:t>Congress brief</w:t>
      </w:r>
      <w:r w:rsidR="00242775" w:rsidRPr="00D47BCE">
        <w:rPr>
          <w:rFonts w:eastAsiaTheme="minorHAnsi"/>
          <w:sz w:val="22"/>
          <w:szCs w:val="22"/>
          <w:lang w:eastAsia="en-US"/>
        </w:rPr>
        <w:t>ly</w:t>
      </w:r>
      <w:r w:rsidR="00245A4A" w:rsidRPr="00D47BCE">
        <w:rPr>
          <w:rFonts w:eastAsiaTheme="minorHAnsi"/>
          <w:sz w:val="22"/>
          <w:szCs w:val="22"/>
          <w:lang w:eastAsia="en-US"/>
        </w:rPr>
        <w:t xml:space="preserve"> overview</w:t>
      </w:r>
      <w:r w:rsidR="00242775" w:rsidRPr="00D47BCE">
        <w:rPr>
          <w:rFonts w:eastAsiaTheme="minorHAnsi"/>
          <w:sz w:val="22"/>
          <w:szCs w:val="22"/>
          <w:lang w:eastAsia="en-US"/>
        </w:rPr>
        <w:t>ing</w:t>
      </w:r>
      <w:r w:rsidR="00245A4A" w:rsidRPr="00D47BCE">
        <w:rPr>
          <w:rFonts w:eastAsiaTheme="minorHAnsi"/>
          <w:sz w:val="22"/>
          <w:szCs w:val="22"/>
          <w:lang w:eastAsia="en-US"/>
        </w:rPr>
        <w:t xml:space="preserve"> its activities. Declassified versions of these annual reports </w:t>
      </w:r>
      <w:r w:rsidR="00390555" w:rsidRPr="00D47BCE">
        <w:rPr>
          <w:rFonts w:eastAsiaTheme="minorHAnsi"/>
          <w:sz w:val="22"/>
          <w:szCs w:val="22"/>
          <w:lang w:eastAsia="en-US"/>
        </w:rPr>
        <w:t>become</w:t>
      </w:r>
      <w:r w:rsidR="00EC2987" w:rsidRPr="00D47BCE">
        <w:rPr>
          <w:rFonts w:eastAsiaTheme="minorHAnsi"/>
          <w:sz w:val="22"/>
          <w:szCs w:val="22"/>
          <w:lang w:eastAsia="en-US"/>
        </w:rPr>
        <w:t xml:space="preserve"> </w:t>
      </w:r>
      <w:r w:rsidR="00245A4A" w:rsidRPr="00D47BCE">
        <w:rPr>
          <w:rFonts w:eastAsiaTheme="minorHAnsi"/>
          <w:sz w:val="22"/>
          <w:szCs w:val="22"/>
          <w:lang w:eastAsia="en-US"/>
        </w:rPr>
        <w:t>public</w:t>
      </w:r>
      <w:r w:rsidR="00EC2987" w:rsidRPr="00D47BCE">
        <w:rPr>
          <w:rFonts w:eastAsiaTheme="minorHAnsi"/>
          <w:sz w:val="22"/>
          <w:szCs w:val="22"/>
          <w:lang w:eastAsia="en-US"/>
        </w:rPr>
        <w:t>ly available</w:t>
      </w:r>
      <w:r w:rsidR="00245A4A" w:rsidRPr="00D47BCE">
        <w:rPr>
          <w:rFonts w:eastAsiaTheme="minorHAnsi"/>
          <w:sz w:val="22"/>
          <w:szCs w:val="22"/>
          <w:lang w:eastAsia="en-US"/>
        </w:rPr>
        <w:t xml:space="preserve"> </w:t>
      </w:r>
      <w:r w:rsidR="006A4B33" w:rsidRPr="00D47BCE">
        <w:rPr>
          <w:rFonts w:eastAsiaTheme="minorHAnsi"/>
          <w:sz w:val="22"/>
          <w:szCs w:val="22"/>
          <w:lang w:eastAsia="en-US"/>
        </w:rPr>
        <w:t xml:space="preserve">within </w:t>
      </w:r>
      <w:r w:rsidR="00245A4A" w:rsidRPr="00D47BCE">
        <w:rPr>
          <w:rFonts w:eastAsiaTheme="minorHAnsi"/>
          <w:sz w:val="22"/>
          <w:szCs w:val="22"/>
          <w:lang w:eastAsia="en-US"/>
        </w:rPr>
        <w:t>two years after the reporting period</w:t>
      </w:r>
      <w:r w:rsidR="00A346A4" w:rsidRPr="00D47BCE">
        <w:rPr>
          <w:rFonts w:eastAsiaTheme="minorHAnsi"/>
          <w:sz w:val="22"/>
          <w:szCs w:val="22"/>
          <w:lang w:eastAsia="en-US"/>
        </w:rPr>
        <w:t xml:space="preserve">. </w:t>
      </w:r>
      <w:r w:rsidR="004E767B" w:rsidRPr="00D47BCE">
        <w:rPr>
          <w:rFonts w:eastAsiaTheme="minorHAnsi"/>
          <w:sz w:val="22"/>
          <w:szCs w:val="22"/>
          <w:lang w:eastAsia="en-US"/>
        </w:rPr>
        <w:t>Our sample period matches the years in which FINSA was effective</w:t>
      </w:r>
      <w:r w:rsidR="00A346A4" w:rsidRPr="00D47BCE">
        <w:rPr>
          <w:rFonts w:eastAsiaTheme="minorHAnsi"/>
          <w:sz w:val="22"/>
          <w:szCs w:val="22"/>
          <w:lang w:eastAsia="en-US"/>
        </w:rPr>
        <w:t xml:space="preserve"> (2008</w:t>
      </w:r>
      <w:r w:rsidR="00242775" w:rsidRPr="00D47BCE">
        <w:rPr>
          <w:rFonts w:eastAsiaTheme="minorHAnsi"/>
          <w:sz w:val="22"/>
          <w:szCs w:val="22"/>
          <w:lang w:eastAsia="en-US"/>
        </w:rPr>
        <w:t>–</w:t>
      </w:r>
      <w:r w:rsidR="00A346A4" w:rsidRPr="00D47BCE">
        <w:rPr>
          <w:rFonts w:eastAsiaTheme="minorHAnsi"/>
          <w:sz w:val="22"/>
          <w:szCs w:val="22"/>
          <w:lang w:eastAsia="en-US"/>
        </w:rPr>
        <w:t>201</w:t>
      </w:r>
      <w:r w:rsidR="004E767B" w:rsidRPr="00D47BCE">
        <w:rPr>
          <w:rFonts w:eastAsiaTheme="minorHAnsi"/>
          <w:sz w:val="22"/>
          <w:szCs w:val="22"/>
          <w:lang w:eastAsia="en-US"/>
        </w:rPr>
        <w:t>9</w:t>
      </w:r>
      <w:r w:rsidR="00A346A4" w:rsidRPr="00D47BCE">
        <w:rPr>
          <w:rFonts w:eastAsiaTheme="minorHAnsi"/>
          <w:sz w:val="22"/>
          <w:szCs w:val="22"/>
          <w:lang w:eastAsia="en-US"/>
        </w:rPr>
        <w:t>).</w:t>
      </w:r>
      <w:r w:rsidR="00C6221E" w:rsidRPr="00D47BCE">
        <w:rPr>
          <w:rFonts w:eastAsiaTheme="minorHAnsi"/>
          <w:sz w:val="22"/>
          <w:szCs w:val="22"/>
          <w:lang w:eastAsia="en-US"/>
        </w:rPr>
        <w:t xml:space="preserve"> The final regulations of FINSA were </w:t>
      </w:r>
      <w:r w:rsidR="00943ED9">
        <w:rPr>
          <w:rFonts w:eastAsiaTheme="minorHAnsi"/>
          <w:sz w:val="22"/>
          <w:szCs w:val="22"/>
          <w:lang w:eastAsia="en-US"/>
        </w:rPr>
        <w:t>in place</w:t>
      </w:r>
      <w:r w:rsidR="00C6221E" w:rsidRPr="00D47BCE">
        <w:rPr>
          <w:rFonts w:eastAsiaTheme="minorHAnsi"/>
          <w:sz w:val="22"/>
          <w:szCs w:val="22"/>
          <w:lang w:eastAsia="en-US"/>
        </w:rPr>
        <w:t xml:space="preserve"> from November 2008 to February 2020. </w:t>
      </w:r>
    </w:p>
    <w:p w14:paraId="10B284CE" w14:textId="3B1A7D7B" w:rsidR="00245A4A" w:rsidRPr="00233992" w:rsidRDefault="000F45AF" w:rsidP="00233992">
      <w:pPr>
        <w:spacing w:line="480" w:lineRule="auto"/>
        <w:jc w:val="both"/>
        <w:rPr>
          <w:sz w:val="22"/>
          <w:szCs w:val="22"/>
        </w:rPr>
      </w:pPr>
      <w:r w:rsidRPr="00233992">
        <w:rPr>
          <w:rFonts w:eastAsiaTheme="minorHAnsi"/>
          <w:sz w:val="22"/>
          <w:szCs w:val="22"/>
          <w:lang w:eastAsia="en-US"/>
        </w:rPr>
        <w:tab/>
      </w:r>
      <w:r w:rsidR="00245A4A" w:rsidRPr="00D47BCE">
        <w:rPr>
          <w:rFonts w:eastAsiaTheme="minorHAnsi"/>
          <w:sz w:val="22"/>
          <w:szCs w:val="22"/>
          <w:lang w:eastAsia="en-US"/>
        </w:rPr>
        <w:t>CFIUS review consists of four steps. First, CFIUS screen</w:t>
      </w:r>
      <w:r w:rsidR="00C746D6" w:rsidRPr="00D47BCE">
        <w:rPr>
          <w:rFonts w:eastAsiaTheme="minorHAnsi"/>
          <w:sz w:val="22"/>
          <w:szCs w:val="22"/>
          <w:lang w:eastAsia="en-US"/>
        </w:rPr>
        <w:t>s</w:t>
      </w:r>
      <w:r w:rsidR="00245A4A" w:rsidRPr="00D47BCE">
        <w:rPr>
          <w:rFonts w:eastAsiaTheme="minorHAnsi"/>
          <w:sz w:val="22"/>
          <w:szCs w:val="22"/>
          <w:lang w:eastAsia="en-US"/>
        </w:rPr>
        <w:t xml:space="preserve"> </w:t>
      </w:r>
      <w:r w:rsidR="006074CE" w:rsidRPr="00D47BCE">
        <w:rPr>
          <w:rFonts w:eastAsiaTheme="minorHAnsi"/>
          <w:sz w:val="22"/>
          <w:szCs w:val="22"/>
          <w:lang w:eastAsia="en-US"/>
        </w:rPr>
        <w:t>foreign takeovers</w:t>
      </w:r>
      <w:r w:rsidR="00245A4A" w:rsidRPr="00D47BCE">
        <w:rPr>
          <w:rFonts w:eastAsiaTheme="minorHAnsi"/>
          <w:sz w:val="22"/>
          <w:szCs w:val="22"/>
          <w:lang w:eastAsia="en-US"/>
        </w:rPr>
        <w:t xml:space="preserve"> for potential</w:t>
      </w:r>
      <w:r w:rsidR="00245A4A" w:rsidRPr="00233992">
        <w:rPr>
          <w:sz w:val="22"/>
          <w:szCs w:val="22"/>
        </w:rPr>
        <w:t xml:space="preserve"> </w:t>
      </w:r>
      <w:r w:rsidR="006A5BB0" w:rsidRPr="00233992">
        <w:rPr>
          <w:sz w:val="22"/>
          <w:szCs w:val="22"/>
        </w:rPr>
        <w:t xml:space="preserve">national </w:t>
      </w:r>
      <w:r w:rsidR="00245A4A" w:rsidRPr="00233992">
        <w:rPr>
          <w:sz w:val="22"/>
          <w:szCs w:val="22"/>
        </w:rPr>
        <w:t xml:space="preserve">security </w:t>
      </w:r>
      <w:r w:rsidR="006074CE" w:rsidRPr="00233992">
        <w:rPr>
          <w:sz w:val="22"/>
          <w:szCs w:val="22"/>
        </w:rPr>
        <w:t>threats</w:t>
      </w:r>
      <w:r w:rsidR="00245A4A" w:rsidRPr="00233992">
        <w:rPr>
          <w:sz w:val="22"/>
          <w:szCs w:val="22"/>
        </w:rPr>
        <w:t xml:space="preserve">. Since CFIUS can </w:t>
      </w:r>
      <w:r w:rsidR="006074CE" w:rsidRPr="00233992">
        <w:rPr>
          <w:sz w:val="22"/>
          <w:szCs w:val="22"/>
        </w:rPr>
        <w:t xml:space="preserve">nullify </w:t>
      </w:r>
      <w:r w:rsidR="00245A4A" w:rsidRPr="00233992">
        <w:rPr>
          <w:sz w:val="22"/>
          <w:szCs w:val="22"/>
        </w:rPr>
        <w:t>transaction</w:t>
      </w:r>
      <w:r w:rsidR="00FA5511" w:rsidRPr="00233992">
        <w:rPr>
          <w:sz w:val="22"/>
          <w:szCs w:val="22"/>
        </w:rPr>
        <w:t>s</w:t>
      </w:r>
      <w:r w:rsidR="00245A4A" w:rsidRPr="00233992">
        <w:rPr>
          <w:sz w:val="22"/>
          <w:szCs w:val="22"/>
        </w:rPr>
        <w:t xml:space="preserve"> even years after </w:t>
      </w:r>
      <w:r w:rsidR="005B2617" w:rsidRPr="00233992">
        <w:rPr>
          <w:sz w:val="22"/>
          <w:szCs w:val="22"/>
        </w:rPr>
        <w:t>the</w:t>
      </w:r>
      <w:r w:rsidR="00245A4A" w:rsidRPr="00233992">
        <w:rPr>
          <w:sz w:val="22"/>
          <w:szCs w:val="22"/>
        </w:rPr>
        <w:t xml:space="preserve"> closing, </w:t>
      </w:r>
      <w:r w:rsidR="00FA5511" w:rsidRPr="00233992">
        <w:rPr>
          <w:sz w:val="22"/>
          <w:szCs w:val="22"/>
        </w:rPr>
        <w:t xml:space="preserve">parties </w:t>
      </w:r>
      <w:r w:rsidR="00FA5511" w:rsidRPr="00233992">
        <w:rPr>
          <w:sz w:val="22"/>
          <w:szCs w:val="22"/>
        </w:rPr>
        <w:lastRenderedPageBreak/>
        <w:t>involved usually</w:t>
      </w:r>
      <w:r w:rsidR="004E767B" w:rsidRPr="00233992">
        <w:rPr>
          <w:sz w:val="22"/>
          <w:szCs w:val="22"/>
        </w:rPr>
        <w:t xml:space="preserve"> submit a </w:t>
      </w:r>
      <w:r w:rsidR="006074CE" w:rsidRPr="00233992">
        <w:rPr>
          <w:sz w:val="22"/>
          <w:szCs w:val="22"/>
        </w:rPr>
        <w:t xml:space="preserve">voluntary </w:t>
      </w:r>
      <w:r w:rsidR="004E767B" w:rsidRPr="00233992">
        <w:rPr>
          <w:sz w:val="22"/>
          <w:szCs w:val="22"/>
        </w:rPr>
        <w:t>notice</w:t>
      </w:r>
      <w:r w:rsidR="00FA5511" w:rsidRPr="00233992">
        <w:rPr>
          <w:sz w:val="22"/>
          <w:szCs w:val="22"/>
        </w:rPr>
        <w:t xml:space="preserve"> about the </w:t>
      </w:r>
      <w:r w:rsidR="005B2617" w:rsidRPr="00233992">
        <w:rPr>
          <w:sz w:val="22"/>
          <w:szCs w:val="22"/>
        </w:rPr>
        <w:t>pending</w:t>
      </w:r>
      <w:r w:rsidR="00FA5511" w:rsidRPr="00233992">
        <w:rPr>
          <w:sz w:val="22"/>
          <w:szCs w:val="22"/>
        </w:rPr>
        <w:t xml:space="preserve"> </w:t>
      </w:r>
      <w:r w:rsidR="0061161F" w:rsidRPr="00233992">
        <w:rPr>
          <w:sz w:val="22"/>
          <w:szCs w:val="22"/>
        </w:rPr>
        <w:t>foreign takeover</w:t>
      </w:r>
      <w:r w:rsidR="004E767B" w:rsidRPr="00233992">
        <w:rPr>
          <w:sz w:val="22"/>
          <w:szCs w:val="22"/>
        </w:rPr>
        <w:t xml:space="preserve">, especially when the target operates in </w:t>
      </w:r>
      <w:r w:rsidR="007C2A34" w:rsidRPr="00233992">
        <w:rPr>
          <w:sz w:val="22"/>
          <w:szCs w:val="22"/>
        </w:rPr>
        <w:t xml:space="preserve">a </w:t>
      </w:r>
      <w:r w:rsidR="00D677EC" w:rsidRPr="00233992">
        <w:rPr>
          <w:sz w:val="22"/>
          <w:szCs w:val="22"/>
        </w:rPr>
        <w:t>critical</w:t>
      </w:r>
      <w:r w:rsidR="004E767B" w:rsidRPr="00233992">
        <w:rPr>
          <w:sz w:val="22"/>
          <w:szCs w:val="22"/>
        </w:rPr>
        <w:t xml:space="preserve"> industr</w:t>
      </w:r>
      <w:r w:rsidR="007C2A34" w:rsidRPr="00233992">
        <w:rPr>
          <w:sz w:val="22"/>
          <w:szCs w:val="22"/>
        </w:rPr>
        <w:t>y</w:t>
      </w:r>
      <w:r w:rsidR="00390555" w:rsidRPr="00233992">
        <w:rPr>
          <w:sz w:val="22"/>
          <w:szCs w:val="22"/>
        </w:rPr>
        <w:t xml:space="preserve"> </w:t>
      </w:r>
      <w:r w:rsidR="00F665C7" w:rsidRPr="00233992">
        <w:rPr>
          <w:sz w:val="22"/>
          <w:szCs w:val="22"/>
        </w:rPr>
        <w:t xml:space="preserve">(Jackson, </w:t>
      </w:r>
      <w:r w:rsidR="004E767B" w:rsidRPr="00233992">
        <w:rPr>
          <w:sz w:val="22"/>
          <w:szCs w:val="22"/>
        </w:rPr>
        <w:t>2020)</w:t>
      </w:r>
      <w:r w:rsidR="00245A4A" w:rsidRPr="00233992">
        <w:rPr>
          <w:sz w:val="22"/>
          <w:szCs w:val="22"/>
        </w:rPr>
        <w:t>.</w:t>
      </w:r>
      <w:r w:rsidR="00A45B5B" w:rsidRPr="00233992">
        <w:rPr>
          <w:sz w:val="22"/>
          <w:szCs w:val="22"/>
        </w:rPr>
        <w:t xml:space="preserve"> FINSA</w:t>
      </w:r>
      <w:r w:rsidR="00EB0A1B" w:rsidRPr="00233992">
        <w:rPr>
          <w:sz w:val="22"/>
          <w:szCs w:val="22"/>
        </w:rPr>
        <w:t xml:space="preserve"> </w:t>
      </w:r>
      <w:r w:rsidR="00A45B5B" w:rsidRPr="00233992">
        <w:rPr>
          <w:sz w:val="22"/>
          <w:szCs w:val="22"/>
        </w:rPr>
        <w:t xml:space="preserve">contains a list of </w:t>
      </w:r>
      <w:r w:rsidR="00D677EC" w:rsidRPr="00233992">
        <w:rPr>
          <w:sz w:val="22"/>
          <w:szCs w:val="22"/>
        </w:rPr>
        <w:t>critical</w:t>
      </w:r>
      <w:r w:rsidR="00A45B5B" w:rsidRPr="00233992">
        <w:rPr>
          <w:sz w:val="22"/>
          <w:szCs w:val="22"/>
        </w:rPr>
        <w:t xml:space="preserve"> industries whose foreign takeovers could raise national security </w:t>
      </w:r>
      <w:r w:rsidR="006074CE" w:rsidRPr="00233992">
        <w:rPr>
          <w:sz w:val="22"/>
          <w:szCs w:val="22"/>
        </w:rPr>
        <w:t>threats</w:t>
      </w:r>
      <w:r w:rsidR="001A6D87">
        <w:rPr>
          <w:sz w:val="22"/>
          <w:szCs w:val="22"/>
        </w:rPr>
        <w:t xml:space="preserve">, but our analysis shows CFIUS regularly intervenes in industries outside of </w:t>
      </w:r>
      <w:r w:rsidR="00943ED9">
        <w:rPr>
          <w:sz w:val="22"/>
          <w:szCs w:val="22"/>
        </w:rPr>
        <w:t>such</w:t>
      </w:r>
      <w:r w:rsidR="001A6D87">
        <w:rPr>
          <w:sz w:val="22"/>
          <w:szCs w:val="22"/>
        </w:rPr>
        <w:t xml:space="preserve"> list (see Section 3 for details). </w:t>
      </w:r>
      <w:r w:rsidR="00245A4A" w:rsidRPr="00233992">
        <w:rPr>
          <w:sz w:val="22"/>
          <w:szCs w:val="22"/>
        </w:rPr>
        <w:t xml:space="preserve">Second, CFIUS completes a </w:t>
      </w:r>
      <w:r w:rsidR="003D2A2F" w:rsidRPr="00233992">
        <w:rPr>
          <w:sz w:val="22"/>
          <w:szCs w:val="22"/>
        </w:rPr>
        <w:t xml:space="preserve">national security </w:t>
      </w:r>
      <w:r w:rsidR="00245A4A" w:rsidRPr="00233992">
        <w:rPr>
          <w:sz w:val="22"/>
          <w:szCs w:val="22"/>
        </w:rPr>
        <w:t xml:space="preserve">review in </w:t>
      </w:r>
      <w:r w:rsidR="00C746D6" w:rsidRPr="00233992">
        <w:rPr>
          <w:sz w:val="22"/>
          <w:szCs w:val="22"/>
        </w:rPr>
        <w:t xml:space="preserve">the next </w:t>
      </w:r>
      <w:r w:rsidR="00245A4A" w:rsidRPr="00233992">
        <w:rPr>
          <w:sz w:val="22"/>
          <w:szCs w:val="22"/>
        </w:rPr>
        <w:t xml:space="preserve">30 days. </w:t>
      </w:r>
      <w:r w:rsidR="00C82855">
        <w:rPr>
          <w:sz w:val="22"/>
          <w:szCs w:val="22"/>
        </w:rPr>
        <w:t>During this stage, the director of national i</w:t>
      </w:r>
      <w:r w:rsidR="001068C3" w:rsidRPr="00233992">
        <w:rPr>
          <w:sz w:val="22"/>
          <w:szCs w:val="22"/>
        </w:rPr>
        <w:t xml:space="preserve">ntelligence carries out an analysis of “any threat to the national security” related to the </w:t>
      </w:r>
      <w:r w:rsidR="005B2617" w:rsidRPr="00233992">
        <w:rPr>
          <w:sz w:val="22"/>
          <w:szCs w:val="22"/>
        </w:rPr>
        <w:t>pending</w:t>
      </w:r>
      <w:r w:rsidR="001068C3" w:rsidRPr="00233992">
        <w:rPr>
          <w:sz w:val="22"/>
          <w:szCs w:val="22"/>
        </w:rPr>
        <w:t xml:space="preserve"> </w:t>
      </w:r>
      <w:r w:rsidR="005B2617" w:rsidRPr="00233992">
        <w:rPr>
          <w:sz w:val="22"/>
          <w:szCs w:val="22"/>
        </w:rPr>
        <w:t>transaction</w:t>
      </w:r>
      <w:r w:rsidR="001068C3" w:rsidRPr="00233992">
        <w:rPr>
          <w:sz w:val="22"/>
          <w:szCs w:val="22"/>
        </w:rPr>
        <w:t xml:space="preserve">. </w:t>
      </w:r>
      <w:r w:rsidR="00245A4A" w:rsidRPr="00233992">
        <w:rPr>
          <w:sz w:val="22"/>
          <w:szCs w:val="22"/>
        </w:rPr>
        <w:t>Third, if there are unresolved risks, CFIUS launches a national security investigation in the next 45</w:t>
      </w:r>
      <w:r w:rsidR="00242775" w:rsidRPr="00233992">
        <w:rPr>
          <w:sz w:val="22"/>
          <w:szCs w:val="22"/>
        </w:rPr>
        <w:t>–</w:t>
      </w:r>
      <w:r w:rsidR="001C6D64" w:rsidRPr="00233992">
        <w:rPr>
          <w:sz w:val="22"/>
          <w:szCs w:val="22"/>
        </w:rPr>
        <w:t>60</w:t>
      </w:r>
      <w:r w:rsidR="00245A4A" w:rsidRPr="00233992">
        <w:rPr>
          <w:sz w:val="22"/>
          <w:szCs w:val="22"/>
        </w:rPr>
        <w:t xml:space="preserve"> days. </w:t>
      </w:r>
      <w:r w:rsidR="00A45B5B" w:rsidRPr="00233992">
        <w:rPr>
          <w:sz w:val="22"/>
          <w:szCs w:val="22"/>
        </w:rPr>
        <w:t xml:space="preserve">FINSA mandates </w:t>
      </w:r>
      <w:r w:rsidR="0056528A" w:rsidRPr="00233992">
        <w:rPr>
          <w:sz w:val="22"/>
          <w:szCs w:val="22"/>
        </w:rPr>
        <w:t>this</w:t>
      </w:r>
      <w:r w:rsidR="00A45B5B" w:rsidRPr="00233992">
        <w:rPr>
          <w:sz w:val="22"/>
          <w:szCs w:val="22"/>
        </w:rPr>
        <w:t xml:space="preserve"> investigation when the buyer is controlled by a foreign government. </w:t>
      </w:r>
      <w:r w:rsidR="00245A4A" w:rsidRPr="00233992">
        <w:rPr>
          <w:sz w:val="22"/>
          <w:szCs w:val="22"/>
        </w:rPr>
        <w:t xml:space="preserve">During </w:t>
      </w:r>
      <w:r w:rsidR="00484727" w:rsidRPr="00233992">
        <w:rPr>
          <w:sz w:val="22"/>
          <w:szCs w:val="22"/>
        </w:rPr>
        <w:t>this stage</w:t>
      </w:r>
      <w:r w:rsidR="00245A4A" w:rsidRPr="00233992">
        <w:rPr>
          <w:sz w:val="22"/>
          <w:szCs w:val="22"/>
        </w:rPr>
        <w:t xml:space="preserve">, CFIUS and </w:t>
      </w:r>
      <w:r w:rsidR="003D2A2F" w:rsidRPr="00233992">
        <w:rPr>
          <w:sz w:val="22"/>
          <w:szCs w:val="22"/>
        </w:rPr>
        <w:t xml:space="preserve">parties involved </w:t>
      </w:r>
      <w:r w:rsidR="00245A4A" w:rsidRPr="00233992">
        <w:rPr>
          <w:sz w:val="22"/>
          <w:szCs w:val="22"/>
        </w:rPr>
        <w:t xml:space="preserve">may negotiate </w:t>
      </w:r>
      <w:r w:rsidR="00C82855">
        <w:rPr>
          <w:sz w:val="22"/>
          <w:szCs w:val="22"/>
        </w:rPr>
        <w:t>mitigation agreements</w:t>
      </w:r>
      <w:r w:rsidR="00245A4A" w:rsidRPr="00233992">
        <w:rPr>
          <w:sz w:val="22"/>
          <w:szCs w:val="22"/>
        </w:rPr>
        <w:t xml:space="preserve">, such as </w:t>
      </w:r>
      <w:r w:rsidR="003A24FF" w:rsidRPr="00233992">
        <w:rPr>
          <w:sz w:val="22"/>
          <w:szCs w:val="22"/>
        </w:rPr>
        <w:t xml:space="preserve">the </w:t>
      </w:r>
      <w:r w:rsidR="00245A4A" w:rsidRPr="00233992">
        <w:rPr>
          <w:sz w:val="22"/>
          <w:szCs w:val="22"/>
        </w:rPr>
        <w:t>establishment of a corporate security committee,</w:t>
      </w:r>
      <w:r w:rsidR="00D854F6" w:rsidRPr="00233992">
        <w:rPr>
          <w:sz w:val="22"/>
          <w:szCs w:val="22"/>
        </w:rPr>
        <w:t xml:space="preserve"> or</w:t>
      </w:r>
      <w:r w:rsidR="00245A4A" w:rsidRPr="00233992">
        <w:rPr>
          <w:sz w:val="22"/>
          <w:szCs w:val="22"/>
        </w:rPr>
        <w:t xml:space="preserve"> </w:t>
      </w:r>
      <w:r w:rsidR="003A24FF" w:rsidRPr="00233992">
        <w:rPr>
          <w:sz w:val="22"/>
          <w:szCs w:val="22"/>
        </w:rPr>
        <w:t xml:space="preserve">the </w:t>
      </w:r>
      <w:r w:rsidR="00245A4A" w:rsidRPr="00233992">
        <w:rPr>
          <w:sz w:val="22"/>
          <w:szCs w:val="22"/>
        </w:rPr>
        <w:t>restriction of certain technologie</w:t>
      </w:r>
      <w:r w:rsidR="00D854F6" w:rsidRPr="00233992">
        <w:rPr>
          <w:sz w:val="22"/>
          <w:szCs w:val="22"/>
        </w:rPr>
        <w:t xml:space="preserve">s only to authorized personnel </w:t>
      </w:r>
      <w:r w:rsidR="003D2A2F" w:rsidRPr="00233992">
        <w:rPr>
          <w:sz w:val="22"/>
          <w:szCs w:val="22"/>
        </w:rPr>
        <w:t>(</w:t>
      </w:r>
      <w:r w:rsidR="001068C3" w:rsidRPr="00233992">
        <w:rPr>
          <w:sz w:val="22"/>
          <w:szCs w:val="22"/>
        </w:rPr>
        <w:t xml:space="preserve">see </w:t>
      </w:r>
      <w:r w:rsidR="003D2A2F" w:rsidRPr="00233992">
        <w:rPr>
          <w:sz w:val="22"/>
          <w:szCs w:val="22"/>
        </w:rPr>
        <w:t>CFIUS annual repor</w:t>
      </w:r>
      <w:r w:rsidR="001068C3" w:rsidRPr="00233992">
        <w:rPr>
          <w:sz w:val="22"/>
          <w:szCs w:val="22"/>
        </w:rPr>
        <w:t>ts for details</w:t>
      </w:r>
      <w:r w:rsidR="003D2A2F" w:rsidRPr="00233992">
        <w:rPr>
          <w:sz w:val="22"/>
          <w:szCs w:val="22"/>
        </w:rPr>
        <w:t>)</w:t>
      </w:r>
      <w:r w:rsidR="00245A4A" w:rsidRPr="00233992">
        <w:rPr>
          <w:sz w:val="22"/>
          <w:szCs w:val="22"/>
        </w:rPr>
        <w:t xml:space="preserve">. Fourth, if </w:t>
      </w:r>
      <w:r w:rsidR="005B2617" w:rsidRPr="00233992">
        <w:rPr>
          <w:sz w:val="22"/>
          <w:szCs w:val="22"/>
        </w:rPr>
        <w:t>such</w:t>
      </w:r>
      <w:r w:rsidR="00245A4A" w:rsidRPr="00233992">
        <w:rPr>
          <w:sz w:val="22"/>
          <w:szCs w:val="22"/>
        </w:rPr>
        <w:t xml:space="preserve"> </w:t>
      </w:r>
      <w:r w:rsidR="00C82855" w:rsidRPr="00233992">
        <w:rPr>
          <w:sz w:val="22"/>
          <w:szCs w:val="22"/>
        </w:rPr>
        <w:t xml:space="preserve">national security </w:t>
      </w:r>
      <w:r w:rsidR="006074CE" w:rsidRPr="00233992">
        <w:rPr>
          <w:sz w:val="22"/>
          <w:szCs w:val="22"/>
        </w:rPr>
        <w:t xml:space="preserve">threats </w:t>
      </w:r>
      <w:r w:rsidR="00245A4A" w:rsidRPr="00233992">
        <w:rPr>
          <w:sz w:val="22"/>
          <w:szCs w:val="22"/>
        </w:rPr>
        <w:t xml:space="preserve">are still not mitigated, CFIUS </w:t>
      </w:r>
      <w:r w:rsidR="003A24FF" w:rsidRPr="00233992">
        <w:rPr>
          <w:sz w:val="22"/>
          <w:szCs w:val="22"/>
        </w:rPr>
        <w:t>recommends</w:t>
      </w:r>
      <w:r w:rsidR="00245A4A" w:rsidRPr="00233992">
        <w:rPr>
          <w:sz w:val="22"/>
          <w:szCs w:val="22"/>
        </w:rPr>
        <w:t xml:space="preserve"> the president </w:t>
      </w:r>
      <w:r w:rsidR="00C63697" w:rsidRPr="00233992">
        <w:rPr>
          <w:sz w:val="22"/>
          <w:szCs w:val="22"/>
        </w:rPr>
        <w:t xml:space="preserve">to </w:t>
      </w:r>
      <w:r w:rsidR="00245A4A" w:rsidRPr="00233992">
        <w:rPr>
          <w:sz w:val="22"/>
          <w:szCs w:val="22"/>
        </w:rPr>
        <w:t xml:space="preserve">block the </w:t>
      </w:r>
      <w:r w:rsidR="0054675C" w:rsidRPr="00233992">
        <w:rPr>
          <w:sz w:val="22"/>
          <w:szCs w:val="22"/>
        </w:rPr>
        <w:t>transaction</w:t>
      </w:r>
      <w:r w:rsidR="00245A4A" w:rsidRPr="00233992">
        <w:rPr>
          <w:sz w:val="22"/>
          <w:szCs w:val="22"/>
        </w:rPr>
        <w:t xml:space="preserve">. The president has 15 days to </w:t>
      </w:r>
      <w:r w:rsidR="00242775" w:rsidRPr="00233992">
        <w:rPr>
          <w:sz w:val="22"/>
          <w:szCs w:val="22"/>
        </w:rPr>
        <w:t>do so</w:t>
      </w:r>
      <w:r w:rsidR="00245A4A" w:rsidRPr="00233992">
        <w:rPr>
          <w:sz w:val="22"/>
          <w:szCs w:val="22"/>
        </w:rPr>
        <w:t xml:space="preserve">. If a mitigation agreement has been reached, CFIUS enforces </w:t>
      </w:r>
      <w:r w:rsidR="001068C3" w:rsidRPr="00233992">
        <w:rPr>
          <w:sz w:val="22"/>
          <w:szCs w:val="22"/>
        </w:rPr>
        <w:t xml:space="preserve">its </w:t>
      </w:r>
      <w:r w:rsidR="00245A4A" w:rsidRPr="00233992">
        <w:rPr>
          <w:sz w:val="22"/>
          <w:szCs w:val="22"/>
        </w:rPr>
        <w:t xml:space="preserve">compliance and </w:t>
      </w:r>
      <w:r w:rsidR="001068C3" w:rsidRPr="00233992">
        <w:rPr>
          <w:sz w:val="22"/>
          <w:szCs w:val="22"/>
        </w:rPr>
        <w:t>could</w:t>
      </w:r>
      <w:r w:rsidR="00245A4A" w:rsidRPr="00233992">
        <w:rPr>
          <w:sz w:val="22"/>
          <w:szCs w:val="22"/>
        </w:rPr>
        <w:t xml:space="preserve"> impose civil penalties or </w:t>
      </w:r>
      <w:r w:rsidR="006074CE" w:rsidRPr="00233992">
        <w:rPr>
          <w:sz w:val="22"/>
          <w:szCs w:val="22"/>
        </w:rPr>
        <w:t>nullify</w:t>
      </w:r>
      <w:r w:rsidR="00245A4A" w:rsidRPr="00233992">
        <w:rPr>
          <w:sz w:val="22"/>
          <w:szCs w:val="22"/>
        </w:rPr>
        <w:t xml:space="preserve"> the transaction. </w:t>
      </w:r>
      <w:r w:rsidR="00A668AD" w:rsidRPr="00233992">
        <w:rPr>
          <w:sz w:val="22"/>
          <w:szCs w:val="22"/>
        </w:rPr>
        <w:t>F</w:t>
      </w:r>
      <w:r w:rsidR="004768B6" w:rsidRPr="00233992">
        <w:rPr>
          <w:sz w:val="22"/>
          <w:szCs w:val="22"/>
        </w:rPr>
        <w:t xml:space="preserve">igure 1 shows the </w:t>
      </w:r>
      <w:r w:rsidR="001068C3" w:rsidRPr="00233992">
        <w:rPr>
          <w:sz w:val="22"/>
          <w:szCs w:val="22"/>
        </w:rPr>
        <w:t>steps</w:t>
      </w:r>
      <w:r w:rsidR="004768B6" w:rsidRPr="00233992">
        <w:rPr>
          <w:sz w:val="22"/>
          <w:szCs w:val="22"/>
        </w:rPr>
        <w:t xml:space="preserve"> of CFIUS review.</w:t>
      </w:r>
    </w:p>
    <w:p w14:paraId="04699640" w14:textId="1D7961FE" w:rsidR="00D677EC" w:rsidRPr="00233992" w:rsidRDefault="00D677EC" w:rsidP="00233992">
      <w:pPr>
        <w:pStyle w:val="Normal2"/>
        <w:jc w:val="center"/>
        <w:rPr>
          <w:sz w:val="22"/>
          <w:szCs w:val="22"/>
          <w:lang w:eastAsia="fr-FR"/>
        </w:rPr>
      </w:pPr>
      <w:r w:rsidRPr="00233992">
        <w:rPr>
          <w:sz w:val="22"/>
          <w:szCs w:val="22"/>
          <w:lang w:eastAsia="fr-FR"/>
        </w:rPr>
        <w:t>[Insert Figure 1 here]</w:t>
      </w:r>
    </w:p>
    <w:p w14:paraId="635CDFC7" w14:textId="1B81C607" w:rsidR="00717A1B" w:rsidRPr="00BA1E8F" w:rsidRDefault="000F45AF" w:rsidP="007B07EC">
      <w:pPr>
        <w:spacing w:line="480" w:lineRule="auto"/>
        <w:jc w:val="both"/>
        <w:rPr>
          <w:rFonts w:eastAsiaTheme="minorHAnsi"/>
          <w:sz w:val="22"/>
          <w:szCs w:val="22"/>
          <w:lang w:eastAsia="en-US"/>
        </w:rPr>
      </w:pPr>
      <w:r w:rsidRPr="00233992">
        <w:rPr>
          <w:rFonts w:eastAsiaTheme="minorHAnsi"/>
          <w:sz w:val="22"/>
          <w:szCs w:val="22"/>
          <w:lang w:eastAsia="en-US"/>
        </w:rPr>
        <w:tab/>
      </w:r>
      <w:r w:rsidR="00D854F6" w:rsidRPr="00233992">
        <w:rPr>
          <w:sz w:val="22"/>
          <w:szCs w:val="22"/>
        </w:rPr>
        <w:t>T</w:t>
      </w:r>
      <w:r w:rsidR="003D2A2F" w:rsidRPr="00233992">
        <w:rPr>
          <w:sz w:val="22"/>
          <w:szCs w:val="22"/>
        </w:rPr>
        <w:t xml:space="preserve">he </w:t>
      </w:r>
      <w:r w:rsidR="004D20BC" w:rsidRPr="00233992">
        <w:rPr>
          <w:sz w:val="22"/>
          <w:szCs w:val="22"/>
        </w:rPr>
        <w:t>definition</w:t>
      </w:r>
      <w:r w:rsidR="003D2A2F" w:rsidRPr="00233992">
        <w:rPr>
          <w:sz w:val="22"/>
          <w:szCs w:val="22"/>
        </w:rPr>
        <w:t xml:space="preserve"> of </w:t>
      </w:r>
      <w:r w:rsidR="004D20BC" w:rsidRPr="00233992">
        <w:rPr>
          <w:sz w:val="22"/>
          <w:szCs w:val="22"/>
        </w:rPr>
        <w:t xml:space="preserve">what constitutes a </w:t>
      </w:r>
      <w:r w:rsidR="003D2A2F" w:rsidRPr="00233992">
        <w:rPr>
          <w:sz w:val="22"/>
          <w:szCs w:val="22"/>
        </w:rPr>
        <w:t xml:space="preserve">national security </w:t>
      </w:r>
      <w:r w:rsidR="00945192" w:rsidRPr="00233992">
        <w:rPr>
          <w:sz w:val="22"/>
          <w:szCs w:val="22"/>
        </w:rPr>
        <w:t>threat</w:t>
      </w:r>
      <w:r w:rsidR="00014C03">
        <w:rPr>
          <w:sz w:val="22"/>
          <w:szCs w:val="22"/>
        </w:rPr>
        <w:t xml:space="preserve"> under FINSA is vague (Tipler, 2014) and</w:t>
      </w:r>
      <w:r w:rsidR="00945192" w:rsidRPr="00233992">
        <w:rPr>
          <w:sz w:val="22"/>
          <w:szCs w:val="22"/>
        </w:rPr>
        <w:t xml:space="preserve"> </w:t>
      </w:r>
      <w:r w:rsidR="00A668AD" w:rsidRPr="00233992">
        <w:rPr>
          <w:sz w:val="22"/>
          <w:szCs w:val="22"/>
        </w:rPr>
        <w:t xml:space="preserve">has been subject to </w:t>
      </w:r>
      <w:r w:rsidR="004D20BC" w:rsidRPr="00233992">
        <w:rPr>
          <w:sz w:val="22"/>
          <w:szCs w:val="22"/>
        </w:rPr>
        <w:t>interpretations</w:t>
      </w:r>
      <w:r w:rsidR="00A668AD" w:rsidRPr="00233992">
        <w:rPr>
          <w:sz w:val="22"/>
          <w:szCs w:val="22"/>
        </w:rPr>
        <w:t xml:space="preserve"> of</w:t>
      </w:r>
      <w:r w:rsidR="003D2A2F" w:rsidRPr="00233992">
        <w:rPr>
          <w:sz w:val="22"/>
          <w:szCs w:val="22"/>
        </w:rPr>
        <w:t xml:space="preserve"> the </w:t>
      </w:r>
      <w:r w:rsidR="005F649E" w:rsidRPr="00233992">
        <w:rPr>
          <w:sz w:val="22"/>
          <w:szCs w:val="22"/>
        </w:rPr>
        <w:t>incumbent</w:t>
      </w:r>
      <w:r w:rsidR="005F649E" w:rsidRPr="00233992" w:rsidDel="005F649E">
        <w:rPr>
          <w:sz w:val="22"/>
          <w:szCs w:val="22"/>
        </w:rPr>
        <w:t xml:space="preserve"> </w:t>
      </w:r>
      <w:r w:rsidR="003D2A2F" w:rsidRPr="00233992">
        <w:rPr>
          <w:sz w:val="22"/>
          <w:szCs w:val="22"/>
        </w:rPr>
        <w:t>administration</w:t>
      </w:r>
      <w:r w:rsidR="00023461" w:rsidRPr="00233992">
        <w:rPr>
          <w:sz w:val="22"/>
          <w:szCs w:val="22"/>
        </w:rPr>
        <w:t xml:space="preserve">, whose </w:t>
      </w:r>
      <w:r w:rsidR="00A45B5B" w:rsidRPr="00233992">
        <w:rPr>
          <w:sz w:val="22"/>
          <w:szCs w:val="22"/>
        </w:rPr>
        <w:t>stances</w:t>
      </w:r>
      <w:r w:rsidR="00023461" w:rsidRPr="00233992">
        <w:rPr>
          <w:sz w:val="22"/>
          <w:szCs w:val="22"/>
        </w:rPr>
        <w:t xml:space="preserve"> </w:t>
      </w:r>
      <w:r w:rsidR="0059541E" w:rsidRPr="00233992">
        <w:rPr>
          <w:sz w:val="22"/>
          <w:szCs w:val="22"/>
        </w:rPr>
        <w:t>could</w:t>
      </w:r>
      <w:r w:rsidR="00023461" w:rsidRPr="00233992">
        <w:rPr>
          <w:sz w:val="22"/>
          <w:szCs w:val="22"/>
        </w:rPr>
        <w:t xml:space="preserve"> develop </w:t>
      </w:r>
      <w:r w:rsidR="00023461" w:rsidRPr="00233992">
        <w:rPr>
          <w:rFonts w:eastAsiaTheme="minorHAnsi"/>
          <w:sz w:val="22"/>
          <w:szCs w:val="22"/>
          <w:lang w:eastAsia="en-US"/>
        </w:rPr>
        <w:t xml:space="preserve">during </w:t>
      </w:r>
      <w:r w:rsidR="0092799A">
        <w:rPr>
          <w:rFonts w:eastAsiaTheme="minorHAnsi"/>
          <w:sz w:val="22"/>
          <w:szCs w:val="22"/>
          <w:lang w:eastAsia="en-US"/>
        </w:rPr>
        <w:t>the</w:t>
      </w:r>
      <w:r w:rsidR="00023461" w:rsidRPr="00233992">
        <w:rPr>
          <w:rFonts w:eastAsiaTheme="minorHAnsi"/>
          <w:sz w:val="22"/>
          <w:szCs w:val="22"/>
          <w:lang w:eastAsia="en-US"/>
        </w:rPr>
        <w:t xml:space="preserve"> </w:t>
      </w:r>
      <w:r w:rsidR="0059541E" w:rsidRPr="00233992">
        <w:rPr>
          <w:rFonts w:eastAsiaTheme="minorHAnsi"/>
          <w:sz w:val="22"/>
          <w:szCs w:val="22"/>
          <w:lang w:eastAsia="en-US"/>
        </w:rPr>
        <w:t>term</w:t>
      </w:r>
      <w:r w:rsidR="0092799A">
        <w:rPr>
          <w:rFonts w:eastAsiaTheme="minorHAnsi"/>
          <w:sz w:val="22"/>
          <w:szCs w:val="22"/>
          <w:lang w:eastAsia="en-US"/>
        </w:rPr>
        <w:t xml:space="preserve"> (</w:t>
      </w:r>
      <w:r w:rsidR="00097F1D">
        <w:rPr>
          <w:rFonts w:eastAsiaTheme="minorHAnsi"/>
          <w:sz w:val="22"/>
          <w:szCs w:val="22"/>
          <w:lang w:eastAsia="en-US"/>
        </w:rPr>
        <w:t>Josselyn, 2014)</w:t>
      </w:r>
      <w:r w:rsidR="003D2A2F" w:rsidRPr="00233992">
        <w:rPr>
          <w:rFonts w:eastAsiaTheme="minorHAnsi"/>
          <w:sz w:val="22"/>
          <w:szCs w:val="22"/>
          <w:lang w:eastAsia="en-US"/>
        </w:rPr>
        <w:t>.</w:t>
      </w:r>
      <w:r w:rsidR="00555DEB" w:rsidRPr="00233992">
        <w:rPr>
          <w:rFonts w:eastAsiaTheme="minorHAnsi"/>
          <w:sz w:val="22"/>
          <w:szCs w:val="22"/>
          <w:lang w:eastAsia="en-US"/>
        </w:rPr>
        <w:t xml:space="preserve"> For example, the Trump administration was characterized by an elevated turnover of </w:t>
      </w:r>
      <w:r w:rsidR="004D20BC" w:rsidRPr="00233992">
        <w:rPr>
          <w:rFonts w:eastAsiaTheme="minorHAnsi"/>
          <w:sz w:val="22"/>
          <w:szCs w:val="22"/>
          <w:lang w:eastAsia="en-US"/>
        </w:rPr>
        <w:t>top</w:t>
      </w:r>
      <w:r w:rsidR="00555DEB" w:rsidRPr="00233992">
        <w:rPr>
          <w:rFonts w:eastAsiaTheme="minorHAnsi"/>
          <w:sz w:val="22"/>
          <w:szCs w:val="22"/>
          <w:lang w:eastAsia="en-US"/>
        </w:rPr>
        <w:t xml:space="preserve"> government officials, including members of CFIUS</w:t>
      </w:r>
      <w:r w:rsidR="00242775" w:rsidRPr="00233992">
        <w:rPr>
          <w:rFonts w:eastAsiaTheme="minorHAnsi"/>
          <w:sz w:val="22"/>
          <w:szCs w:val="22"/>
          <w:lang w:eastAsia="en-US"/>
        </w:rPr>
        <w:t>,</w:t>
      </w:r>
      <w:r w:rsidR="0092799A">
        <w:rPr>
          <w:rFonts w:eastAsiaTheme="minorHAnsi"/>
          <w:sz w:val="22"/>
          <w:szCs w:val="22"/>
          <w:lang w:eastAsia="en-US"/>
        </w:rPr>
        <w:t xml:space="preserve"> such as the s</w:t>
      </w:r>
      <w:r w:rsidR="00555DEB" w:rsidRPr="00233992">
        <w:rPr>
          <w:rFonts w:eastAsiaTheme="minorHAnsi"/>
          <w:sz w:val="22"/>
          <w:szCs w:val="22"/>
          <w:lang w:eastAsia="en-US"/>
        </w:rPr>
        <w:t xml:space="preserve">ecretary of Defense. </w:t>
      </w:r>
      <w:r w:rsidR="00D854F6" w:rsidRPr="00233992">
        <w:rPr>
          <w:rFonts w:eastAsiaTheme="minorHAnsi"/>
          <w:sz w:val="22"/>
          <w:szCs w:val="22"/>
          <w:lang w:eastAsia="en-US"/>
        </w:rPr>
        <w:t>Moreover, n</w:t>
      </w:r>
      <w:r w:rsidR="00D46222" w:rsidRPr="00233992">
        <w:rPr>
          <w:sz w:val="22"/>
          <w:szCs w:val="22"/>
        </w:rPr>
        <w:t>ational security threats are identified by the incumbent</w:t>
      </w:r>
      <w:r w:rsidR="00D46222" w:rsidRPr="00233992" w:rsidDel="005F649E">
        <w:rPr>
          <w:sz w:val="22"/>
          <w:szCs w:val="22"/>
        </w:rPr>
        <w:t xml:space="preserve"> </w:t>
      </w:r>
      <w:r w:rsidR="00D46222" w:rsidRPr="00233992">
        <w:rPr>
          <w:sz w:val="22"/>
          <w:szCs w:val="22"/>
        </w:rPr>
        <w:t xml:space="preserve">administration, according to the geopolitical backdrop, which unfolds depending on foreign actors. </w:t>
      </w:r>
      <w:r w:rsidR="008516D1" w:rsidRPr="00233992">
        <w:rPr>
          <w:sz w:val="22"/>
          <w:szCs w:val="22"/>
        </w:rPr>
        <w:t xml:space="preserve">For instance, supplies of natural gas did not raise </w:t>
      </w:r>
      <w:r w:rsidR="00A668AD" w:rsidRPr="00233992">
        <w:rPr>
          <w:sz w:val="22"/>
          <w:szCs w:val="22"/>
        </w:rPr>
        <w:t xml:space="preserve">major </w:t>
      </w:r>
      <w:r w:rsidR="008516D1" w:rsidRPr="00233992">
        <w:rPr>
          <w:sz w:val="22"/>
          <w:szCs w:val="22"/>
        </w:rPr>
        <w:t xml:space="preserve">national security </w:t>
      </w:r>
      <w:r w:rsidR="00945192" w:rsidRPr="00233992">
        <w:rPr>
          <w:sz w:val="22"/>
          <w:szCs w:val="22"/>
        </w:rPr>
        <w:t xml:space="preserve">threats </w:t>
      </w:r>
      <w:r w:rsidR="008516D1" w:rsidRPr="00233992">
        <w:rPr>
          <w:sz w:val="22"/>
          <w:szCs w:val="22"/>
        </w:rPr>
        <w:t>until the Russian invasion of Ukraine</w:t>
      </w:r>
      <w:r w:rsidR="00945192" w:rsidRPr="00233992">
        <w:rPr>
          <w:sz w:val="22"/>
          <w:szCs w:val="22"/>
        </w:rPr>
        <w:t xml:space="preserve"> in 2022</w:t>
      </w:r>
      <w:r w:rsidR="008516D1" w:rsidRPr="00233992">
        <w:rPr>
          <w:sz w:val="22"/>
          <w:szCs w:val="22"/>
        </w:rPr>
        <w:t>. Similarly, increasing ties between the Chinese industrial and military apparatus</w:t>
      </w:r>
      <w:r w:rsidR="00242775" w:rsidRPr="00233992">
        <w:rPr>
          <w:sz w:val="22"/>
          <w:szCs w:val="22"/>
        </w:rPr>
        <w:t>es,</w:t>
      </w:r>
      <w:r w:rsidR="00A668AD" w:rsidRPr="00233992">
        <w:rPr>
          <w:sz w:val="22"/>
          <w:szCs w:val="22"/>
        </w:rPr>
        <w:t xml:space="preserve"> such as </w:t>
      </w:r>
      <w:r w:rsidR="00E908A0" w:rsidRPr="00233992">
        <w:rPr>
          <w:sz w:val="22"/>
          <w:szCs w:val="22"/>
        </w:rPr>
        <w:t>the</w:t>
      </w:r>
      <w:r w:rsidR="00BA1E8F">
        <w:rPr>
          <w:sz w:val="22"/>
          <w:szCs w:val="22"/>
        </w:rPr>
        <w:t xml:space="preserve"> Chinese</w:t>
      </w:r>
      <w:r w:rsidR="00BA1E8F" w:rsidRPr="00BA1E8F">
        <w:rPr>
          <w:sz w:val="22"/>
          <w:szCs w:val="22"/>
        </w:rPr>
        <w:t xml:space="preserve"> military-civil fusion </w:t>
      </w:r>
      <w:r w:rsidR="00F81D2C">
        <w:rPr>
          <w:sz w:val="22"/>
          <w:szCs w:val="22"/>
        </w:rPr>
        <w:t>of 2017</w:t>
      </w:r>
      <w:r w:rsidR="00242775" w:rsidRPr="00233992">
        <w:rPr>
          <w:sz w:val="22"/>
          <w:szCs w:val="22"/>
        </w:rPr>
        <w:t>,</w:t>
      </w:r>
      <w:r w:rsidR="008516D1" w:rsidRPr="00233992">
        <w:rPr>
          <w:sz w:val="22"/>
          <w:szCs w:val="22"/>
        </w:rPr>
        <w:t xml:space="preserve"> prompted closer scrutiny of </w:t>
      </w:r>
      <w:r w:rsidR="00B34432" w:rsidRPr="00233992">
        <w:rPr>
          <w:sz w:val="22"/>
          <w:szCs w:val="22"/>
        </w:rPr>
        <w:t xml:space="preserve">dual-use </w:t>
      </w:r>
      <w:r w:rsidR="008516D1" w:rsidRPr="00233992">
        <w:rPr>
          <w:sz w:val="22"/>
          <w:szCs w:val="22"/>
        </w:rPr>
        <w:t>technological transfe</w:t>
      </w:r>
      <w:r w:rsidR="00B34432" w:rsidRPr="00233992">
        <w:rPr>
          <w:sz w:val="22"/>
          <w:szCs w:val="22"/>
        </w:rPr>
        <w:t>rs</w:t>
      </w:r>
      <w:r w:rsidR="008516D1" w:rsidRPr="00233992">
        <w:rPr>
          <w:sz w:val="22"/>
          <w:szCs w:val="22"/>
        </w:rPr>
        <w:t>.</w:t>
      </w:r>
      <w:r w:rsidR="003D2A2F" w:rsidRPr="00233992">
        <w:rPr>
          <w:sz w:val="22"/>
          <w:szCs w:val="22"/>
        </w:rPr>
        <w:t xml:space="preserve"> </w:t>
      </w:r>
      <w:r w:rsidR="006F023A" w:rsidRPr="007B07EC">
        <w:rPr>
          <w:sz w:val="22"/>
          <w:szCs w:val="22"/>
        </w:rPr>
        <w:t xml:space="preserve">As abandoned deals are costly to board members, </w:t>
      </w:r>
      <w:r w:rsidR="006F023A">
        <w:rPr>
          <w:sz w:val="22"/>
          <w:szCs w:val="22"/>
        </w:rPr>
        <w:t>directors</w:t>
      </w:r>
      <w:r w:rsidR="006F023A" w:rsidRPr="007B07EC">
        <w:rPr>
          <w:sz w:val="22"/>
          <w:szCs w:val="22"/>
        </w:rPr>
        <w:t xml:space="preserve"> </w:t>
      </w:r>
      <w:r w:rsidR="006F023A">
        <w:rPr>
          <w:sz w:val="22"/>
          <w:szCs w:val="22"/>
        </w:rPr>
        <w:t>do not</w:t>
      </w:r>
      <w:r w:rsidR="006F023A" w:rsidRPr="007B07EC">
        <w:rPr>
          <w:sz w:val="22"/>
          <w:szCs w:val="22"/>
        </w:rPr>
        <w:t xml:space="preserve"> </w:t>
      </w:r>
      <w:r w:rsidR="006F023A">
        <w:rPr>
          <w:sz w:val="22"/>
          <w:szCs w:val="22"/>
        </w:rPr>
        <w:t>initiate a transaction</w:t>
      </w:r>
      <w:r w:rsidR="006F023A" w:rsidRPr="007B07EC">
        <w:rPr>
          <w:sz w:val="22"/>
          <w:szCs w:val="22"/>
        </w:rPr>
        <w:t xml:space="preserve"> </w:t>
      </w:r>
      <w:r w:rsidR="006F023A">
        <w:rPr>
          <w:sz w:val="22"/>
          <w:szCs w:val="22"/>
        </w:rPr>
        <w:t>whose closing</w:t>
      </w:r>
      <w:r w:rsidR="006F023A" w:rsidRPr="007B07EC">
        <w:rPr>
          <w:sz w:val="22"/>
          <w:szCs w:val="22"/>
        </w:rPr>
        <w:t xml:space="preserve"> </w:t>
      </w:r>
      <w:r w:rsidR="006F023A">
        <w:rPr>
          <w:sz w:val="22"/>
          <w:szCs w:val="22"/>
        </w:rPr>
        <w:t>seems un</w:t>
      </w:r>
      <w:r w:rsidR="006F023A" w:rsidRPr="007B07EC">
        <w:rPr>
          <w:sz w:val="22"/>
          <w:szCs w:val="22"/>
        </w:rPr>
        <w:t xml:space="preserve">likely (Harford, </w:t>
      </w:r>
      <w:r w:rsidR="006F023A" w:rsidRPr="00D47BCE">
        <w:rPr>
          <w:rFonts w:eastAsiaTheme="minorHAnsi"/>
          <w:sz w:val="22"/>
          <w:szCs w:val="22"/>
          <w:lang w:eastAsia="en-US"/>
        </w:rPr>
        <w:t>2003).</w:t>
      </w:r>
      <w:r w:rsidR="006F023A">
        <w:rPr>
          <w:rFonts w:eastAsiaTheme="minorHAnsi"/>
          <w:sz w:val="22"/>
          <w:szCs w:val="22"/>
          <w:lang w:eastAsia="en-US"/>
        </w:rPr>
        <w:t xml:space="preserve"> </w:t>
      </w:r>
      <w:r w:rsidR="00555DEB" w:rsidRPr="00233992">
        <w:rPr>
          <w:sz w:val="22"/>
          <w:szCs w:val="22"/>
        </w:rPr>
        <w:t xml:space="preserve">A case in point is the blocked </w:t>
      </w:r>
      <w:r w:rsidR="005D2E80" w:rsidRPr="00233992">
        <w:rPr>
          <w:sz w:val="22"/>
          <w:szCs w:val="22"/>
        </w:rPr>
        <w:t>acquisition</w:t>
      </w:r>
      <w:r w:rsidR="00555DEB" w:rsidRPr="00233992">
        <w:rPr>
          <w:sz w:val="22"/>
          <w:szCs w:val="22"/>
        </w:rPr>
        <w:t xml:space="preserve"> of Lattice Semiconductor</w:t>
      </w:r>
      <w:r w:rsidR="00242775" w:rsidRPr="00233992">
        <w:rPr>
          <w:sz w:val="22"/>
          <w:szCs w:val="22"/>
        </w:rPr>
        <w:t xml:space="preserve"> </w:t>
      </w:r>
      <w:r w:rsidR="00555DEB" w:rsidRPr="00233992">
        <w:rPr>
          <w:sz w:val="22"/>
          <w:szCs w:val="22"/>
        </w:rPr>
        <w:t xml:space="preserve">by Canyon Bridge Capital Partners in 2017. Darin G. Billerbeck, at that time CEO of </w:t>
      </w:r>
      <w:r w:rsidR="00B954E5" w:rsidRPr="00233992">
        <w:rPr>
          <w:sz w:val="22"/>
          <w:szCs w:val="22"/>
        </w:rPr>
        <w:t>the target</w:t>
      </w:r>
      <w:r w:rsidR="00555DEB" w:rsidRPr="00233992">
        <w:rPr>
          <w:sz w:val="22"/>
          <w:szCs w:val="22"/>
        </w:rPr>
        <w:t xml:space="preserve">, when asked to make </w:t>
      </w:r>
      <w:r w:rsidR="00555DEB" w:rsidRPr="00233992">
        <w:rPr>
          <w:sz w:val="22"/>
          <w:szCs w:val="22"/>
        </w:rPr>
        <w:lastRenderedPageBreak/>
        <w:t xml:space="preserve">a comment on </w:t>
      </w:r>
      <w:r w:rsidR="00AC2880" w:rsidRPr="00233992">
        <w:rPr>
          <w:sz w:val="22"/>
          <w:szCs w:val="22"/>
        </w:rPr>
        <w:t>CFIUS</w:t>
      </w:r>
      <w:r w:rsidR="00D46222" w:rsidRPr="00233992">
        <w:rPr>
          <w:sz w:val="22"/>
          <w:szCs w:val="22"/>
        </w:rPr>
        <w:t xml:space="preserve"> denial of regulatory approval </w:t>
      </w:r>
      <w:r w:rsidR="00555DEB" w:rsidRPr="00233992">
        <w:rPr>
          <w:sz w:val="22"/>
          <w:szCs w:val="22"/>
        </w:rPr>
        <w:t>stated: “And in the end, it ended up being a political decision. So no matter what you heard or what you read, this is a politica</w:t>
      </w:r>
      <w:r w:rsidR="005B2617" w:rsidRPr="00233992">
        <w:rPr>
          <w:sz w:val="22"/>
          <w:szCs w:val="22"/>
        </w:rPr>
        <w:t>l decision” (October 12, 2017).</w:t>
      </w:r>
      <w:r w:rsidR="007B07EC">
        <w:rPr>
          <w:sz w:val="22"/>
          <w:szCs w:val="22"/>
        </w:rPr>
        <w:t xml:space="preserve"> </w:t>
      </w:r>
    </w:p>
    <w:p w14:paraId="688E15EC" w14:textId="6F7988E1" w:rsidR="00484727" w:rsidRPr="00233992" w:rsidRDefault="00484727" w:rsidP="00233992">
      <w:pPr>
        <w:spacing w:line="480" w:lineRule="auto"/>
        <w:ind w:firstLine="360"/>
        <w:jc w:val="both"/>
        <w:rPr>
          <w:sz w:val="22"/>
          <w:szCs w:val="22"/>
        </w:rPr>
      </w:pPr>
    </w:p>
    <w:p w14:paraId="4B003AC2" w14:textId="07372A60" w:rsidR="00245A4A" w:rsidRDefault="006F023A" w:rsidP="00233992">
      <w:pPr>
        <w:pStyle w:val="Paragraphedeliste"/>
        <w:numPr>
          <w:ilvl w:val="0"/>
          <w:numId w:val="5"/>
        </w:numPr>
        <w:spacing w:line="480" w:lineRule="auto"/>
        <w:jc w:val="both"/>
        <w:rPr>
          <w:b/>
          <w:bCs/>
          <w:sz w:val="22"/>
          <w:szCs w:val="22"/>
        </w:rPr>
      </w:pPr>
      <w:r>
        <w:rPr>
          <w:b/>
          <w:bCs/>
          <w:sz w:val="22"/>
          <w:szCs w:val="22"/>
        </w:rPr>
        <w:t>Data and s</w:t>
      </w:r>
      <w:r w:rsidR="00245A4A" w:rsidRPr="00233992">
        <w:rPr>
          <w:b/>
          <w:bCs/>
          <w:sz w:val="22"/>
          <w:szCs w:val="22"/>
        </w:rPr>
        <w:t>ample</w:t>
      </w:r>
    </w:p>
    <w:p w14:paraId="293E547B" w14:textId="46882A70" w:rsidR="003B05F4" w:rsidRPr="00233992" w:rsidRDefault="006F023A" w:rsidP="00D47BCE">
      <w:pPr>
        <w:pStyle w:val="Paragraphedeliste"/>
        <w:numPr>
          <w:ilvl w:val="1"/>
          <w:numId w:val="5"/>
        </w:numPr>
        <w:spacing w:line="480" w:lineRule="auto"/>
        <w:jc w:val="both"/>
        <w:rPr>
          <w:b/>
          <w:bCs/>
          <w:sz w:val="22"/>
          <w:szCs w:val="22"/>
        </w:rPr>
      </w:pPr>
      <w:r>
        <w:rPr>
          <w:b/>
          <w:bCs/>
          <w:sz w:val="22"/>
          <w:szCs w:val="22"/>
        </w:rPr>
        <w:t>Sample construction</w:t>
      </w:r>
    </w:p>
    <w:p w14:paraId="62DB123F" w14:textId="6FE4E2D3" w:rsidR="00245A4A" w:rsidRPr="00233992" w:rsidRDefault="000F45AF" w:rsidP="00233992">
      <w:pPr>
        <w:spacing w:line="480" w:lineRule="auto"/>
        <w:jc w:val="both"/>
        <w:rPr>
          <w:sz w:val="22"/>
          <w:szCs w:val="22"/>
        </w:rPr>
      </w:pPr>
      <w:r w:rsidRPr="00233992">
        <w:rPr>
          <w:rFonts w:eastAsiaTheme="minorHAnsi"/>
          <w:sz w:val="22"/>
          <w:szCs w:val="22"/>
          <w:lang w:eastAsia="en-US"/>
        </w:rPr>
        <w:tab/>
      </w:r>
      <w:r w:rsidR="00245A4A" w:rsidRPr="00233992">
        <w:rPr>
          <w:sz w:val="22"/>
          <w:szCs w:val="22"/>
        </w:rPr>
        <w:t xml:space="preserve">CFIUS activities have increased significantly in recent years. CFIUS received </w:t>
      </w:r>
      <w:r w:rsidR="00285639" w:rsidRPr="00233992">
        <w:rPr>
          <w:sz w:val="22"/>
          <w:szCs w:val="22"/>
        </w:rPr>
        <w:t xml:space="preserve">231 </w:t>
      </w:r>
      <w:r w:rsidR="00245A4A" w:rsidRPr="00233992">
        <w:rPr>
          <w:sz w:val="22"/>
          <w:szCs w:val="22"/>
        </w:rPr>
        <w:t xml:space="preserve">notices and </w:t>
      </w:r>
      <w:r w:rsidR="004368CB" w:rsidRPr="00233992">
        <w:rPr>
          <w:sz w:val="22"/>
          <w:szCs w:val="22"/>
        </w:rPr>
        <w:t>performed</w:t>
      </w:r>
      <w:r w:rsidR="00245A4A" w:rsidRPr="00233992">
        <w:rPr>
          <w:sz w:val="22"/>
          <w:szCs w:val="22"/>
        </w:rPr>
        <w:t xml:space="preserve"> </w:t>
      </w:r>
      <w:r w:rsidR="00285639" w:rsidRPr="00233992">
        <w:rPr>
          <w:sz w:val="22"/>
          <w:szCs w:val="22"/>
        </w:rPr>
        <w:t xml:space="preserve">113 </w:t>
      </w:r>
      <w:r w:rsidR="00245A4A" w:rsidRPr="00233992">
        <w:rPr>
          <w:sz w:val="22"/>
          <w:szCs w:val="22"/>
        </w:rPr>
        <w:t xml:space="preserve">investigations in </w:t>
      </w:r>
      <w:r w:rsidR="00285639" w:rsidRPr="00233992">
        <w:rPr>
          <w:sz w:val="22"/>
          <w:szCs w:val="22"/>
        </w:rPr>
        <w:t>2019</w:t>
      </w:r>
      <w:r w:rsidR="00245A4A" w:rsidRPr="00233992">
        <w:rPr>
          <w:sz w:val="22"/>
          <w:szCs w:val="22"/>
        </w:rPr>
        <w:t>, up from 155 notices</w:t>
      </w:r>
      <w:r w:rsidR="003A24FF" w:rsidRPr="00233992">
        <w:rPr>
          <w:sz w:val="22"/>
          <w:szCs w:val="22"/>
        </w:rPr>
        <w:t xml:space="preserve"> (+49%)</w:t>
      </w:r>
      <w:r w:rsidR="00245A4A" w:rsidRPr="00233992">
        <w:rPr>
          <w:sz w:val="22"/>
          <w:szCs w:val="22"/>
        </w:rPr>
        <w:t xml:space="preserve"> and 23 investigations </w:t>
      </w:r>
      <w:r w:rsidR="003A24FF" w:rsidRPr="00233992">
        <w:rPr>
          <w:sz w:val="22"/>
          <w:szCs w:val="22"/>
        </w:rPr>
        <w:t xml:space="preserve">(+391%) </w:t>
      </w:r>
      <w:r w:rsidR="00245A4A" w:rsidRPr="00233992">
        <w:rPr>
          <w:sz w:val="22"/>
          <w:szCs w:val="22"/>
        </w:rPr>
        <w:t>in 2008</w:t>
      </w:r>
      <w:r w:rsidR="003C6FF0" w:rsidRPr="00233992">
        <w:rPr>
          <w:sz w:val="22"/>
          <w:szCs w:val="22"/>
        </w:rPr>
        <w:t xml:space="preserve">. </w:t>
      </w:r>
      <w:r w:rsidR="00245A4A" w:rsidRPr="00233992">
        <w:rPr>
          <w:sz w:val="22"/>
          <w:szCs w:val="22"/>
        </w:rPr>
        <w:t xml:space="preserve">Among CFIUS </w:t>
      </w:r>
      <w:r w:rsidR="00465AA3" w:rsidRPr="00233992">
        <w:rPr>
          <w:sz w:val="22"/>
          <w:szCs w:val="22"/>
        </w:rPr>
        <w:t>activities</w:t>
      </w:r>
      <w:r w:rsidR="00245A4A" w:rsidRPr="00233992">
        <w:rPr>
          <w:sz w:val="22"/>
          <w:szCs w:val="22"/>
        </w:rPr>
        <w:t xml:space="preserve">, we focus on </w:t>
      </w:r>
      <w:r w:rsidR="004E7350" w:rsidRPr="00233992">
        <w:rPr>
          <w:sz w:val="22"/>
          <w:szCs w:val="22"/>
        </w:rPr>
        <w:t xml:space="preserve">presidential decisions and withdrawals </w:t>
      </w:r>
      <w:r w:rsidR="00B67928" w:rsidRPr="00233992">
        <w:rPr>
          <w:sz w:val="22"/>
          <w:szCs w:val="22"/>
        </w:rPr>
        <w:t>for</w:t>
      </w:r>
      <w:r w:rsidR="004E7350" w:rsidRPr="00233992">
        <w:rPr>
          <w:sz w:val="22"/>
          <w:szCs w:val="22"/>
        </w:rPr>
        <w:t xml:space="preserve"> denial of regulatory approval</w:t>
      </w:r>
      <w:r w:rsidR="00245A4A" w:rsidRPr="00233992">
        <w:rPr>
          <w:sz w:val="22"/>
          <w:szCs w:val="22"/>
        </w:rPr>
        <w:t xml:space="preserve">, which we collectively refer to as CFIUS </w:t>
      </w:r>
      <w:r w:rsidR="00684DC5" w:rsidRPr="00233992">
        <w:rPr>
          <w:sz w:val="22"/>
          <w:szCs w:val="22"/>
        </w:rPr>
        <w:t>interventions</w:t>
      </w:r>
      <w:r w:rsidR="00245A4A" w:rsidRPr="00233992">
        <w:rPr>
          <w:sz w:val="22"/>
          <w:szCs w:val="22"/>
        </w:rPr>
        <w:t xml:space="preserve">. </w:t>
      </w:r>
      <w:r w:rsidR="003C6FF0" w:rsidRPr="00233992">
        <w:rPr>
          <w:sz w:val="22"/>
          <w:szCs w:val="22"/>
        </w:rPr>
        <w:t xml:space="preserve">Given the huge visibility of presidential </w:t>
      </w:r>
      <w:r w:rsidR="00B67928" w:rsidRPr="00233992">
        <w:rPr>
          <w:sz w:val="22"/>
          <w:szCs w:val="22"/>
        </w:rPr>
        <w:t>decisions</w:t>
      </w:r>
      <w:r w:rsidR="003C6FF0" w:rsidRPr="00233992">
        <w:rPr>
          <w:sz w:val="22"/>
          <w:szCs w:val="22"/>
        </w:rPr>
        <w:t xml:space="preserve">, foreign buyers </w:t>
      </w:r>
      <w:r w:rsidR="004368CB" w:rsidRPr="00233992">
        <w:rPr>
          <w:sz w:val="22"/>
          <w:szCs w:val="22"/>
        </w:rPr>
        <w:t>usually</w:t>
      </w:r>
      <w:r w:rsidR="003C6FF0" w:rsidRPr="00233992">
        <w:rPr>
          <w:sz w:val="22"/>
          <w:szCs w:val="22"/>
        </w:rPr>
        <w:t xml:space="preserve"> abandon the </w:t>
      </w:r>
      <w:r w:rsidR="006F023A">
        <w:rPr>
          <w:sz w:val="22"/>
          <w:szCs w:val="22"/>
        </w:rPr>
        <w:t>transaction</w:t>
      </w:r>
      <w:r w:rsidR="003C6FF0" w:rsidRPr="00233992">
        <w:rPr>
          <w:sz w:val="22"/>
          <w:szCs w:val="22"/>
        </w:rPr>
        <w:t xml:space="preserve"> earlier when CFIUS sends negative feedback dur</w:t>
      </w:r>
      <w:r w:rsidR="00F665C7" w:rsidRPr="00233992">
        <w:rPr>
          <w:sz w:val="22"/>
          <w:szCs w:val="22"/>
        </w:rPr>
        <w:t xml:space="preserve">ing the review process (Jackson, </w:t>
      </w:r>
      <w:r w:rsidR="003C6FF0" w:rsidRPr="00233992">
        <w:rPr>
          <w:sz w:val="22"/>
          <w:szCs w:val="22"/>
        </w:rPr>
        <w:t xml:space="preserve">2020). CFIUS annual reports indicate that there </w:t>
      </w:r>
      <w:r w:rsidR="004368CB" w:rsidRPr="00233992">
        <w:rPr>
          <w:sz w:val="22"/>
          <w:szCs w:val="22"/>
        </w:rPr>
        <w:t>were</w:t>
      </w:r>
      <w:r w:rsidR="003C6FF0" w:rsidRPr="00233992">
        <w:rPr>
          <w:sz w:val="22"/>
          <w:szCs w:val="22"/>
        </w:rPr>
        <w:t xml:space="preserve"> only five presidential decisions in the 2008-2019 period. As a result, the majority of CFIUS interventions are withdrawals </w:t>
      </w:r>
      <w:r w:rsidR="00B67928" w:rsidRPr="00233992">
        <w:rPr>
          <w:sz w:val="22"/>
          <w:szCs w:val="22"/>
        </w:rPr>
        <w:t>for</w:t>
      </w:r>
      <w:r w:rsidR="003C6FF0" w:rsidRPr="00233992">
        <w:rPr>
          <w:sz w:val="22"/>
          <w:szCs w:val="22"/>
        </w:rPr>
        <w:t xml:space="preserve"> denial of regulatory approval.</w:t>
      </w:r>
    </w:p>
    <w:p w14:paraId="0231540A" w14:textId="2D7B03C7" w:rsidR="009A375C" w:rsidRPr="00233992" w:rsidRDefault="000F45AF" w:rsidP="00233992">
      <w:pPr>
        <w:spacing w:line="480" w:lineRule="auto"/>
        <w:jc w:val="both"/>
        <w:rPr>
          <w:sz w:val="22"/>
          <w:szCs w:val="22"/>
        </w:rPr>
      </w:pPr>
      <w:r w:rsidRPr="00233992">
        <w:rPr>
          <w:rFonts w:eastAsiaTheme="minorHAnsi"/>
          <w:sz w:val="22"/>
          <w:szCs w:val="22"/>
          <w:lang w:eastAsia="en-US"/>
        </w:rPr>
        <w:tab/>
      </w:r>
      <w:r w:rsidR="00245A4A" w:rsidRPr="00233992">
        <w:rPr>
          <w:sz w:val="22"/>
          <w:szCs w:val="22"/>
        </w:rPr>
        <w:t xml:space="preserve">We manually collect data on CFIUS </w:t>
      </w:r>
      <w:r w:rsidR="00684DC5" w:rsidRPr="00233992">
        <w:rPr>
          <w:sz w:val="22"/>
          <w:szCs w:val="22"/>
        </w:rPr>
        <w:t xml:space="preserve">interventions </w:t>
      </w:r>
      <w:r w:rsidR="00245A4A" w:rsidRPr="00233992">
        <w:rPr>
          <w:sz w:val="22"/>
          <w:szCs w:val="22"/>
        </w:rPr>
        <w:t>from Factiva</w:t>
      </w:r>
      <w:r w:rsidR="00392791" w:rsidRPr="00233992">
        <w:rPr>
          <w:sz w:val="22"/>
          <w:szCs w:val="22"/>
        </w:rPr>
        <w:t xml:space="preserve"> and SEC EDGAR</w:t>
      </w:r>
      <w:r w:rsidR="00245A4A" w:rsidRPr="00233992">
        <w:rPr>
          <w:sz w:val="22"/>
          <w:szCs w:val="22"/>
        </w:rPr>
        <w:t xml:space="preserve">. We search for all news </w:t>
      </w:r>
      <w:r w:rsidR="00392791" w:rsidRPr="00233992">
        <w:rPr>
          <w:sz w:val="22"/>
          <w:szCs w:val="22"/>
        </w:rPr>
        <w:t xml:space="preserve">related to CFIUS </w:t>
      </w:r>
      <w:r w:rsidR="004E7350" w:rsidRPr="00233992">
        <w:rPr>
          <w:sz w:val="22"/>
          <w:szCs w:val="22"/>
        </w:rPr>
        <w:t xml:space="preserve">in the period </w:t>
      </w:r>
      <w:r w:rsidR="00245A4A" w:rsidRPr="00233992">
        <w:rPr>
          <w:sz w:val="22"/>
          <w:szCs w:val="22"/>
        </w:rPr>
        <w:t>from 200</w:t>
      </w:r>
      <w:r w:rsidR="00AE4DD2" w:rsidRPr="00233992">
        <w:rPr>
          <w:sz w:val="22"/>
          <w:szCs w:val="22"/>
        </w:rPr>
        <w:t>7</w:t>
      </w:r>
      <w:r w:rsidR="00245A4A" w:rsidRPr="00233992">
        <w:rPr>
          <w:sz w:val="22"/>
          <w:szCs w:val="22"/>
        </w:rPr>
        <w:t xml:space="preserve"> to 20</w:t>
      </w:r>
      <w:r w:rsidR="00AE4DD2" w:rsidRPr="00233992">
        <w:rPr>
          <w:sz w:val="22"/>
          <w:szCs w:val="22"/>
        </w:rPr>
        <w:t>20</w:t>
      </w:r>
      <w:r w:rsidR="00245A4A" w:rsidRPr="00233992">
        <w:rPr>
          <w:sz w:val="22"/>
          <w:szCs w:val="22"/>
        </w:rPr>
        <w:t xml:space="preserve">. We cross-check </w:t>
      </w:r>
      <w:r w:rsidR="004368CB" w:rsidRPr="00233992">
        <w:rPr>
          <w:sz w:val="22"/>
          <w:szCs w:val="22"/>
        </w:rPr>
        <w:t>this</w:t>
      </w:r>
      <w:r w:rsidR="00245A4A" w:rsidRPr="00233992">
        <w:rPr>
          <w:sz w:val="22"/>
          <w:szCs w:val="22"/>
        </w:rPr>
        <w:t xml:space="preserve"> information in other public sources—Google, </w:t>
      </w:r>
      <w:r w:rsidR="00BE3105" w:rsidRPr="00233992">
        <w:rPr>
          <w:sz w:val="22"/>
          <w:szCs w:val="22"/>
        </w:rPr>
        <w:t xml:space="preserve">company </w:t>
      </w:r>
      <w:r w:rsidR="00245A4A" w:rsidRPr="00233992">
        <w:rPr>
          <w:sz w:val="22"/>
          <w:szCs w:val="22"/>
        </w:rPr>
        <w:t xml:space="preserve">websites, and the financial press—and remove </w:t>
      </w:r>
      <w:r w:rsidR="004368CB" w:rsidRPr="00233992">
        <w:rPr>
          <w:sz w:val="22"/>
          <w:szCs w:val="22"/>
        </w:rPr>
        <w:t>what</w:t>
      </w:r>
      <w:r w:rsidR="00245A4A" w:rsidRPr="00233992">
        <w:rPr>
          <w:sz w:val="22"/>
          <w:szCs w:val="22"/>
        </w:rPr>
        <w:t xml:space="preserve"> we cannot confirm from these sources. </w:t>
      </w:r>
      <w:r w:rsidR="00405774" w:rsidRPr="00233992">
        <w:rPr>
          <w:sz w:val="22"/>
          <w:szCs w:val="22"/>
        </w:rPr>
        <w:t xml:space="preserve">We identify </w:t>
      </w:r>
      <w:r w:rsidR="006F49F9">
        <w:rPr>
          <w:sz w:val="22"/>
          <w:szCs w:val="22"/>
        </w:rPr>
        <w:t>45</w:t>
      </w:r>
      <w:r w:rsidR="0054675C" w:rsidRPr="00233992">
        <w:rPr>
          <w:sz w:val="22"/>
          <w:szCs w:val="22"/>
        </w:rPr>
        <w:t xml:space="preserve"> CFIUS interventions</w:t>
      </w:r>
      <w:r w:rsidR="00405774" w:rsidRPr="00233992">
        <w:rPr>
          <w:sz w:val="22"/>
          <w:szCs w:val="22"/>
        </w:rPr>
        <w:t xml:space="preserve">. </w:t>
      </w:r>
      <w:r w:rsidR="00245A4A" w:rsidRPr="00233992">
        <w:rPr>
          <w:sz w:val="22"/>
          <w:szCs w:val="22"/>
        </w:rPr>
        <w:t xml:space="preserve">For </w:t>
      </w:r>
      <w:r w:rsidR="004368CB" w:rsidRPr="00233992">
        <w:rPr>
          <w:sz w:val="22"/>
          <w:szCs w:val="22"/>
        </w:rPr>
        <w:t>every deal</w:t>
      </w:r>
      <w:r w:rsidR="00245A4A" w:rsidRPr="00233992">
        <w:rPr>
          <w:sz w:val="22"/>
          <w:szCs w:val="22"/>
        </w:rPr>
        <w:t xml:space="preserve">, we collect detailed information </w:t>
      </w:r>
      <w:r w:rsidR="00AE4DD2" w:rsidRPr="00233992">
        <w:rPr>
          <w:sz w:val="22"/>
          <w:szCs w:val="22"/>
        </w:rPr>
        <w:t xml:space="preserve">regarding </w:t>
      </w:r>
      <w:r w:rsidR="00245A4A" w:rsidRPr="00233992">
        <w:rPr>
          <w:sz w:val="22"/>
          <w:szCs w:val="22"/>
        </w:rPr>
        <w:t xml:space="preserve">the target name, buyer name, deal size, deal structure, and event date. We exclude deals </w:t>
      </w:r>
      <w:r w:rsidR="00BE3105" w:rsidRPr="00233992">
        <w:rPr>
          <w:sz w:val="22"/>
          <w:szCs w:val="22"/>
        </w:rPr>
        <w:t xml:space="preserve">whose </w:t>
      </w:r>
      <w:r w:rsidR="00465AA3" w:rsidRPr="00233992">
        <w:rPr>
          <w:sz w:val="22"/>
          <w:szCs w:val="22"/>
        </w:rPr>
        <w:t xml:space="preserve">national </w:t>
      </w:r>
      <w:r w:rsidR="00245A4A" w:rsidRPr="00233992">
        <w:rPr>
          <w:sz w:val="22"/>
          <w:szCs w:val="22"/>
        </w:rPr>
        <w:t xml:space="preserve">security </w:t>
      </w:r>
      <w:r w:rsidR="00465AA3" w:rsidRPr="00233992">
        <w:rPr>
          <w:sz w:val="22"/>
          <w:szCs w:val="22"/>
        </w:rPr>
        <w:t xml:space="preserve">threats </w:t>
      </w:r>
      <w:r w:rsidR="00245A4A" w:rsidRPr="00233992">
        <w:rPr>
          <w:sz w:val="22"/>
          <w:szCs w:val="22"/>
        </w:rPr>
        <w:t xml:space="preserve">were raised because of the target’s proximity to </w:t>
      </w:r>
      <w:r w:rsidR="00946453" w:rsidRPr="00233992">
        <w:rPr>
          <w:sz w:val="22"/>
          <w:szCs w:val="22"/>
        </w:rPr>
        <w:t>military</w:t>
      </w:r>
      <w:r w:rsidR="00245A4A" w:rsidRPr="00233992">
        <w:rPr>
          <w:sz w:val="22"/>
          <w:szCs w:val="22"/>
        </w:rPr>
        <w:t xml:space="preserve"> facilities (</w:t>
      </w:r>
      <w:r w:rsidR="00946453" w:rsidRPr="00233992">
        <w:rPr>
          <w:sz w:val="22"/>
          <w:szCs w:val="22"/>
        </w:rPr>
        <w:t xml:space="preserve">two </w:t>
      </w:r>
      <w:r w:rsidR="00245A4A" w:rsidRPr="00233992">
        <w:rPr>
          <w:sz w:val="22"/>
          <w:szCs w:val="22"/>
        </w:rPr>
        <w:t>deals</w:t>
      </w:r>
      <w:r w:rsidR="00946453" w:rsidRPr="00233992">
        <w:rPr>
          <w:sz w:val="22"/>
          <w:szCs w:val="22"/>
        </w:rPr>
        <w:t>—</w:t>
      </w:r>
      <w:r w:rsidR="0092799A">
        <w:rPr>
          <w:sz w:val="22"/>
          <w:szCs w:val="22"/>
        </w:rPr>
        <w:t>beyond</w:t>
      </w:r>
      <w:r w:rsidR="00946453" w:rsidRPr="00233992">
        <w:rPr>
          <w:sz w:val="22"/>
          <w:szCs w:val="22"/>
        </w:rPr>
        <w:t xml:space="preserve"> the scope of this paper</w:t>
      </w:r>
      <w:r w:rsidR="00245A4A" w:rsidRPr="00233992">
        <w:rPr>
          <w:sz w:val="22"/>
          <w:szCs w:val="22"/>
        </w:rPr>
        <w:t xml:space="preserve">), and whose target industry classification </w:t>
      </w:r>
      <w:r w:rsidR="00465AA3" w:rsidRPr="00233992">
        <w:rPr>
          <w:sz w:val="22"/>
          <w:szCs w:val="22"/>
        </w:rPr>
        <w:t>is</w:t>
      </w:r>
      <w:r w:rsidR="00BE3105" w:rsidRPr="00233992">
        <w:rPr>
          <w:sz w:val="22"/>
          <w:szCs w:val="22"/>
        </w:rPr>
        <w:t xml:space="preserve"> </w:t>
      </w:r>
      <w:r w:rsidR="00245A4A" w:rsidRPr="00233992">
        <w:rPr>
          <w:sz w:val="22"/>
          <w:szCs w:val="22"/>
        </w:rPr>
        <w:t>not available (</w:t>
      </w:r>
      <w:r w:rsidR="00946453" w:rsidRPr="00233992">
        <w:rPr>
          <w:sz w:val="22"/>
          <w:szCs w:val="22"/>
        </w:rPr>
        <w:t xml:space="preserve">three </w:t>
      </w:r>
      <w:r w:rsidR="00245A4A" w:rsidRPr="00233992">
        <w:rPr>
          <w:sz w:val="22"/>
          <w:szCs w:val="22"/>
        </w:rPr>
        <w:t>deals</w:t>
      </w:r>
      <w:r w:rsidR="004A0343" w:rsidRPr="00233992">
        <w:rPr>
          <w:sz w:val="22"/>
          <w:szCs w:val="22"/>
        </w:rPr>
        <w:t xml:space="preserve"> involving startup</w:t>
      </w:r>
      <w:r w:rsidR="00E36B98" w:rsidRPr="00233992">
        <w:rPr>
          <w:sz w:val="22"/>
          <w:szCs w:val="22"/>
        </w:rPr>
        <w:t>s</w:t>
      </w:r>
      <w:r w:rsidR="004A0343" w:rsidRPr="00233992">
        <w:rPr>
          <w:sz w:val="22"/>
          <w:szCs w:val="22"/>
        </w:rPr>
        <w:t xml:space="preserve"> or greenfield investments</w:t>
      </w:r>
      <w:r w:rsidR="00BA1E8F">
        <w:rPr>
          <w:sz w:val="22"/>
          <w:szCs w:val="22"/>
        </w:rPr>
        <w:t xml:space="preserve"> and four asset deals</w:t>
      </w:r>
      <w:r w:rsidR="00245A4A" w:rsidRPr="00233992">
        <w:rPr>
          <w:sz w:val="22"/>
          <w:szCs w:val="22"/>
        </w:rPr>
        <w:t>).</w:t>
      </w:r>
      <w:r w:rsidR="00B954E5" w:rsidRPr="00233992">
        <w:rPr>
          <w:sz w:val="22"/>
          <w:szCs w:val="22"/>
        </w:rPr>
        <w:t xml:space="preserve"> </w:t>
      </w:r>
      <w:r w:rsidR="009014CA" w:rsidRPr="00233992">
        <w:rPr>
          <w:sz w:val="22"/>
          <w:szCs w:val="22"/>
        </w:rPr>
        <w:t>Lastly, we exclude private targets (15 deals).</w:t>
      </w:r>
      <w:r w:rsidR="009014CA">
        <w:rPr>
          <w:sz w:val="22"/>
          <w:szCs w:val="22"/>
        </w:rPr>
        <w:t xml:space="preserve"> </w:t>
      </w:r>
      <w:r w:rsidR="0035111B">
        <w:rPr>
          <w:rFonts w:eastAsiaTheme="minorHAnsi"/>
          <w:sz w:val="22"/>
          <w:szCs w:val="22"/>
          <w:lang w:eastAsia="en-US"/>
        </w:rPr>
        <w:t>This</w:t>
      </w:r>
      <w:r w:rsidR="0035111B" w:rsidRPr="00233992">
        <w:rPr>
          <w:rFonts w:eastAsiaTheme="minorHAnsi"/>
          <w:sz w:val="22"/>
          <w:szCs w:val="22"/>
          <w:lang w:eastAsia="en-US"/>
        </w:rPr>
        <w:t xml:space="preserve"> choice is motivated by the need to match the type of firms whose takeovers were blocked to the firms whose investments we analyze—namely U</w:t>
      </w:r>
      <w:r w:rsidR="008A3E91">
        <w:rPr>
          <w:rFonts w:eastAsiaTheme="minorHAnsi"/>
          <w:sz w:val="22"/>
          <w:szCs w:val="22"/>
          <w:lang w:eastAsia="en-US"/>
        </w:rPr>
        <w:t>.</w:t>
      </w:r>
      <w:r w:rsidR="0035111B" w:rsidRPr="00233992">
        <w:rPr>
          <w:rFonts w:eastAsiaTheme="minorHAnsi"/>
          <w:sz w:val="22"/>
          <w:szCs w:val="22"/>
          <w:lang w:eastAsia="en-US"/>
        </w:rPr>
        <w:t>S</w:t>
      </w:r>
      <w:r w:rsidR="008A3E91">
        <w:rPr>
          <w:rFonts w:eastAsiaTheme="minorHAnsi"/>
          <w:sz w:val="22"/>
          <w:szCs w:val="22"/>
          <w:lang w:eastAsia="en-US"/>
        </w:rPr>
        <w:t>.</w:t>
      </w:r>
      <w:r w:rsidR="0035111B" w:rsidRPr="00233992">
        <w:rPr>
          <w:rFonts w:eastAsiaTheme="minorHAnsi"/>
          <w:sz w:val="22"/>
          <w:szCs w:val="22"/>
          <w:lang w:eastAsia="en-US"/>
        </w:rPr>
        <w:t xml:space="preserve"> incorporated listed firms. Moreover, the TNIC classification (Hoberg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35111B" w:rsidRPr="00233992">
        <w:rPr>
          <w:rFonts w:eastAsiaTheme="minorHAnsi"/>
          <w:sz w:val="22"/>
          <w:szCs w:val="22"/>
          <w:lang w:eastAsia="en-US"/>
        </w:rPr>
        <w:t xml:space="preserve">Phillips, 2010, 2016) </w:t>
      </w:r>
      <w:r w:rsidR="00102B90">
        <w:rPr>
          <w:rFonts w:eastAsiaTheme="minorHAnsi"/>
          <w:sz w:val="22"/>
          <w:szCs w:val="22"/>
          <w:lang w:eastAsia="en-US"/>
        </w:rPr>
        <w:t xml:space="preserve">has evident </w:t>
      </w:r>
      <w:r w:rsidR="00102B90" w:rsidRPr="00233992">
        <w:rPr>
          <w:rFonts w:eastAsiaTheme="minorHAnsi"/>
          <w:sz w:val="22"/>
          <w:szCs w:val="22"/>
          <w:lang w:eastAsia="en-US"/>
        </w:rPr>
        <w:t>advantages over other industry classifications based on header codes</w:t>
      </w:r>
      <w:r w:rsidR="00102B90">
        <w:rPr>
          <w:rFonts w:eastAsiaTheme="minorHAnsi"/>
          <w:sz w:val="22"/>
          <w:szCs w:val="22"/>
          <w:lang w:eastAsia="en-US"/>
        </w:rPr>
        <w:t xml:space="preserve"> but </w:t>
      </w:r>
      <w:r w:rsidR="0035111B" w:rsidRPr="00233992">
        <w:rPr>
          <w:rFonts w:eastAsiaTheme="minorHAnsi"/>
          <w:sz w:val="22"/>
          <w:szCs w:val="22"/>
          <w:lang w:eastAsia="en-US"/>
        </w:rPr>
        <w:t xml:space="preserve">is available only for listed firms. </w:t>
      </w:r>
      <w:r w:rsidR="001A1614">
        <w:rPr>
          <w:sz w:val="22"/>
          <w:szCs w:val="22"/>
        </w:rPr>
        <w:t xml:space="preserve">Including </w:t>
      </w:r>
      <w:r w:rsidR="00085332">
        <w:rPr>
          <w:sz w:val="22"/>
          <w:szCs w:val="22"/>
        </w:rPr>
        <w:t xml:space="preserve">CFIUS interventions </w:t>
      </w:r>
      <w:r w:rsidR="0092799A">
        <w:rPr>
          <w:sz w:val="22"/>
          <w:szCs w:val="22"/>
        </w:rPr>
        <w:t>with</w:t>
      </w:r>
      <w:r w:rsidR="006F023A">
        <w:rPr>
          <w:sz w:val="22"/>
          <w:szCs w:val="22"/>
        </w:rPr>
        <w:t xml:space="preserve"> </w:t>
      </w:r>
      <w:r w:rsidR="001A1614">
        <w:rPr>
          <w:sz w:val="22"/>
          <w:szCs w:val="22"/>
        </w:rPr>
        <w:t xml:space="preserve">private </w:t>
      </w:r>
      <w:r w:rsidR="006F023A">
        <w:rPr>
          <w:sz w:val="22"/>
          <w:szCs w:val="22"/>
        </w:rPr>
        <w:t>targets</w:t>
      </w:r>
      <w:r w:rsidR="001A1614">
        <w:rPr>
          <w:sz w:val="22"/>
          <w:szCs w:val="22"/>
        </w:rPr>
        <w:t xml:space="preserve"> </w:t>
      </w:r>
      <w:r w:rsidR="00FB3E7C">
        <w:rPr>
          <w:sz w:val="22"/>
          <w:szCs w:val="22"/>
        </w:rPr>
        <w:t>yields similar results</w:t>
      </w:r>
      <w:r w:rsidR="001A1614">
        <w:rPr>
          <w:sz w:val="22"/>
          <w:szCs w:val="22"/>
        </w:rPr>
        <w:t xml:space="preserve"> </w:t>
      </w:r>
      <w:r w:rsidR="00C83A92">
        <w:rPr>
          <w:sz w:val="22"/>
          <w:szCs w:val="22"/>
        </w:rPr>
        <w:t>(see Section 8)</w:t>
      </w:r>
      <w:r w:rsidR="001A1614">
        <w:rPr>
          <w:sz w:val="22"/>
          <w:szCs w:val="22"/>
        </w:rPr>
        <w:t xml:space="preserve">. </w:t>
      </w:r>
      <w:r w:rsidR="00B67928" w:rsidRPr="00233992">
        <w:rPr>
          <w:sz w:val="22"/>
          <w:szCs w:val="22"/>
        </w:rPr>
        <w:t>We describe the data constructi</w:t>
      </w:r>
      <w:r w:rsidR="00EB3F4A">
        <w:rPr>
          <w:sz w:val="22"/>
          <w:szCs w:val="22"/>
        </w:rPr>
        <w:t xml:space="preserve">on </w:t>
      </w:r>
      <w:r w:rsidR="00050364">
        <w:rPr>
          <w:sz w:val="22"/>
          <w:szCs w:val="22"/>
        </w:rPr>
        <w:t xml:space="preserve">process </w:t>
      </w:r>
      <w:r w:rsidR="00EB3F4A">
        <w:rPr>
          <w:sz w:val="22"/>
          <w:szCs w:val="22"/>
        </w:rPr>
        <w:t>in Panel A of Table 1</w:t>
      </w:r>
      <w:r w:rsidR="00B67928" w:rsidRPr="00233992">
        <w:rPr>
          <w:sz w:val="22"/>
          <w:szCs w:val="22"/>
        </w:rPr>
        <w:t>.</w:t>
      </w:r>
      <w:r w:rsidR="009A375C" w:rsidRPr="00233992">
        <w:rPr>
          <w:sz w:val="22"/>
          <w:szCs w:val="22"/>
        </w:rPr>
        <w:t xml:space="preserve"> This process yields </w:t>
      </w:r>
      <w:r w:rsidR="00484727" w:rsidRPr="00233992">
        <w:rPr>
          <w:sz w:val="22"/>
          <w:szCs w:val="22"/>
        </w:rPr>
        <w:t>a</w:t>
      </w:r>
      <w:r w:rsidR="009A375C" w:rsidRPr="00233992">
        <w:rPr>
          <w:sz w:val="22"/>
          <w:szCs w:val="22"/>
        </w:rPr>
        <w:t xml:space="preserve"> sample of </w:t>
      </w:r>
      <w:r w:rsidR="006F49F9">
        <w:rPr>
          <w:sz w:val="22"/>
          <w:szCs w:val="22"/>
        </w:rPr>
        <w:t>23</w:t>
      </w:r>
      <w:r w:rsidR="004D61BD" w:rsidRPr="00233992">
        <w:rPr>
          <w:sz w:val="22"/>
          <w:szCs w:val="22"/>
        </w:rPr>
        <w:t xml:space="preserve"> </w:t>
      </w:r>
      <w:r w:rsidR="009A375C" w:rsidRPr="00233992">
        <w:rPr>
          <w:sz w:val="22"/>
          <w:szCs w:val="22"/>
        </w:rPr>
        <w:t>CFIUS interventions involving listed targets.</w:t>
      </w:r>
    </w:p>
    <w:p w14:paraId="3131D11F" w14:textId="0CF283B0" w:rsidR="00245A4A" w:rsidRPr="00233992" w:rsidRDefault="000F45AF" w:rsidP="00233992">
      <w:pPr>
        <w:spacing w:line="480" w:lineRule="auto"/>
        <w:jc w:val="both"/>
        <w:rPr>
          <w:sz w:val="22"/>
          <w:szCs w:val="22"/>
        </w:rPr>
      </w:pPr>
      <w:r w:rsidRPr="00233992">
        <w:rPr>
          <w:rFonts w:eastAsiaTheme="minorHAnsi"/>
          <w:sz w:val="22"/>
          <w:szCs w:val="22"/>
          <w:lang w:eastAsia="en-US"/>
        </w:rPr>
        <w:lastRenderedPageBreak/>
        <w:tab/>
      </w:r>
      <w:r w:rsidR="004922B0" w:rsidRPr="006B5817">
        <w:rPr>
          <w:sz w:val="22"/>
          <w:szCs w:val="22"/>
        </w:rPr>
        <w:t xml:space="preserve">Arguably, </w:t>
      </w:r>
      <w:r w:rsidR="004922B0">
        <w:rPr>
          <w:sz w:val="22"/>
          <w:szCs w:val="22"/>
        </w:rPr>
        <w:t>listed</w:t>
      </w:r>
      <w:r w:rsidR="004922B0" w:rsidRPr="006B5817">
        <w:rPr>
          <w:sz w:val="22"/>
          <w:szCs w:val="22"/>
        </w:rPr>
        <w:t xml:space="preserve"> and private firms differ in characteristics such as visibility.</w:t>
      </w:r>
      <w:r w:rsidR="004922B0">
        <w:rPr>
          <w:sz w:val="22"/>
          <w:szCs w:val="22"/>
        </w:rPr>
        <w:t xml:space="preserve"> </w:t>
      </w:r>
      <w:r w:rsidR="003C6FF0" w:rsidRPr="00233992">
        <w:rPr>
          <w:sz w:val="22"/>
          <w:szCs w:val="22"/>
        </w:rPr>
        <w:t>We cannot rule out the possibility that some CFIUS inter</w:t>
      </w:r>
      <w:r w:rsidR="00D854F6" w:rsidRPr="00233992">
        <w:rPr>
          <w:sz w:val="22"/>
          <w:szCs w:val="22"/>
        </w:rPr>
        <w:t>ventions are not detected in our data construction process</w:t>
      </w:r>
      <w:r w:rsidR="003C6FF0" w:rsidRPr="00233992">
        <w:rPr>
          <w:sz w:val="22"/>
          <w:szCs w:val="22"/>
        </w:rPr>
        <w:t>, especially in case of private targets which are invisible.</w:t>
      </w:r>
      <w:r w:rsidR="00026176" w:rsidRPr="00233992">
        <w:rPr>
          <w:rStyle w:val="Appelnotedebasdep"/>
          <w:sz w:val="22"/>
          <w:szCs w:val="22"/>
        </w:rPr>
        <w:footnoteReference w:id="8"/>
      </w:r>
      <w:r w:rsidR="00026176" w:rsidRPr="00233992">
        <w:rPr>
          <w:sz w:val="22"/>
          <w:szCs w:val="22"/>
        </w:rPr>
        <w:t xml:space="preserve"> </w:t>
      </w:r>
      <w:r w:rsidR="003C6FF0" w:rsidRPr="00233992">
        <w:rPr>
          <w:sz w:val="22"/>
          <w:szCs w:val="22"/>
        </w:rPr>
        <w:t xml:space="preserve">This concern is mitigated for transactions involving listed targets because </w:t>
      </w:r>
      <w:r w:rsidR="00B67928" w:rsidRPr="00233992">
        <w:rPr>
          <w:sz w:val="22"/>
          <w:szCs w:val="22"/>
        </w:rPr>
        <w:t>of the</w:t>
      </w:r>
      <w:r w:rsidR="009A375C" w:rsidRPr="00233992">
        <w:rPr>
          <w:sz w:val="22"/>
          <w:szCs w:val="22"/>
        </w:rPr>
        <w:t>ir</w:t>
      </w:r>
      <w:r w:rsidR="003C6FF0" w:rsidRPr="00233992">
        <w:rPr>
          <w:sz w:val="22"/>
          <w:szCs w:val="22"/>
        </w:rPr>
        <w:t xml:space="preserve"> timely communication requirements that inform market participants about the pending </w:t>
      </w:r>
      <w:r w:rsidR="004B29A8">
        <w:rPr>
          <w:sz w:val="22"/>
          <w:szCs w:val="22"/>
        </w:rPr>
        <w:t>transaction</w:t>
      </w:r>
      <w:r w:rsidR="003C6FF0" w:rsidRPr="00233992">
        <w:rPr>
          <w:sz w:val="22"/>
          <w:szCs w:val="22"/>
        </w:rPr>
        <w:t>. The materiality of undetected CFIUS intervention</w:t>
      </w:r>
      <w:r w:rsidR="004B5738" w:rsidRPr="00233992">
        <w:rPr>
          <w:sz w:val="22"/>
          <w:szCs w:val="22"/>
        </w:rPr>
        <w:t>s</w:t>
      </w:r>
      <w:r w:rsidR="003C6FF0" w:rsidRPr="00233992">
        <w:rPr>
          <w:sz w:val="22"/>
          <w:szCs w:val="22"/>
        </w:rPr>
        <w:t xml:space="preserve"> involving listed target</w:t>
      </w:r>
      <w:r w:rsidR="00CA18FF" w:rsidRPr="00233992">
        <w:rPr>
          <w:sz w:val="22"/>
          <w:szCs w:val="22"/>
        </w:rPr>
        <w:t>s</w:t>
      </w:r>
      <w:r w:rsidR="00D854F6" w:rsidRPr="00233992">
        <w:rPr>
          <w:sz w:val="22"/>
          <w:szCs w:val="22"/>
        </w:rPr>
        <w:t xml:space="preserve"> appears limited. I</w:t>
      </w:r>
      <w:r w:rsidR="003C251B" w:rsidRPr="00233992">
        <w:rPr>
          <w:sz w:val="22"/>
          <w:szCs w:val="22"/>
        </w:rPr>
        <w:t xml:space="preserve">n case of undisclosed CFIUS interventions, </w:t>
      </w:r>
      <w:r w:rsidR="004B5738" w:rsidRPr="00233992">
        <w:rPr>
          <w:sz w:val="22"/>
          <w:szCs w:val="22"/>
        </w:rPr>
        <w:t xml:space="preserve">market participants </w:t>
      </w:r>
      <w:r w:rsidR="003C251B" w:rsidRPr="00233992">
        <w:rPr>
          <w:sz w:val="22"/>
          <w:szCs w:val="22"/>
        </w:rPr>
        <w:t xml:space="preserve">could not act on them because they </w:t>
      </w:r>
      <w:r w:rsidR="004B5738" w:rsidRPr="00233992">
        <w:rPr>
          <w:sz w:val="22"/>
          <w:szCs w:val="22"/>
        </w:rPr>
        <w:t>were</w:t>
      </w:r>
      <w:r w:rsidR="00CA18FF" w:rsidRPr="00233992">
        <w:rPr>
          <w:sz w:val="22"/>
          <w:szCs w:val="22"/>
        </w:rPr>
        <w:t xml:space="preserve"> </w:t>
      </w:r>
      <w:r w:rsidR="004B5738" w:rsidRPr="00233992">
        <w:rPr>
          <w:sz w:val="22"/>
          <w:szCs w:val="22"/>
        </w:rPr>
        <w:t>not aware.</w:t>
      </w:r>
      <w:r w:rsidR="004368CB" w:rsidRPr="00233992">
        <w:rPr>
          <w:sz w:val="22"/>
          <w:szCs w:val="22"/>
        </w:rPr>
        <w:t xml:space="preserve"> </w:t>
      </w:r>
      <w:r w:rsidR="003C251B" w:rsidRPr="00233992">
        <w:rPr>
          <w:sz w:val="22"/>
          <w:szCs w:val="22"/>
        </w:rPr>
        <w:t>Moreover</w:t>
      </w:r>
      <w:r w:rsidR="00CA18FF" w:rsidRPr="00233992">
        <w:rPr>
          <w:sz w:val="22"/>
          <w:szCs w:val="22"/>
        </w:rPr>
        <w:t xml:space="preserve">, in case </w:t>
      </w:r>
      <w:r w:rsidR="003C251B" w:rsidRPr="00233992">
        <w:rPr>
          <w:sz w:val="22"/>
          <w:szCs w:val="22"/>
        </w:rPr>
        <w:t xml:space="preserve">of </w:t>
      </w:r>
      <w:r w:rsidR="00CA18FF" w:rsidRPr="00233992">
        <w:rPr>
          <w:sz w:val="22"/>
          <w:szCs w:val="22"/>
        </w:rPr>
        <w:t>disclosed but undetected CFIUS intervention</w:t>
      </w:r>
      <w:r w:rsidR="006A5BB0" w:rsidRPr="00233992">
        <w:rPr>
          <w:sz w:val="22"/>
          <w:szCs w:val="22"/>
        </w:rPr>
        <w:t>s</w:t>
      </w:r>
      <w:r w:rsidR="00CA18FF" w:rsidRPr="00233992">
        <w:rPr>
          <w:sz w:val="22"/>
          <w:szCs w:val="22"/>
        </w:rPr>
        <w:t xml:space="preserve">, </w:t>
      </w:r>
      <w:r w:rsidR="003C251B" w:rsidRPr="00233992">
        <w:rPr>
          <w:sz w:val="22"/>
          <w:szCs w:val="22"/>
        </w:rPr>
        <w:t>their</w:t>
      </w:r>
      <w:r w:rsidR="00CA18FF" w:rsidRPr="00233992">
        <w:rPr>
          <w:sz w:val="22"/>
          <w:szCs w:val="22"/>
        </w:rPr>
        <w:t xml:space="preserve"> effects would </w:t>
      </w:r>
      <w:r w:rsidR="003C251B" w:rsidRPr="00233992">
        <w:rPr>
          <w:sz w:val="22"/>
          <w:szCs w:val="22"/>
        </w:rPr>
        <w:t>eventually be</w:t>
      </w:r>
      <w:r w:rsidR="00CA18FF" w:rsidRPr="00233992">
        <w:rPr>
          <w:sz w:val="22"/>
          <w:szCs w:val="22"/>
        </w:rPr>
        <w:t xml:space="preserve"> against our findings. </w:t>
      </w:r>
      <w:r w:rsidR="003C6FF0" w:rsidRPr="00233992">
        <w:rPr>
          <w:sz w:val="22"/>
          <w:szCs w:val="22"/>
        </w:rPr>
        <w:t>We exclude transactions cleared with mitigation measures because the content of these agreements negotiated on a case-by-case basis is not publicly disclosed</w:t>
      </w:r>
      <w:r w:rsidR="00245A4A" w:rsidRPr="00233992">
        <w:rPr>
          <w:sz w:val="22"/>
          <w:szCs w:val="22"/>
        </w:rPr>
        <w:t>.</w:t>
      </w:r>
      <w:r w:rsidR="00644CFD" w:rsidRPr="00233992">
        <w:rPr>
          <w:sz w:val="22"/>
          <w:szCs w:val="22"/>
        </w:rPr>
        <w:t xml:space="preserve"> We </w:t>
      </w:r>
      <w:r w:rsidR="00D854F6" w:rsidRPr="00233992">
        <w:rPr>
          <w:sz w:val="22"/>
          <w:szCs w:val="22"/>
        </w:rPr>
        <w:t>present</w:t>
      </w:r>
      <w:r w:rsidR="00644CFD" w:rsidRPr="00233992">
        <w:rPr>
          <w:sz w:val="22"/>
          <w:szCs w:val="22"/>
        </w:rPr>
        <w:t xml:space="preserve"> CFIUS interventions involving listed targets and provide identifying information in Panel B of Table </w:t>
      </w:r>
      <w:r w:rsidR="00EB3F4A">
        <w:rPr>
          <w:sz w:val="22"/>
          <w:szCs w:val="22"/>
        </w:rPr>
        <w:t>1</w:t>
      </w:r>
      <w:r w:rsidR="00644CFD" w:rsidRPr="00233992">
        <w:rPr>
          <w:sz w:val="22"/>
          <w:szCs w:val="22"/>
        </w:rPr>
        <w:t>.</w:t>
      </w:r>
    </w:p>
    <w:p w14:paraId="5E9D20BE" w14:textId="07B2BB14" w:rsidR="003C6FF0" w:rsidRDefault="003C6FF0" w:rsidP="00233992">
      <w:pPr>
        <w:spacing w:line="480" w:lineRule="auto"/>
        <w:jc w:val="both"/>
        <w:rPr>
          <w:sz w:val="22"/>
          <w:szCs w:val="22"/>
        </w:rPr>
      </w:pPr>
      <w:r w:rsidRPr="00233992">
        <w:rPr>
          <w:rFonts w:eastAsiaTheme="minorHAnsi"/>
          <w:sz w:val="22"/>
          <w:szCs w:val="22"/>
          <w:lang w:eastAsia="en-US"/>
        </w:rPr>
        <w:tab/>
      </w:r>
      <w:r w:rsidR="004B29A8">
        <w:rPr>
          <w:sz w:val="22"/>
          <w:szCs w:val="22"/>
        </w:rPr>
        <w:t>F</w:t>
      </w:r>
      <w:r w:rsidRPr="00233992">
        <w:rPr>
          <w:sz w:val="22"/>
          <w:szCs w:val="22"/>
        </w:rPr>
        <w:t xml:space="preserve">igures </w:t>
      </w:r>
      <w:r w:rsidR="004B29A8">
        <w:rPr>
          <w:sz w:val="22"/>
          <w:szCs w:val="22"/>
        </w:rPr>
        <w:t>from</w:t>
      </w:r>
      <w:r w:rsidRPr="00233992">
        <w:rPr>
          <w:sz w:val="22"/>
          <w:szCs w:val="22"/>
        </w:rPr>
        <w:t xml:space="preserve"> CFIUS annual reports confirm that </w:t>
      </w:r>
      <w:r w:rsidR="00CA18FF" w:rsidRPr="00233992">
        <w:rPr>
          <w:sz w:val="22"/>
          <w:szCs w:val="22"/>
        </w:rPr>
        <w:t>al</w:t>
      </w:r>
      <w:r w:rsidRPr="00233992">
        <w:rPr>
          <w:sz w:val="22"/>
          <w:szCs w:val="22"/>
        </w:rPr>
        <w:t xml:space="preserve">most </w:t>
      </w:r>
      <w:r w:rsidR="00CA18FF" w:rsidRPr="00233992">
        <w:rPr>
          <w:sz w:val="22"/>
          <w:szCs w:val="22"/>
        </w:rPr>
        <w:t xml:space="preserve">60% </w:t>
      </w:r>
      <w:r w:rsidRPr="00233992">
        <w:rPr>
          <w:sz w:val="22"/>
          <w:szCs w:val="22"/>
        </w:rPr>
        <w:t>of withdrawals were followed by new resubmissions (162/280).</w:t>
      </w:r>
      <w:r w:rsidR="004B29A8" w:rsidRPr="00233992">
        <w:rPr>
          <w:rStyle w:val="Appelnotedebasdep"/>
          <w:sz w:val="22"/>
          <w:szCs w:val="22"/>
        </w:rPr>
        <w:footnoteReference w:id="9"/>
      </w:r>
      <w:r w:rsidRPr="00233992">
        <w:rPr>
          <w:sz w:val="22"/>
          <w:szCs w:val="22"/>
        </w:rPr>
        <w:t xml:space="preserve"> CFIUS </w:t>
      </w:r>
      <w:r w:rsidR="00CA18FF" w:rsidRPr="00233992">
        <w:rPr>
          <w:sz w:val="22"/>
          <w:szCs w:val="22"/>
        </w:rPr>
        <w:t xml:space="preserve">annual reports </w:t>
      </w:r>
      <w:r w:rsidR="00644CFD" w:rsidRPr="00233992">
        <w:rPr>
          <w:sz w:val="22"/>
          <w:szCs w:val="22"/>
        </w:rPr>
        <w:t>started to</w:t>
      </w:r>
      <w:r w:rsidRPr="00233992">
        <w:rPr>
          <w:sz w:val="22"/>
          <w:szCs w:val="22"/>
        </w:rPr>
        <w:t xml:space="preserve"> provide </w:t>
      </w:r>
      <w:r w:rsidR="00CA18FF" w:rsidRPr="00233992">
        <w:rPr>
          <w:sz w:val="22"/>
          <w:szCs w:val="22"/>
        </w:rPr>
        <w:t xml:space="preserve">detailed </w:t>
      </w:r>
      <w:r w:rsidRPr="00233992">
        <w:rPr>
          <w:sz w:val="22"/>
          <w:szCs w:val="22"/>
        </w:rPr>
        <w:t xml:space="preserve">information regarding notices withdrawn </w:t>
      </w:r>
      <w:r w:rsidR="00644CFD" w:rsidRPr="00233992">
        <w:rPr>
          <w:sz w:val="22"/>
          <w:szCs w:val="22"/>
        </w:rPr>
        <w:t>only from 2015</w:t>
      </w:r>
      <w:r w:rsidRPr="00233992">
        <w:rPr>
          <w:sz w:val="22"/>
          <w:szCs w:val="22"/>
        </w:rPr>
        <w:t xml:space="preserve">. </w:t>
      </w:r>
      <w:r w:rsidR="00644CFD" w:rsidRPr="00233992">
        <w:rPr>
          <w:sz w:val="22"/>
          <w:szCs w:val="22"/>
        </w:rPr>
        <w:t xml:space="preserve">More precisely, there </w:t>
      </w:r>
      <w:r w:rsidR="00CA18FF" w:rsidRPr="00233992">
        <w:rPr>
          <w:sz w:val="22"/>
          <w:szCs w:val="22"/>
        </w:rPr>
        <w:t>were</w:t>
      </w:r>
      <w:r w:rsidR="00644CFD" w:rsidRPr="00233992">
        <w:rPr>
          <w:sz w:val="22"/>
          <w:szCs w:val="22"/>
        </w:rPr>
        <w:t xml:space="preserve"> </w:t>
      </w:r>
      <w:r w:rsidRPr="00233992">
        <w:rPr>
          <w:sz w:val="22"/>
          <w:szCs w:val="22"/>
        </w:rPr>
        <w:t>6</w:t>
      </w:r>
      <w:r w:rsidR="00644CFD" w:rsidRPr="00233992">
        <w:rPr>
          <w:sz w:val="22"/>
          <w:szCs w:val="22"/>
        </w:rPr>
        <w:t>4</w:t>
      </w:r>
      <w:r w:rsidRPr="00233992">
        <w:rPr>
          <w:sz w:val="22"/>
          <w:szCs w:val="22"/>
        </w:rPr>
        <w:t xml:space="preserve"> </w:t>
      </w:r>
      <w:r w:rsidR="00AC2880" w:rsidRPr="00233992">
        <w:rPr>
          <w:sz w:val="22"/>
          <w:szCs w:val="22"/>
        </w:rPr>
        <w:t>withdrawals for</w:t>
      </w:r>
      <w:r w:rsidR="00644CFD" w:rsidRPr="00233992">
        <w:rPr>
          <w:sz w:val="22"/>
          <w:szCs w:val="22"/>
        </w:rPr>
        <w:t xml:space="preserve"> denial of regulatory approval</w:t>
      </w:r>
      <w:r w:rsidRPr="00233992">
        <w:rPr>
          <w:sz w:val="22"/>
          <w:szCs w:val="22"/>
        </w:rPr>
        <w:t xml:space="preserve"> </w:t>
      </w:r>
      <w:r w:rsidR="004260A9" w:rsidRPr="00233992">
        <w:rPr>
          <w:sz w:val="22"/>
          <w:szCs w:val="22"/>
        </w:rPr>
        <w:t>and</w:t>
      </w:r>
      <w:r w:rsidR="00644CFD" w:rsidRPr="00233992">
        <w:rPr>
          <w:sz w:val="22"/>
          <w:szCs w:val="22"/>
        </w:rPr>
        <w:t xml:space="preserve"> four presidential decisions</w:t>
      </w:r>
      <w:r w:rsidR="00CA18FF" w:rsidRPr="00233992">
        <w:rPr>
          <w:sz w:val="22"/>
          <w:szCs w:val="22"/>
        </w:rPr>
        <w:t xml:space="preserve"> over the 2015-2019 period</w:t>
      </w:r>
      <w:r w:rsidR="00D854F6" w:rsidRPr="00233992">
        <w:rPr>
          <w:sz w:val="22"/>
          <w:szCs w:val="22"/>
        </w:rPr>
        <w:t xml:space="preserve"> (68 CFIUS interventions)</w:t>
      </w:r>
      <w:r w:rsidRPr="00233992">
        <w:rPr>
          <w:sz w:val="22"/>
          <w:szCs w:val="22"/>
        </w:rPr>
        <w:t>.</w:t>
      </w:r>
      <w:r w:rsidR="00804B00" w:rsidRPr="00233992">
        <w:rPr>
          <w:rStyle w:val="Appelnotedebasdep"/>
          <w:rFonts w:eastAsiaTheme="minorHAnsi"/>
          <w:sz w:val="22"/>
          <w:szCs w:val="22"/>
          <w:lang w:eastAsia="en-US"/>
        </w:rPr>
        <w:footnoteReference w:id="10"/>
      </w:r>
      <w:r w:rsidRPr="00233992">
        <w:rPr>
          <w:sz w:val="22"/>
          <w:szCs w:val="22"/>
        </w:rPr>
        <w:t xml:space="preserve"> CFIUS annual reports </w:t>
      </w:r>
      <w:r w:rsidR="0054675C" w:rsidRPr="00233992">
        <w:rPr>
          <w:sz w:val="22"/>
          <w:szCs w:val="22"/>
        </w:rPr>
        <w:t xml:space="preserve">however </w:t>
      </w:r>
      <w:r w:rsidRPr="00233992">
        <w:rPr>
          <w:sz w:val="22"/>
          <w:szCs w:val="22"/>
        </w:rPr>
        <w:t xml:space="preserve">provide aggregate figures. </w:t>
      </w:r>
      <w:r w:rsidR="00484727" w:rsidRPr="00233992">
        <w:rPr>
          <w:sz w:val="22"/>
          <w:szCs w:val="22"/>
        </w:rPr>
        <w:t>Without</w:t>
      </w:r>
      <w:r w:rsidRPr="00233992">
        <w:rPr>
          <w:sz w:val="22"/>
          <w:szCs w:val="22"/>
        </w:rPr>
        <w:t xml:space="preserve"> previous filters, our data construction process yields </w:t>
      </w:r>
      <w:r w:rsidR="00EC1AFF">
        <w:rPr>
          <w:sz w:val="22"/>
          <w:szCs w:val="22"/>
        </w:rPr>
        <w:t xml:space="preserve">a sample of </w:t>
      </w:r>
      <w:r w:rsidRPr="00233992">
        <w:rPr>
          <w:sz w:val="22"/>
          <w:szCs w:val="22"/>
        </w:rPr>
        <w:t xml:space="preserve">37 </w:t>
      </w:r>
      <w:r w:rsidR="00D854F6" w:rsidRPr="00233992">
        <w:rPr>
          <w:sz w:val="22"/>
          <w:szCs w:val="22"/>
        </w:rPr>
        <w:t>CFIUS interventions</w:t>
      </w:r>
      <w:r w:rsidRPr="00233992">
        <w:rPr>
          <w:sz w:val="22"/>
          <w:szCs w:val="22"/>
        </w:rPr>
        <w:t xml:space="preserve"> during </w:t>
      </w:r>
      <w:r w:rsidR="004B3360">
        <w:rPr>
          <w:sz w:val="22"/>
          <w:szCs w:val="22"/>
        </w:rPr>
        <w:t>such</w:t>
      </w:r>
      <w:r w:rsidRPr="00233992">
        <w:rPr>
          <w:sz w:val="22"/>
          <w:szCs w:val="22"/>
        </w:rPr>
        <w:t xml:space="preserve"> period, thus </w:t>
      </w:r>
      <w:r w:rsidR="009A375C" w:rsidRPr="00233992">
        <w:rPr>
          <w:sz w:val="22"/>
          <w:szCs w:val="22"/>
        </w:rPr>
        <w:t>resulting in a</w:t>
      </w:r>
      <w:r w:rsidRPr="00233992">
        <w:rPr>
          <w:sz w:val="22"/>
          <w:szCs w:val="22"/>
        </w:rPr>
        <w:t xml:space="preserve"> coverage </w:t>
      </w:r>
      <w:r w:rsidR="009A375C" w:rsidRPr="00233992">
        <w:rPr>
          <w:sz w:val="22"/>
          <w:szCs w:val="22"/>
        </w:rPr>
        <w:t>of</w:t>
      </w:r>
      <w:r w:rsidRPr="00233992">
        <w:rPr>
          <w:sz w:val="22"/>
          <w:szCs w:val="22"/>
        </w:rPr>
        <w:t xml:space="preserve"> almost </w:t>
      </w:r>
      <w:r w:rsidR="00644CFD" w:rsidRPr="00233992">
        <w:rPr>
          <w:sz w:val="22"/>
          <w:szCs w:val="22"/>
        </w:rPr>
        <w:t>55</w:t>
      </w:r>
      <w:r w:rsidRPr="00233992">
        <w:rPr>
          <w:sz w:val="22"/>
          <w:szCs w:val="22"/>
        </w:rPr>
        <w:t>% (37/6</w:t>
      </w:r>
      <w:r w:rsidR="00644CFD" w:rsidRPr="00233992">
        <w:rPr>
          <w:sz w:val="22"/>
          <w:szCs w:val="22"/>
        </w:rPr>
        <w:t>8</w:t>
      </w:r>
      <w:r w:rsidRPr="00233992">
        <w:rPr>
          <w:sz w:val="22"/>
          <w:szCs w:val="22"/>
        </w:rPr>
        <w:t xml:space="preserve">). Since certain private transactions are invisible, it is impossible to perfectly reconcile our figures with those </w:t>
      </w:r>
      <w:r w:rsidR="00EC1AFF">
        <w:rPr>
          <w:sz w:val="22"/>
          <w:szCs w:val="22"/>
        </w:rPr>
        <w:t>from</w:t>
      </w:r>
      <w:r w:rsidRPr="00233992">
        <w:rPr>
          <w:sz w:val="22"/>
          <w:szCs w:val="22"/>
        </w:rPr>
        <w:t xml:space="preserve"> CFIUS annual reports. Please refer to Appendix A for the </w:t>
      </w:r>
      <w:r w:rsidR="00644CFD" w:rsidRPr="00233992">
        <w:rPr>
          <w:sz w:val="22"/>
          <w:szCs w:val="22"/>
        </w:rPr>
        <w:t>validation of our data construction process</w:t>
      </w:r>
      <w:r w:rsidR="0061161F" w:rsidRPr="00233992">
        <w:rPr>
          <w:sz w:val="22"/>
          <w:szCs w:val="22"/>
        </w:rPr>
        <w:t>.</w:t>
      </w:r>
    </w:p>
    <w:p w14:paraId="1ABD0345" w14:textId="3F60AC2F" w:rsidR="00936F92" w:rsidRDefault="00936F92" w:rsidP="00233992">
      <w:pPr>
        <w:spacing w:line="480" w:lineRule="auto"/>
        <w:jc w:val="both"/>
        <w:rPr>
          <w:sz w:val="22"/>
          <w:szCs w:val="22"/>
        </w:rPr>
      </w:pPr>
    </w:p>
    <w:p w14:paraId="7ABA4CC1" w14:textId="332F7504" w:rsidR="009F6A6D" w:rsidRPr="009F6A6D" w:rsidRDefault="009F6A6D" w:rsidP="00233992">
      <w:pPr>
        <w:spacing w:line="480" w:lineRule="auto"/>
        <w:jc w:val="both"/>
        <w:rPr>
          <w:rFonts w:eastAsiaTheme="minorHAnsi"/>
          <w:sz w:val="22"/>
          <w:szCs w:val="22"/>
          <w:lang w:eastAsia="en-US"/>
        </w:rPr>
      </w:pPr>
      <w:r w:rsidRPr="00233992">
        <w:rPr>
          <w:rFonts w:eastAsiaTheme="minorHAnsi"/>
          <w:sz w:val="22"/>
          <w:szCs w:val="22"/>
          <w:lang w:eastAsia="en-US"/>
        </w:rPr>
        <w:tab/>
      </w:r>
      <w:r w:rsidRPr="009F6A6D">
        <w:rPr>
          <w:b/>
          <w:bCs/>
          <w:sz w:val="22"/>
          <w:szCs w:val="22"/>
        </w:rPr>
        <w:t xml:space="preserve">3.2. </w:t>
      </w:r>
      <w:r w:rsidR="00EC1AFF">
        <w:rPr>
          <w:b/>
          <w:bCs/>
          <w:sz w:val="22"/>
          <w:szCs w:val="22"/>
        </w:rPr>
        <w:t>CFIUS i</w:t>
      </w:r>
      <w:r w:rsidRPr="009F6A6D">
        <w:rPr>
          <w:b/>
          <w:bCs/>
          <w:sz w:val="22"/>
          <w:szCs w:val="22"/>
        </w:rPr>
        <w:t>ntervention</w:t>
      </w:r>
      <w:r>
        <w:rPr>
          <w:b/>
          <w:bCs/>
          <w:sz w:val="22"/>
          <w:szCs w:val="22"/>
        </w:rPr>
        <w:t>s</w:t>
      </w:r>
    </w:p>
    <w:p w14:paraId="5B2C671B" w14:textId="6A889F36" w:rsidR="00245A4A" w:rsidRPr="00233992" w:rsidRDefault="009F6A6D" w:rsidP="004B3360">
      <w:pPr>
        <w:spacing w:line="480" w:lineRule="auto"/>
        <w:jc w:val="both"/>
        <w:rPr>
          <w:sz w:val="22"/>
          <w:szCs w:val="22"/>
        </w:rPr>
      </w:pPr>
      <w:r w:rsidRPr="00233992">
        <w:rPr>
          <w:rFonts w:eastAsiaTheme="minorHAnsi"/>
          <w:sz w:val="22"/>
          <w:szCs w:val="22"/>
          <w:lang w:eastAsia="en-US"/>
        </w:rPr>
        <w:lastRenderedPageBreak/>
        <w:tab/>
      </w:r>
      <w:r w:rsidR="001A620B" w:rsidRPr="00233992">
        <w:rPr>
          <w:sz w:val="22"/>
          <w:szCs w:val="22"/>
        </w:rPr>
        <w:t>W</w:t>
      </w:r>
      <w:r w:rsidR="00245A4A" w:rsidRPr="00233992">
        <w:rPr>
          <w:sz w:val="22"/>
          <w:szCs w:val="22"/>
        </w:rPr>
        <w:t xml:space="preserve">e present the distribution of </w:t>
      </w:r>
      <w:r w:rsidR="001A620B" w:rsidRPr="00233992">
        <w:rPr>
          <w:sz w:val="22"/>
          <w:szCs w:val="22"/>
        </w:rPr>
        <w:t>CFIUS interventions</w:t>
      </w:r>
      <w:r w:rsidR="00245A4A" w:rsidRPr="00233992">
        <w:rPr>
          <w:sz w:val="22"/>
          <w:szCs w:val="22"/>
        </w:rPr>
        <w:t xml:space="preserve"> over time and across industries </w:t>
      </w:r>
      <w:r w:rsidR="001A620B" w:rsidRPr="00233992">
        <w:rPr>
          <w:sz w:val="22"/>
          <w:szCs w:val="22"/>
        </w:rPr>
        <w:t xml:space="preserve">in </w:t>
      </w:r>
      <w:r w:rsidR="00245A4A" w:rsidRPr="00233992">
        <w:rPr>
          <w:sz w:val="22"/>
          <w:szCs w:val="22"/>
        </w:rPr>
        <w:t>Panel</w:t>
      </w:r>
      <w:r w:rsidR="001A620B" w:rsidRPr="00233992">
        <w:rPr>
          <w:sz w:val="22"/>
          <w:szCs w:val="22"/>
        </w:rPr>
        <w:t>s C and</w:t>
      </w:r>
      <w:r w:rsidR="00245A4A" w:rsidRPr="00233992">
        <w:rPr>
          <w:sz w:val="22"/>
          <w:szCs w:val="22"/>
        </w:rPr>
        <w:t xml:space="preserve"> </w:t>
      </w:r>
      <w:r w:rsidR="00B67928" w:rsidRPr="00233992">
        <w:rPr>
          <w:sz w:val="22"/>
          <w:szCs w:val="22"/>
        </w:rPr>
        <w:t>D</w:t>
      </w:r>
      <w:r w:rsidR="001A620B" w:rsidRPr="00233992">
        <w:rPr>
          <w:sz w:val="22"/>
          <w:szCs w:val="22"/>
        </w:rPr>
        <w:t xml:space="preserve"> of Table </w:t>
      </w:r>
      <w:r w:rsidR="00EB3F4A">
        <w:rPr>
          <w:sz w:val="22"/>
          <w:szCs w:val="22"/>
        </w:rPr>
        <w:t>1</w:t>
      </w:r>
      <w:r w:rsidR="001A620B" w:rsidRPr="00233992">
        <w:rPr>
          <w:sz w:val="22"/>
          <w:szCs w:val="22"/>
        </w:rPr>
        <w:t xml:space="preserve"> respectively</w:t>
      </w:r>
      <w:r w:rsidR="00245A4A" w:rsidRPr="00233992">
        <w:rPr>
          <w:sz w:val="22"/>
          <w:szCs w:val="22"/>
        </w:rPr>
        <w:t>.</w:t>
      </w:r>
      <w:r w:rsidR="0019759E" w:rsidRPr="00233992">
        <w:rPr>
          <w:sz w:val="22"/>
          <w:szCs w:val="22"/>
        </w:rPr>
        <w:t xml:space="preserve"> </w:t>
      </w:r>
      <w:r w:rsidR="00245A4A" w:rsidRPr="00233992">
        <w:rPr>
          <w:sz w:val="22"/>
          <w:szCs w:val="22"/>
        </w:rPr>
        <w:t xml:space="preserve">There </w:t>
      </w:r>
      <w:r w:rsidR="00E36B98" w:rsidRPr="00233992">
        <w:rPr>
          <w:sz w:val="22"/>
          <w:szCs w:val="22"/>
        </w:rPr>
        <w:t xml:space="preserve">has been </w:t>
      </w:r>
      <w:r w:rsidR="00AA56DC" w:rsidRPr="00233992">
        <w:rPr>
          <w:sz w:val="22"/>
          <w:szCs w:val="22"/>
        </w:rPr>
        <w:t>a surge in the number of CFIUS interventions since 2016</w:t>
      </w:r>
      <w:r w:rsidR="00B13C84">
        <w:rPr>
          <w:sz w:val="22"/>
          <w:szCs w:val="22"/>
        </w:rPr>
        <w:t xml:space="preserve">, the year of the Trump election </w:t>
      </w:r>
      <w:r w:rsidR="00245A4A" w:rsidRPr="00233992">
        <w:rPr>
          <w:sz w:val="22"/>
          <w:szCs w:val="22"/>
        </w:rPr>
        <w:t xml:space="preserve">(Panel </w:t>
      </w:r>
      <w:r w:rsidR="00B67928" w:rsidRPr="00233992">
        <w:rPr>
          <w:sz w:val="22"/>
          <w:szCs w:val="22"/>
        </w:rPr>
        <w:t>C</w:t>
      </w:r>
      <w:r w:rsidR="00245A4A" w:rsidRPr="00233992">
        <w:rPr>
          <w:sz w:val="22"/>
          <w:szCs w:val="22"/>
        </w:rPr>
        <w:t>).</w:t>
      </w:r>
      <w:r w:rsidR="0010736A">
        <w:rPr>
          <w:sz w:val="22"/>
          <w:szCs w:val="22"/>
        </w:rPr>
        <w:t xml:space="preserve"> </w:t>
      </w:r>
      <w:r w:rsidR="00FB28CC" w:rsidRPr="00233992">
        <w:rPr>
          <w:sz w:val="22"/>
          <w:szCs w:val="22"/>
        </w:rPr>
        <w:t>Twenty-</w:t>
      </w:r>
      <w:r w:rsidR="0017500B">
        <w:rPr>
          <w:sz w:val="22"/>
          <w:szCs w:val="22"/>
        </w:rPr>
        <w:t>one</w:t>
      </w:r>
      <w:r w:rsidR="00FB28CC" w:rsidRPr="00233992">
        <w:rPr>
          <w:sz w:val="22"/>
          <w:szCs w:val="22"/>
        </w:rPr>
        <w:t xml:space="preserve"> c</w:t>
      </w:r>
      <w:r w:rsidR="0017500B">
        <w:rPr>
          <w:sz w:val="22"/>
          <w:szCs w:val="22"/>
        </w:rPr>
        <w:t>ases involved Chinese buyers (91</w:t>
      </w:r>
      <w:r w:rsidR="00FB28CC" w:rsidRPr="00233992">
        <w:rPr>
          <w:sz w:val="22"/>
          <w:szCs w:val="22"/>
        </w:rPr>
        <w:t xml:space="preserve">%). The remaining two had foreign </w:t>
      </w:r>
      <w:r w:rsidR="004B3360">
        <w:rPr>
          <w:sz w:val="22"/>
          <w:szCs w:val="22"/>
        </w:rPr>
        <w:t>bidders</w:t>
      </w:r>
      <w:r w:rsidR="00FB28CC" w:rsidRPr="00233992">
        <w:rPr>
          <w:sz w:val="22"/>
          <w:szCs w:val="22"/>
        </w:rPr>
        <w:t xml:space="preserve"> from Japan and Singapore. </w:t>
      </w:r>
      <w:r w:rsidR="00245A4A" w:rsidRPr="00233992">
        <w:rPr>
          <w:sz w:val="22"/>
          <w:szCs w:val="22"/>
        </w:rPr>
        <w:t xml:space="preserve">CFIUS </w:t>
      </w:r>
      <w:r w:rsidR="008F4491" w:rsidRPr="00233992">
        <w:rPr>
          <w:sz w:val="22"/>
          <w:szCs w:val="22"/>
        </w:rPr>
        <w:t xml:space="preserve">interventions </w:t>
      </w:r>
      <w:r w:rsidR="004E7350" w:rsidRPr="00233992">
        <w:rPr>
          <w:sz w:val="22"/>
          <w:szCs w:val="22"/>
        </w:rPr>
        <w:t>occurred across a range of</w:t>
      </w:r>
      <w:r w:rsidR="008F4491" w:rsidRPr="00233992">
        <w:rPr>
          <w:sz w:val="22"/>
          <w:szCs w:val="22"/>
        </w:rPr>
        <w:t xml:space="preserve"> </w:t>
      </w:r>
      <w:r w:rsidR="008A69FC" w:rsidRPr="00233992">
        <w:rPr>
          <w:sz w:val="22"/>
          <w:szCs w:val="22"/>
        </w:rPr>
        <w:t xml:space="preserve">16 </w:t>
      </w:r>
      <w:r w:rsidR="00245A4A" w:rsidRPr="00233992">
        <w:rPr>
          <w:sz w:val="22"/>
          <w:szCs w:val="22"/>
        </w:rPr>
        <w:t>industries</w:t>
      </w:r>
      <w:r w:rsidR="002554E4">
        <w:rPr>
          <w:sz w:val="22"/>
          <w:szCs w:val="22"/>
        </w:rPr>
        <w:t xml:space="preserve">, but most can be classified as technology </w:t>
      </w:r>
      <w:r w:rsidR="00A91223">
        <w:rPr>
          <w:sz w:val="22"/>
          <w:szCs w:val="22"/>
        </w:rPr>
        <w:t>ones</w:t>
      </w:r>
      <w:r w:rsidR="002554E4">
        <w:rPr>
          <w:sz w:val="22"/>
          <w:szCs w:val="22"/>
        </w:rPr>
        <w:t xml:space="preserve">, </w:t>
      </w:r>
      <w:r w:rsidR="002554E4" w:rsidRPr="00233992">
        <w:rPr>
          <w:sz w:val="22"/>
          <w:szCs w:val="22"/>
        </w:rPr>
        <w:t xml:space="preserve">including </w:t>
      </w:r>
      <w:r w:rsidR="0017500B">
        <w:rPr>
          <w:sz w:val="22"/>
          <w:szCs w:val="22"/>
        </w:rPr>
        <w:t>four</w:t>
      </w:r>
      <w:r w:rsidR="002554E4" w:rsidRPr="00233992">
        <w:rPr>
          <w:sz w:val="22"/>
          <w:szCs w:val="22"/>
        </w:rPr>
        <w:t xml:space="preserve"> in the semiconductor industry</w:t>
      </w:r>
      <w:r w:rsidR="002554E4">
        <w:rPr>
          <w:sz w:val="22"/>
          <w:szCs w:val="22"/>
        </w:rPr>
        <w:t xml:space="preserve"> </w:t>
      </w:r>
      <w:r w:rsidR="00245A4A" w:rsidRPr="00233992">
        <w:rPr>
          <w:sz w:val="22"/>
          <w:szCs w:val="22"/>
        </w:rPr>
        <w:t>(</w:t>
      </w:r>
      <w:r w:rsidR="000010D8" w:rsidRPr="00233992">
        <w:rPr>
          <w:sz w:val="22"/>
          <w:szCs w:val="22"/>
        </w:rPr>
        <w:t xml:space="preserve">Panel </w:t>
      </w:r>
      <w:r w:rsidR="00B67928" w:rsidRPr="00233992">
        <w:rPr>
          <w:sz w:val="22"/>
          <w:szCs w:val="22"/>
        </w:rPr>
        <w:t>D</w:t>
      </w:r>
      <w:r w:rsidR="00245A4A" w:rsidRPr="00233992">
        <w:rPr>
          <w:sz w:val="22"/>
          <w:szCs w:val="22"/>
        </w:rPr>
        <w:t>).</w:t>
      </w:r>
      <w:r w:rsidR="004B3360">
        <w:rPr>
          <w:sz w:val="22"/>
          <w:szCs w:val="22"/>
        </w:rPr>
        <w:t xml:space="preserve"> </w:t>
      </w:r>
      <w:r w:rsidR="004B3360" w:rsidRPr="00233992">
        <w:rPr>
          <w:sz w:val="22"/>
          <w:szCs w:val="22"/>
        </w:rPr>
        <w:t>Twenty CFIUS interventions were withdrawals for denial of regulatory approval, and three were presidential decisions. The deal value of the proposed takeovers ranged from $12 million to $117 billion. Finally, the equity stake ranged from 15% to 100%: most transactions were public tender offers to acquire majority equity stakes (twenty cases).</w:t>
      </w:r>
    </w:p>
    <w:p w14:paraId="0FBFEDEE" w14:textId="5DE37F7B" w:rsidR="000010D8" w:rsidRPr="00233992" w:rsidRDefault="000010D8" w:rsidP="00233992">
      <w:pPr>
        <w:pStyle w:val="Normal2"/>
        <w:jc w:val="center"/>
        <w:rPr>
          <w:sz w:val="22"/>
          <w:szCs w:val="22"/>
        </w:rPr>
      </w:pPr>
      <w:r w:rsidRPr="00233992">
        <w:rPr>
          <w:sz w:val="22"/>
          <w:szCs w:val="22"/>
          <w:lang w:eastAsia="fr-FR"/>
        </w:rPr>
        <w:t xml:space="preserve">[Insert Table </w:t>
      </w:r>
      <w:r w:rsidR="00EB3F4A">
        <w:rPr>
          <w:sz w:val="22"/>
          <w:szCs w:val="22"/>
        </w:rPr>
        <w:t>1</w:t>
      </w:r>
      <w:r w:rsidRPr="00233992">
        <w:rPr>
          <w:sz w:val="22"/>
          <w:szCs w:val="22"/>
          <w:lang w:eastAsia="fr-FR"/>
        </w:rPr>
        <w:t xml:space="preserve"> here]</w:t>
      </w:r>
    </w:p>
    <w:p w14:paraId="35FE5729" w14:textId="34A064B9" w:rsidR="00CC1EBE" w:rsidRPr="00233992" w:rsidRDefault="00245A4A" w:rsidP="00233992">
      <w:pPr>
        <w:spacing w:line="480" w:lineRule="auto"/>
        <w:jc w:val="both"/>
        <w:rPr>
          <w:rFonts w:eastAsiaTheme="minorHAnsi"/>
          <w:sz w:val="22"/>
          <w:szCs w:val="22"/>
          <w:lang w:eastAsia="en-US"/>
        </w:rPr>
      </w:pPr>
      <w:r w:rsidRPr="00233992">
        <w:rPr>
          <w:rFonts w:eastAsiaTheme="minorHAnsi"/>
          <w:sz w:val="22"/>
          <w:szCs w:val="22"/>
          <w:lang w:eastAsia="en-US"/>
        </w:rPr>
        <w:tab/>
      </w:r>
      <w:r w:rsidR="00465AA3" w:rsidRPr="00280C04">
        <w:rPr>
          <w:rFonts w:eastAsiaTheme="minorHAnsi"/>
          <w:sz w:val="22"/>
          <w:szCs w:val="22"/>
          <w:lang w:eastAsia="en-US"/>
        </w:rPr>
        <w:t>We</w:t>
      </w:r>
      <w:r w:rsidR="002E4F2D" w:rsidRPr="00280C04">
        <w:rPr>
          <w:rFonts w:eastAsiaTheme="minorHAnsi"/>
          <w:sz w:val="22"/>
          <w:szCs w:val="22"/>
          <w:lang w:eastAsia="en-US"/>
        </w:rPr>
        <w:t xml:space="preserve"> </w:t>
      </w:r>
      <w:r w:rsidR="00B066A2" w:rsidRPr="00280C04">
        <w:rPr>
          <w:rFonts w:eastAsiaTheme="minorHAnsi"/>
          <w:sz w:val="22"/>
          <w:szCs w:val="22"/>
          <w:lang w:eastAsia="en-US"/>
        </w:rPr>
        <w:t>use</w:t>
      </w:r>
      <w:r w:rsidR="00CC1EBE" w:rsidRPr="00280C04">
        <w:rPr>
          <w:rFonts w:eastAsiaTheme="minorHAnsi"/>
          <w:sz w:val="22"/>
          <w:szCs w:val="22"/>
          <w:lang w:eastAsia="en-US"/>
        </w:rPr>
        <w:t xml:space="preserve"> CFIUS </w:t>
      </w:r>
      <w:r w:rsidR="00684DC5" w:rsidRPr="00280C04">
        <w:rPr>
          <w:rFonts w:eastAsiaTheme="minorHAnsi"/>
          <w:sz w:val="22"/>
          <w:szCs w:val="22"/>
          <w:lang w:eastAsia="en-US"/>
        </w:rPr>
        <w:t>interventions</w:t>
      </w:r>
      <w:r w:rsidR="00CC1EBE" w:rsidRPr="00233992">
        <w:rPr>
          <w:rFonts w:eastAsiaTheme="minorHAnsi"/>
          <w:sz w:val="22"/>
          <w:szCs w:val="22"/>
          <w:lang w:eastAsia="en-US"/>
        </w:rPr>
        <w:t xml:space="preserve"> as </w:t>
      </w:r>
      <w:r w:rsidR="00465AA3" w:rsidRPr="00233992">
        <w:rPr>
          <w:rFonts w:eastAsiaTheme="minorHAnsi"/>
          <w:sz w:val="22"/>
          <w:szCs w:val="22"/>
          <w:lang w:eastAsia="en-US"/>
        </w:rPr>
        <w:t>events</w:t>
      </w:r>
      <w:r w:rsidR="002E4F2D" w:rsidRPr="00233992">
        <w:rPr>
          <w:rFonts w:eastAsiaTheme="minorHAnsi"/>
          <w:sz w:val="22"/>
          <w:szCs w:val="22"/>
          <w:lang w:eastAsia="en-US"/>
        </w:rPr>
        <w:t xml:space="preserve"> </w:t>
      </w:r>
      <w:r w:rsidR="00CC1EBE" w:rsidRPr="00233992">
        <w:rPr>
          <w:rFonts w:eastAsiaTheme="minorHAnsi"/>
          <w:sz w:val="22"/>
          <w:szCs w:val="22"/>
          <w:lang w:eastAsia="en-US"/>
        </w:rPr>
        <w:t xml:space="preserve">that update </w:t>
      </w:r>
      <w:r w:rsidR="003512F0" w:rsidRPr="00233992">
        <w:rPr>
          <w:rFonts w:eastAsiaTheme="minorHAnsi"/>
          <w:sz w:val="22"/>
          <w:szCs w:val="22"/>
          <w:lang w:eastAsia="en-US"/>
        </w:rPr>
        <w:t xml:space="preserve">the </w:t>
      </w:r>
      <w:r w:rsidR="00AE6834" w:rsidRPr="00233992">
        <w:rPr>
          <w:rFonts w:eastAsiaTheme="minorHAnsi"/>
          <w:sz w:val="22"/>
          <w:szCs w:val="22"/>
          <w:lang w:eastAsia="en-US"/>
        </w:rPr>
        <w:t>implementation of national security policies</w:t>
      </w:r>
      <w:r w:rsidR="00D854F6" w:rsidRPr="00233992">
        <w:rPr>
          <w:rFonts w:eastAsiaTheme="minorHAnsi"/>
          <w:sz w:val="22"/>
          <w:szCs w:val="22"/>
          <w:lang w:eastAsia="en-US"/>
        </w:rPr>
        <w:t xml:space="preserve"> by CFIUS</w:t>
      </w:r>
      <w:r w:rsidR="002E4F2D" w:rsidRPr="00233992">
        <w:rPr>
          <w:rFonts w:eastAsiaTheme="minorHAnsi"/>
          <w:sz w:val="22"/>
          <w:szCs w:val="22"/>
          <w:lang w:eastAsia="en-US"/>
        </w:rPr>
        <w:t>.</w:t>
      </w:r>
      <w:r w:rsidR="00CC1EBE" w:rsidRPr="00233992">
        <w:rPr>
          <w:rFonts w:eastAsiaTheme="minorHAnsi"/>
          <w:sz w:val="22"/>
          <w:szCs w:val="22"/>
          <w:lang w:eastAsia="en-US"/>
        </w:rPr>
        <w:t xml:space="preserve"> </w:t>
      </w:r>
      <w:r w:rsidR="00B046F8" w:rsidRPr="00233992">
        <w:rPr>
          <w:rFonts w:eastAsiaTheme="minorHAnsi"/>
          <w:sz w:val="22"/>
          <w:szCs w:val="22"/>
          <w:lang w:eastAsia="en-US"/>
        </w:rPr>
        <w:t xml:space="preserve">We </w:t>
      </w:r>
      <w:r w:rsidR="00280C04">
        <w:rPr>
          <w:rFonts w:eastAsiaTheme="minorHAnsi"/>
          <w:sz w:val="22"/>
          <w:szCs w:val="22"/>
          <w:lang w:eastAsia="en-US"/>
        </w:rPr>
        <w:t>first</w:t>
      </w:r>
      <w:r w:rsidR="00CC1EBE" w:rsidRPr="00233992">
        <w:rPr>
          <w:rFonts w:eastAsiaTheme="minorHAnsi"/>
          <w:sz w:val="22"/>
          <w:szCs w:val="22"/>
          <w:lang w:eastAsia="en-US"/>
        </w:rPr>
        <w:t xml:space="preserve"> examine the </w:t>
      </w:r>
      <w:r w:rsidR="00684DC5" w:rsidRPr="00233992">
        <w:rPr>
          <w:rFonts w:eastAsiaTheme="minorHAnsi"/>
          <w:sz w:val="22"/>
          <w:szCs w:val="22"/>
          <w:lang w:eastAsia="en-US"/>
        </w:rPr>
        <w:t>industry</w:t>
      </w:r>
      <w:r w:rsidR="00CC1EBE" w:rsidRPr="00233992">
        <w:rPr>
          <w:rFonts w:eastAsiaTheme="minorHAnsi"/>
          <w:sz w:val="22"/>
          <w:szCs w:val="22"/>
          <w:lang w:eastAsia="en-US"/>
        </w:rPr>
        <w:t xml:space="preserve"> market reaction. Cumulative abnormal returns are estimated using the Fama-French </w:t>
      </w:r>
      <w:r w:rsidR="00405BC6" w:rsidRPr="00233992">
        <w:rPr>
          <w:rFonts w:eastAsiaTheme="minorHAnsi"/>
          <w:sz w:val="22"/>
          <w:szCs w:val="22"/>
          <w:lang w:eastAsia="en-US"/>
        </w:rPr>
        <w:t>t</w:t>
      </w:r>
      <w:r w:rsidR="00CC1EBE" w:rsidRPr="00233992">
        <w:rPr>
          <w:rFonts w:eastAsiaTheme="minorHAnsi"/>
          <w:sz w:val="22"/>
          <w:szCs w:val="22"/>
          <w:lang w:eastAsia="en-US"/>
        </w:rPr>
        <w:t xml:space="preserve">hree </w:t>
      </w:r>
      <w:r w:rsidR="00405BC6" w:rsidRPr="00233992">
        <w:rPr>
          <w:rFonts w:eastAsiaTheme="minorHAnsi"/>
          <w:sz w:val="22"/>
          <w:szCs w:val="22"/>
          <w:lang w:eastAsia="en-US"/>
        </w:rPr>
        <w:t>f</w:t>
      </w:r>
      <w:r w:rsidR="00CC1EBE" w:rsidRPr="00233992">
        <w:rPr>
          <w:rFonts w:eastAsiaTheme="minorHAnsi"/>
          <w:sz w:val="22"/>
          <w:szCs w:val="22"/>
          <w:lang w:eastAsia="en-US"/>
        </w:rPr>
        <w:t xml:space="preserve">actor </w:t>
      </w:r>
      <w:r w:rsidR="00280C04">
        <w:rPr>
          <w:rFonts w:eastAsiaTheme="minorHAnsi"/>
          <w:sz w:val="22"/>
          <w:szCs w:val="22"/>
          <w:lang w:eastAsia="en-US"/>
        </w:rPr>
        <w:t>and the</w:t>
      </w:r>
      <w:r w:rsidR="00280C04" w:rsidRPr="00233992">
        <w:rPr>
          <w:rFonts w:eastAsiaTheme="minorHAnsi"/>
          <w:sz w:val="22"/>
          <w:szCs w:val="22"/>
          <w:lang w:eastAsia="en-US"/>
        </w:rPr>
        <w:t xml:space="preserve"> Fama-French plus momentum model</w:t>
      </w:r>
      <w:r w:rsidR="00A91223">
        <w:rPr>
          <w:rFonts w:eastAsiaTheme="minorHAnsi"/>
          <w:sz w:val="22"/>
          <w:szCs w:val="22"/>
          <w:lang w:eastAsia="en-US"/>
        </w:rPr>
        <w:t>s</w:t>
      </w:r>
      <w:r w:rsidR="00280C04" w:rsidRPr="00233992">
        <w:rPr>
          <w:rFonts w:eastAsiaTheme="minorHAnsi"/>
          <w:sz w:val="22"/>
          <w:szCs w:val="22"/>
          <w:lang w:eastAsia="en-US"/>
        </w:rPr>
        <w:t xml:space="preserve"> </w:t>
      </w:r>
      <w:r w:rsidR="00EB0A1B" w:rsidRPr="00233992">
        <w:rPr>
          <w:rFonts w:eastAsiaTheme="minorHAnsi"/>
          <w:sz w:val="22"/>
          <w:szCs w:val="22"/>
          <w:lang w:eastAsia="en-US"/>
        </w:rPr>
        <w:t>from WRDS Event Study</w:t>
      </w:r>
      <w:r w:rsidR="00CC1EBE" w:rsidRPr="00233992">
        <w:rPr>
          <w:rFonts w:eastAsiaTheme="minorHAnsi"/>
          <w:sz w:val="22"/>
          <w:szCs w:val="22"/>
          <w:lang w:eastAsia="en-US"/>
        </w:rPr>
        <w:t>.</w:t>
      </w:r>
      <w:r w:rsidR="000F2A78" w:rsidRPr="00233992">
        <w:rPr>
          <w:rFonts w:eastAsiaTheme="minorHAnsi"/>
          <w:sz w:val="22"/>
          <w:szCs w:val="22"/>
          <w:lang w:eastAsia="en-US"/>
        </w:rPr>
        <w:t xml:space="preserve"> We present the</w:t>
      </w:r>
      <w:r w:rsidR="00280C04">
        <w:rPr>
          <w:rFonts w:eastAsiaTheme="minorHAnsi"/>
          <w:sz w:val="22"/>
          <w:szCs w:val="22"/>
          <w:lang w:eastAsia="en-US"/>
        </w:rPr>
        <w:t xml:space="preserve"> target and</w:t>
      </w:r>
      <w:r w:rsidR="000F2A78" w:rsidRPr="00233992">
        <w:rPr>
          <w:rFonts w:eastAsiaTheme="minorHAnsi"/>
          <w:sz w:val="22"/>
          <w:szCs w:val="22"/>
          <w:lang w:eastAsia="en-US"/>
        </w:rPr>
        <w:t xml:space="preserve"> industry market reaction</w:t>
      </w:r>
      <w:r w:rsidR="00280C04">
        <w:rPr>
          <w:rFonts w:eastAsiaTheme="minorHAnsi"/>
          <w:sz w:val="22"/>
          <w:szCs w:val="22"/>
          <w:lang w:eastAsia="en-US"/>
        </w:rPr>
        <w:t xml:space="preserve"> respectively</w:t>
      </w:r>
      <w:r w:rsidR="000F2A78" w:rsidRPr="00233992">
        <w:rPr>
          <w:rFonts w:eastAsiaTheme="minorHAnsi"/>
          <w:sz w:val="22"/>
          <w:szCs w:val="22"/>
          <w:lang w:eastAsia="en-US"/>
        </w:rPr>
        <w:t xml:space="preserve"> in </w:t>
      </w:r>
      <w:r w:rsidR="004D637C" w:rsidRPr="00233992">
        <w:rPr>
          <w:rFonts w:eastAsiaTheme="minorHAnsi"/>
          <w:sz w:val="22"/>
          <w:szCs w:val="22"/>
          <w:lang w:eastAsia="en-US"/>
        </w:rPr>
        <w:t xml:space="preserve">Panels A and B of </w:t>
      </w:r>
      <w:r w:rsidR="000F2A78" w:rsidRPr="00233992">
        <w:rPr>
          <w:rFonts w:eastAsiaTheme="minorHAnsi"/>
          <w:sz w:val="22"/>
          <w:szCs w:val="22"/>
          <w:lang w:eastAsia="en-US"/>
        </w:rPr>
        <w:t xml:space="preserve">Table </w:t>
      </w:r>
      <w:r w:rsidR="00EB3F4A">
        <w:rPr>
          <w:sz w:val="22"/>
          <w:szCs w:val="22"/>
        </w:rPr>
        <w:t>2</w:t>
      </w:r>
      <w:r w:rsidR="000F2A78" w:rsidRPr="00233992">
        <w:rPr>
          <w:rFonts w:eastAsiaTheme="minorHAnsi"/>
          <w:sz w:val="22"/>
          <w:szCs w:val="22"/>
          <w:lang w:eastAsia="en-US"/>
        </w:rPr>
        <w:t>.</w:t>
      </w:r>
    </w:p>
    <w:p w14:paraId="30E368D7" w14:textId="7DBA330E" w:rsidR="00B066A2" w:rsidRPr="00233992" w:rsidRDefault="00B066A2" w:rsidP="00233992">
      <w:pPr>
        <w:pStyle w:val="Normal2"/>
        <w:jc w:val="center"/>
        <w:rPr>
          <w:sz w:val="22"/>
          <w:szCs w:val="22"/>
        </w:rPr>
      </w:pPr>
      <w:r w:rsidRPr="00233992">
        <w:rPr>
          <w:sz w:val="22"/>
          <w:szCs w:val="22"/>
          <w:lang w:eastAsia="fr-FR"/>
        </w:rPr>
        <w:t xml:space="preserve">[Insert Table </w:t>
      </w:r>
      <w:r w:rsidR="00EB3F4A">
        <w:rPr>
          <w:sz w:val="22"/>
          <w:szCs w:val="22"/>
        </w:rPr>
        <w:t xml:space="preserve">2 </w:t>
      </w:r>
      <w:r w:rsidRPr="00233992">
        <w:rPr>
          <w:sz w:val="22"/>
          <w:szCs w:val="22"/>
          <w:lang w:eastAsia="fr-FR"/>
        </w:rPr>
        <w:t>here]</w:t>
      </w:r>
    </w:p>
    <w:p w14:paraId="1852DE38" w14:textId="17DF21AA" w:rsidR="009A2CD2" w:rsidRDefault="00CC1EBE" w:rsidP="00233992">
      <w:pPr>
        <w:spacing w:line="480" w:lineRule="auto"/>
        <w:jc w:val="both"/>
        <w:rPr>
          <w:rFonts w:eastAsiaTheme="minorHAnsi"/>
          <w:sz w:val="22"/>
          <w:szCs w:val="22"/>
          <w:lang w:eastAsia="en-US"/>
        </w:rPr>
      </w:pPr>
      <w:r w:rsidRPr="00233992">
        <w:rPr>
          <w:rFonts w:eastAsiaTheme="minorHAnsi"/>
          <w:sz w:val="22"/>
          <w:szCs w:val="22"/>
          <w:lang w:eastAsia="en-US"/>
        </w:rPr>
        <w:tab/>
      </w:r>
      <w:r w:rsidR="00EB7908">
        <w:rPr>
          <w:rFonts w:eastAsiaTheme="minorHAnsi"/>
          <w:sz w:val="22"/>
          <w:szCs w:val="22"/>
          <w:lang w:eastAsia="en-US"/>
        </w:rPr>
        <w:t>T</w:t>
      </w:r>
      <w:r w:rsidR="00EB7908" w:rsidRPr="00233992">
        <w:rPr>
          <w:sz w:val="22"/>
          <w:szCs w:val="22"/>
        </w:rPr>
        <w:t>argets</w:t>
      </w:r>
      <w:r w:rsidR="00EB7908" w:rsidRPr="00233992">
        <w:rPr>
          <w:rFonts w:eastAsiaTheme="minorHAnsi"/>
          <w:sz w:val="22"/>
          <w:szCs w:val="22"/>
          <w:lang w:eastAsia="en-US"/>
        </w:rPr>
        <w:t xml:space="preserve"> experience a negative and statistically significant market reaction </w:t>
      </w:r>
      <w:r w:rsidR="00EB7908">
        <w:rPr>
          <w:rFonts w:eastAsiaTheme="minorHAnsi"/>
          <w:sz w:val="22"/>
          <w:szCs w:val="22"/>
          <w:lang w:eastAsia="en-US"/>
        </w:rPr>
        <w:t>after CFIUS interventions</w:t>
      </w:r>
      <w:r w:rsidR="00EB7908" w:rsidRPr="00233992">
        <w:rPr>
          <w:rFonts w:eastAsiaTheme="minorHAnsi"/>
          <w:sz w:val="22"/>
          <w:szCs w:val="22"/>
          <w:lang w:eastAsia="en-US"/>
        </w:rPr>
        <w:t xml:space="preserve">. The cumulative abnormal returns in the </w:t>
      </w:r>
      <w:r w:rsidR="004B3360">
        <w:rPr>
          <w:rFonts w:eastAsiaTheme="minorHAnsi"/>
          <w:sz w:val="22"/>
          <w:szCs w:val="22"/>
          <w:lang w:eastAsia="en-US"/>
        </w:rPr>
        <w:t>three- and five-day windows are</w:t>
      </w:r>
      <w:r w:rsidR="00EB7908">
        <w:rPr>
          <w:rFonts w:eastAsiaTheme="minorHAnsi"/>
          <w:sz w:val="22"/>
          <w:szCs w:val="22"/>
          <w:lang w:eastAsia="en-US"/>
        </w:rPr>
        <w:t xml:space="preserve"> -6</w:t>
      </w:r>
      <w:r w:rsidR="00EB7908" w:rsidRPr="00233992">
        <w:rPr>
          <w:rFonts w:eastAsiaTheme="minorHAnsi"/>
          <w:sz w:val="22"/>
          <w:szCs w:val="22"/>
          <w:lang w:eastAsia="en-US"/>
        </w:rPr>
        <w:t>% (</w:t>
      </w:r>
      <w:r w:rsidR="00EB3F4A">
        <w:rPr>
          <w:rFonts w:eastAsiaTheme="minorHAnsi"/>
          <w:sz w:val="22"/>
          <w:szCs w:val="22"/>
          <w:lang w:eastAsia="en-US"/>
        </w:rPr>
        <w:t>c</w:t>
      </w:r>
      <w:r w:rsidR="00EB7908" w:rsidRPr="00233992">
        <w:rPr>
          <w:rFonts w:eastAsiaTheme="minorHAnsi"/>
          <w:sz w:val="22"/>
          <w:szCs w:val="22"/>
          <w:lang w:eastAsia="en-US"/>
        </w:rPr>
        <w:t>olumn</w:t>
      </w:r>
      <w:r w:rsidR="00EB7908">
        <w:rPr>
          <w:rFonts w:eastAsiaTheme="minorHAnsi"/>
          <w:sz w:val="22"/>
          <w:szCs w:val="22"/>
          <w:lang w:eastAsia="en-US"/>
        </w:rPr>
        <w:t>s</w:t>
      </w:r>
      <w:r w:rsidR="00EB7908" w:rsidRPr="00233992">
        <w:rPr>
          <w:rFonts w:eastAsiaTheme="minorHAnsi"/>
          <w:sz w:val="22"/>
          <w:szCs w:val="22"/>
          <w:lang w:eastAsia="en-US"/>
        </w:rPr>
        <w:t xml:space="preserve"> 1</w:t>
      </w:r>
      <w:r w:rsidR="00EB7908">
        <w:rPr>
          <w:rFonts w:eastAsiaTheme="minorHAnsi"/>
          <w:sz w:val="22"/>
          <w:szCs w:val="22"/>
          <w:lang w:eastAsia="en-US"/>
        </w:rPr>
        <w:t xml:space="preserve"> and 2</w:t>
      </w:r>
      <w:r w:rsidR="00EB7908" w:rsidRPr="00233992">
        <w:rPr>
          <w:rFonts w:eastAsiaTheme="minorHAnsi"/>
          <w:sz w:val="22"/>
          <w:szCs w:val="22"/>
          <w:lang w:eastAsia="en-US"/>
        </w:rPr>
        <w:t xml:space="preserve">). This evidence suggests that </w:t>
      </w:r>
      <w:r w:rsidR="00EB7908">
        <w:rPr>
          <w:rFonts w:eastAsiaTheme="minorHAnsi"/>
          <w:sz w:val="22"/>
          <w:szCs w:val="22"/>
          <w:lang w:eastAsia="en-US"/>
        </w:rPr>
        <w:t>CFIUS interventions are informative for market participants.</w:t>
      </w:r>
    </w:p>
    <w:p w14:paraId="0F0AE9DC" w14:textId="2873444A" w:rsidR="00877BFB" w:rsidRDefault="009A2CD2" w:rsidP="00233992">
      <w:pPr>
        <w:spacing w:line="480" w:lineRule="auto"/>
        <w:jc w:val="both"/>
        <w:rPr>
          <w:rFonts w:eastAsiaTheme="minorHAnsi"/>
          <w:sz w:val="22"/>
          <w:szCs w:val="22"/>
          <w:lang w:eastAsia="en-US"/>
        </w:rPr>
      </w:pPr>
      <w:r w:rsidRPr="00233992">
        <w:rPr>
          <w:rFonts w:eastAsiaTheme="minorHAnsi"/>
          <w:sz w:val="22"/>
          <w:szCs w:val="22"/>
          <w:lang w:eastAsia="en-US"/>
        </w:rPr>
        <w:tab/>
      </w:r>
      <w:r w:rsidR="00EB7908" w:rsidRPr="00233992">
        <w:rPr>
          <w:rFonts w:eastAsiaTheme="minorHAnsi"/>
          <w:sz w:val="22"/>
          <w:szCs w:val="22"/>
          <w:lang w:eastAsia="en-US"/>
        </w:rPr>
        <w:t>The industry market reaction after CFIUS interventions is also negative and statistically significant. The cumulative abnormal returns in the one-, six- and twelve-month windows are -3%, -9% and -8% respectively (</w:t>
      </w:r>
      <w:r w:rsidR="00EB3F4A">
        <w:rPr>
          <w:rFonts w:eastAsiaTheme="minorHAnsi"/>
          <w:sz w:val="22"/>
          <w:szCs w:val="22"/>
          <w:lang w:eastAsia="en-US"/>
        </w:rPr>
        <w:t>c</w:t>
      </w:r>
      <w:r w:rsidR="00EB7908" w:rsidRPr="00233992">
        <w:rPr>
          <w:rFonts w:eastAsiaTheme="minorHAnsi"/>
          <w:sz w:val="22"/>
          <w:szCs w:val="22"/>
          <w:lang w:eastAsia="en-US"/>
        </w:rPr>
        <w:t>olumn</w:t>
      </w:r>
      <w:r w:rsidR="00EB7908">
        <w:rPr>
          <w:rFonts w:eastAsiaTheme="minorHAnsi"/>
          <w:sz w:val="22"/>
          <w:szCs w:val="22"/>
          <w:lang w:eastAsia="en-US"/>
        </w:rPr>
        <w:t>s</w:t>
      </w:r>
      <w:r w:rsidR="00EB7908" w:rsidRPr="00233992">
        <w:rPr>
          <w:rFonts w:eastAsiaTheme="minorHAnsi"/>
          <w:sz w:val="22"/>
          <w:szCs w:val="22"/>
          <w:lang w:eastAsia="en-US"/>
        </w:rPr>
        <w:t xml:space="preserve"> 1</w:t>
      </w:r>
      <w:r w:rsidR="00EB7908">
        <w:rPr>
          <w:rFonts w:eastAsiaTheme="minorHAnsi"/>
          <w:sz w:val="22"/>
          <w:szCs w:val="22"/>
          <w:lang w:eastAsia="en-US"/>
        </w:rPr>
        <w:t xml:space="preserve"> and 2</w:t>
      </w:r>
      <w:r w:rsidR="00EB7908" w:rsidRPr="00233992">
        <w:rPr>
          <w:rFonts w:eastAsiaTheme="minorHAnsi"/>
          <w:sz w:val="22"/>
          <w:szCs w:val="22"/>
          <w:lang w:eastAsia="en-US"/>
        </w:rPr>
        <w:t xml:space="preserve">). </w:t>
      </w:r>
      <w:r w:rsidR="009439C4" w:rsidRPr="00233992">
        <w:rPr>
          <w:rFonts w:eastAsiaTheme="minorHAnsi"/>
          <w:sz w:val="22"/>
          <w:szCs w:val="22"/>
          <w:lang w:eastAsia="en-US"/>
        </w:rPr>
        <w:t xml:space="preserve">Consistent with prior research (Forbes, 2007; Hoberg </w:t>
      </w:r>
      <w:r w:rsidR="009439C4" w:rsidRPr="009E743F">
        <w:rPr>
          <w:rFonts w:eastAsiaTheme="minorHAnsi"/>
          <w:sz w:val="22"/>
          <w:szCs w:val="22"/>
          <w:lang w:eastAsia="en-US"/>
        </w:rPr>
        <w:t>&amp;</w:t>
      </w:r>
      <w:r w:rsidR="009439C4">
        <w:rPr>
          <w:rFonts w:eastAsiaTheme="minorHAnsi"/>
          <w:sz w:val="22"/>
          <w:szCs w:val="22"/>
          <w:lang w:eastAsia="en-US"/>
        </w:rPr>
        <w:t xml:space="preserve"> </w:t>
      </w:r>
      <w:r w:rsidR="009439C4" w:rsidRPr="00233992">
        <w:rPr>
          <w:rFonts w:eastAsiaTheme="minorHAnsi"/>
          <w:sz w:val="22"/>
          <w:szCs w:val="22"/>
          <w:lang w:eastAsia="en-US"/>
        </w:rPr>
        <w:t xml:space="preserve">Maksimovic, 2015; Alfaro </w:t>
      </w:r>
      <w:r w:rsidR="009439C4" w:rsidRPr="000137AC">
        <w:rPr>
          <w:rFonts w:eastAsiaTheme="minorHAnsi"/>
          <w:sz w:val="22"/>
          <w:szCs w:val="22"/>
          <w:lang w:eastAsia="en-US"/>
        </w:rPr>
        <w:t>et al</w:t>
      </w:r>
      <w:r w:rsidR="009439C4" w:rsidRPr="00233992">
        <w:rPr>
          <w:rFonts w:eastAsiaTheme="minorHAnsi"/>
          <w:sz w:val="22"/>
          <w:szCs w:val="22"/>
          <w:lang w:eastAsia="en-US"/>
        </w:rPr>
        <w:t>., 2017)</w:t>
      </w:r>
      <w:r w:rsidR="009439C4">
        <w:rPr>
          <w:rFonts w:eastAsiaTheme="minorHAnsi"/>
          <w:sz w:val="22"/>
          <w:szCs w:val="22"/>
          <w:lang w:eastAsia="en-US"/>
        </w:rPr>
        <w:t>, t</w:t>
      </w:r>
      <w:r w:rsidR="00EB7908" w:rsidRPr="00233992">
        <w:rPr>
          <w:rFonts w:eastAsiaTheme="minorHAnsi"/>
          <w:sz w:val="22"/>
          <w:szCs w:val="22"/>
          <w:lang w:eastAsia="en-US"/>
        </w:rPr>
        <w:t>his evidence suggests that restrictions on access to capital imposed by CFIUS reduce equity values, thus increasing the cost of capital in affected industries.</w:t>
      </w:r>
      <w:r w:rsidR="009439C4">
        <w:rPr>
          <w:rFonts w:eastAsiaTheme="minorHAnsi"/>
          <w:sz w:val="22"/>
          <w:szCs w:val="22"/>
          <w:lang w:eastAsia="en-US"/>
        </w:rPr>
        <w:t xml:space="preserve"> Similarly, </w:t>
      </w:r>
      <w:r w:rsidR="009439C4" w:rsidRPr="009439C4">
        <w:rPr>
          <w:rFonts w:eastAsiaTheme="minorHAnsi"/>
          <w:sz w:val="22"/>
          <w:szCs w:val="22"/>
          <w:lang w:eastAsia="en-US"/>
        </w:rPr>
        <w:t>Frattaroli</w:t>
      </w:r>
      <w:r w:rsidR="009439C4">
        <w:rPr>
          <w:rFonts w:eastAsiaTheme="minorHAnsi"/>
          <w:sz w:val="22"/>
          <w:szCs w:val="22"/>
          <w:lang w:eastAsia="en-US"/>
        </w:rPr>
        <w:t xml:space="preserve"> (2020) documents a negative </w:t>
      </w:r>
      <w:r w:rsidR="00A91223">
        <w:rPr>
          <w:rFonts w:eastAsiaTheme="minorHAnsi"/>
          <w:sz w:val="22"/>
          <w:szCs w:val="22"/>
          <w:lang w:eastAsia="en-US"/>
        </w:rPr>
        <w:t xml:space="preserve">industry </w:t>
      </w:r>
      <w:r w:rsidR="009439C4">
        <w:rPr>
          <w:rFonts w:eastAsiaTheme="minorHAnsi"/>
          <w:sz w:val="22"/>
          <w:szCs w:val="22"/>
          <w:lang w:eastAsia="en-US"/>
        </w:rPr>
        <w:t xml:space="preserve">market reaction after the enactment of a </w:t>
      </w:r>
      <w:r w:rsidR="009439C4">
        <w:rPr>
          <w:rFonts w:eastAsiaTheme="minorHAnsi"/>
          <w:sz w:val="22"/>
          <w:szCs w:val="22"/>
          <w:lang w:eastAsia="en-US"/>
        </w:rPr>
        <w:lastRenderedPageBreak/>
        <w:t>national security policy in France.</w:t>
      </w:r>
      <w:r w:rsidR="00026176" w:rsidRPr="00233992">
        <w:rPr>
          <w:rStyle w:val="Appelnotedebasdep"/>
          <w:sz w:val="22"/>
          <w:szCs w:val="22"/>
        </w:rPr>
        <w:footnoteReference w:id="11"/>
      </w:r>
      <w:r w:rsidR="00026176">
        <w:rPr>
          <w:rFonts w:eastAsiaTheme="minorHAnsi"/>
          <w:sz w:val="22"/>
          <w:szCs w:val="22"/>
          <w:lang w:eastAsia="en-US"/>
        </w:rPr>
        <w:t xml:space="preserve"> T</w:t>
      </w:r>
      <w:r w:rsidR="00EB7908" w:rsidRPr="00233992">
        <w:rPr>
          <w:rFonts w:eastAsiaTheme="minorHAnsi"/>
          <w:sz w:val="22"/>
          <w:szCs w:val="22"/>
          <w:lang w:eastAsia="en-US"/>
        </w:rPr>
        <w:t xml:space="preserve">he results of Table </w:t>
      </w:r>
      <w:r w:rsidR="00A665A3">
        <w:rPr>
          <w:sz w:val="22"/>
          <w:szCs w:val="22"/>
        </w:rPr>
        <w:t xml:space="preserve">2 </w:t>
      </w:r>
      <w:r w:rsidR="00EB7908" w:rsidRPr="00233992">
        <w:rPr>
          <w:rFonts w:eastAsiaTheme="minorHAnsi"/>
          <w:sz w:val="22"/>
          <w:szCs w:val="22"/>
          <w:lang w:eastAsia="en-US"/>
        </w:rPr>
        <w:t>overall indicate that market participants revise their expectations about further national security actions</w:t>
      </w:r>
      <w:r w:rsidR="00315197">
        <w:rPr>
          <w:rFonts w:eastAsiaTheme="minorHAnsi"/>
          <w:sz w:val="22"/>
          <w:szCs w:val="22"/>
          <w:lang w:eastAsia="en-US"/>
        </w:rPr>
        <w:t xml:space="preserve"> after CFIUS interventions</w:t>
      </w:r>
      <w:r w:rsidR="00026176">
        <w:rPr>
          <w:rFonts w:eastAsiaTheme="minorHAnsi"/>
          <w:sz w:val="22"/>
          <w:szCs w:val="22"/>
          <w:lang w:eastAsia="en-US"/>
        </w:rPr>
        <w:t>.</w:t>
      </w:r>
    </w:p>
    <w:p w14:paraId="121239C0" w14:textId="77777777" w:rsidR="002658D1" w:rsidRDefault="002658D1" w:rsidP="002658D1">
      <w:pPr>
        <w:spacing w:line="480" w:lineRule="auto"/>
        <w:jc w:val="both"/>
        <w:rPr>
          <w:sz w:val="22"/>
          <w:szCs w:val="22"/>
        </w:rPr>
      </w:pPr>
    </w:p>
    <w:p w14:paraId="474AFF18" w14:textId="2C1C4E39" w:rsidR="002658D1" w:rsidRDefault="002658D1" w:rsidP="00233992">
      <w:pPr>
        <w:spacing w:line="480" w:lineRule="auto"/>
        <w:jc w:val="both"/>
        <w:rPr>
          <w:rFonts w:eastAsiaTheme="minorHAnsi"/>
          <w:sz w:val="22"/>
          <w:szCs w:val="22"/>
          <w:lang w:eastAsia="en-US"/>
        </w:rPr>
      </w:pPr>
      <w:r w:rsidRPr="00233992">
        <w:rPr>
          <w:rFonts w:eastAsiaTheme="minorHAnsi"/>
          <w:sz w:val="22"/>
          <w:szCs w:val="22"/>
          <w:lang w:eastAsia="en-US"/>
        </w:rPr>
        <w:tab/>
      </w:r>
      <w:r>
        <w:rPr>
          <w:b/>
          <w:bCs/>
          <w:sz w:val="22"/>
          <w:szCs w:val="22"/>
        </w:rPr>
        <w:t>3.3</w:t>
      </w:r>
      <w:r w:rsidRPr="009F6A6D">
        <w:rPr>
          <w:b/>
          <w:bCs/>
          <w:sz w:val="22"/>
          <w:szCs w:val="22"/>
        </w:rPr>
        <w:t xml:space="preserve">. </w:t>
      </w:r>
      <w:r>
        <w:rPr>
          <w:b/>
          <w:bCs/>
          <w:sz w:val="22"/>
          <w:szCs w:val="22"/>
        </w:rPr>
        <w:t>Ma</w:t>
      </w:r>
      <w:r w:rsidR="009E5C78">
        <w:rPr>
          <w:b/>
          <w:bCs/>
          <w:sz w:val="22"/>
          <w:szCs w:val="22"/>
        </w:rPr>
        <w:t>in v</w:t>
      </w:r>
      <w:r>
        <w:rPr>
          <w:b/>
          <w:bCs/>
          <w:sz w:val="22"/>
          <w:szCs w:val="22"/>
        </w:rPr>
        <w:t>ariables</w:t>
      </w:r>
    </w:p>
    <w:p w14:paraId="159ABBA0" w14:textId="2FE48049" w:rsidR="00A346A4" w:rsidRPr="00233992" w:rsidRDefault="000F45AF" w:rsidP="00233992">
      <w:pPr>
        <w:spacing w:line="480" w:lineRule="auto"/>
        <w:jc w:val="both"/>
        <w:rPr>
          <w:sz w:val="22"/>
          <w:szCs w:val="22"/>
        </w:rPr>
      </w:pPr>
      <w:r w:rsidRPr="00233992">
        <w:rPr>
          <w:rFonts w:eastAsiaTheme="minorHAnsi"/>
          <w:sz w:val="22"/>
          <w:szCs w:val="22"/>
          <w:lang w:eastAsia="en-US"/>
        </w:rPr>
        <w:tab/>
      </w:r>
      <w:r w:rsidR="00245A4A" w:rsidRPr="00233992">
        <w:rPr>
          <w:rFonts w:eastAsiaTheme="minorHAnsi"/>
          <w:sz w:val="22"/>
          <w:szCs w:val="22"/>
          <w:lang w:eastAsia="en-US"/>
        </w:rPr>
        <w:t xml:space="preserve">To </w:t>
      </w:r>
      <w:r w:rsidR="00172816" w:rsidRPr="00233992">
        <w:rPr>
          <w:rFonts w:eastAsiaTheme="minorHAnsi"/>
          <w:sz w:val="22"/>
          <w:szCs w:val="22"/>
          <w:lang w:eastAsia="en-US"/>
        </w:rPr>
        <w:t>investigate</w:t>
      </w:r>
      <w:r w:rsidR="00405BC6" w:rsidRPr="00233992">
        <w:rPr>
          <w:rFonts w:eastAsiaTheme="minorHAnsi"/>
          <w:sz w:val="22"/>
          <w:szCs w:val="22"/>
          <w:lang w:eastAsia="en-US"/>
        </w:rPr>
        <w:t xml:space="preserve"> </w:t>
      </w:r>
      <w:r w:rsidR="00F15244" w:rsidRPr="00233992">
        <w:rPr>
          <w:rFonts w:eastAsiaTheme="minorHAnsi"/>
          <w:sz w:val="22"/>
          <w:szCs w:val="22"/>
          <w:lang w:eastAsia="en-US"/>
        </w:rPr>
        <w:t>whether and how</w:t>
      </w:r>
      <w:r w:rsidR="00043EBB" w:rsidRPr="00233992">
        <w:rPr>
          <w:rFonts w:eastAsiaTheme="minorHAnsi"/>
          <w:sz w:val="22"/>
          <w:szCs w:val="22"/>
          <w:lang w:eastAsia="en-US"/>
        </w:rPr>
        <w:t xml:space="preserve"> </w:t>
      </w:r>
      <w:r w:rsidR="00245A4A" w:rsidRPr="00233992">
        <w:rPr>
          <w:rFonts w:eastAsiaTheme="minorHAnsi"/>
          <w:sz w:val="22"/>
          <w:szCs w:val="22"/>
          <w:lang w:eastAsia="en-US"/>
        </w:rPr>
        <w:t xml:space="preserve">CFIUS interventions </w:t>
      </w:r>
      <w:r w:rsidR="00F15244" w:rsidRPr="00233992">
        <w:rPr>
          <w:rFonts w:eastAsiaTheme="minorHAnsi"/>
          <w:sz w:val="22"/>
          <w:szCs w:val="22"/>
          <w:lang w:eastAsia="en-US"/>
        </w:rPr>
        <w:t>affect</w:t>
      </w:r>
      <w:r w:rsidR="00245A4A" w:rsidRPr="00233992">
        <w:rPr>
          <w:rFonts w:eastAsiaTheme="minorHAnsi"/>
          <w:sz w:val="22"/>
          <w:szCs w:val="22"/>
          <w:lang w:eastAsia="en-US"/>
        </w:rPr>
        <w:t xml:space="preserve"> </w:t>
      </w:r>
      <w:r w:rsidR="00A01E21" w:rsidRPr="00233992">
        <w:rPr>
          <w:rFonts w:eastAsiaTheme="minorHAnsi"/>
          <w:sz w:val="22"/>
          <w:szCs w:val="22"/>
          <w:lang w:eastAsia="en-US"/>
        </w:rPr>
        <w:t xml:space="preserve">corporate </w:t>
      </w:r>
      <w:r w:rsidR="00245A4A" w:rsidRPr="00233992">
        <w:rPr>
          <w:rFonts w:eastAsiaTheme="minorHAnsi"/>
          <w:sz w:val="22"/>
          <w:szCs w:val="22"/>
          <w:lang w:eastAsia="en-US"/>
        </w:rPr>
        <w:t xml:space="preserve">investment, we create a sample of </w:t>
      </w:r>
      <w:r w:rsidR="00A34C94" w:rsidRPr="00233992">
        <w:rPr>
          <w:rFonts w:eastAsiaTheme="minorHAnsi"/>
          <w:sz w:val="22"/>
          <w:szCs w:val="22"/>
          <w:lang w:eastAsia="en-US"/>
        </w:rPr>
        <w:t>41,918 firm-year observations</w:t>
      </w:r>
      <w:r w:rsidR="00A34C94" w:rsidRPr="00233992">
        <w:rPr>
          <w:sz w:val="22"/>
          <w:szCs w:val="22"/>
        </w:rPr>
        <w:t xml:space="preserve"> </w:t>
      </w:r>
      <w:r w:rsidR="00245A4A" w:rsidRPr="00233992">
        <w:rPr>
          <w:rFonts w:eastAsiaTheme="minorHAnsi"/>
          <w:sz w:val="22"/>
          <w:szCs w:val="22"/>
          <w:lang w:eastAsia="en-US"/>
        </w:rPr>
        <w:t>(</w:t>
      </w:r>
      <w:r w:rsidR="00A34C94" w:rsidRPr="00233992">
        <w:rPr>
          <w:sz w:val="22"/>
          <w:szCs w:val="22"/>
        </w:rPr>
        <w:t>6,392</w:t>
      </w:r>
      <w:r w:rsidR="00A34C94" w:rsidRPr="00233992">
        <w:rPr>
          <w:rFonts w:eastAsiaTheme="minorHAnsi"/>
          <w:sz w:val="22"/>
          <w:szCs w:val="22"/>
          <w:lang w:eastAsia="en-US"/>
        </w:rPr>
        <w:t xml:space="preserve"> </w:t>
      </w:r>
      <w:r w:rsidR="00A01E21" w:rsidRPr="00233992">
        <w:rPr>
          <w:rFonts w:eastAsiaTheme="minorHAnsi"/>
          <w:sz w:val="22"/>
          <w:szCs w:val="22"/>
          <w:lang w:eastAsia="en-US"/>
        </w:rPr>
        <w:t>U</w:t>
      </w:r>
      <w:r w:rsidR="008A3E91">
        <w:rPr>
          <w:rFonts w:eastAsiaTheme="minorHAnsi"/>
          <w:sz w:val="22"/>
          <w:szCs w:val="22"/>
          <w:lang w:eastAsia="en-US"/>
        </w:rPr>
        <w:t>.</w:t>
      </w:r>
      <w:r w:rsidR="00A01E21" w:rsidRPr="00233992">
        <w:rPr>
          <w:rFonts w:eastAsiaTheme="minorHAnsi"/>
          <w:sz w:val="22"/>
          <w:szCs w:val="22"/>
          <w:lang w:eastAsia="en-US"/>
        </w:rPr>
        <w:t>S</w:t>
      </w:r>
      <w:r w:rsidR="008A3E91">
        <w:rPr>
          <w:rFonts w:eastAsiaTheme="minorHAnsi"/>
          <w:sz w:val="22"/>
          <w:szCs w:val="22"/>
          <w:lang w:eastAsia="en-US"/>
        </w:rPr>
        <w:t>.</w:t>
      </w:r>
      <w:r w:rsidR="00723806" w:rsidRPr="00233992">
        <w:rPr>
          <w:rFonts w:eastAsiaTheme="minorHAnsi"/>
          <w:sz w:val="22"/>
          <w:szCs w:val="22"/>
          <w:lang w:eastAsia="en-US"/>
        </w:rPr>
        <w:t xml:space="preserve"> </w:t>
      </w:r>
      <w:r w:rsidR="00A01E21" w:rsidRPr="00233992">
        <w:rPr>
          <w:rFonts w:eastAsiaTheme="minorHAnsi"/>
          <w:sz w:val="22"/>
          <w:szCs w:val="22"/>
          <w:lang w:eastAsia="en-US"/>
        </w:rPr>
        <w:t>incorporated</w:t>
      </w:r>
      <w:r w:rsidR="00A34C94" w:rsidRPr="00233992">
        <w:rPr>
          <w:rFonts w:eastAsiaTheme="minorHAnsi"/>
          <w:sz w:val="22"/>
          <w:szCs w:val="22"/>
          <w:lang w:eastAsia="en-US"/>
        </w:rPr>
        <w:t xml:space="preserve"> listed firms</w:t>
      </w:r>
      <w:r w:rsidR="00245A4A" w:rsidRPr="00233992">
        <w:rPr>
          <w:rFonts w:eastAsiaTheme="minorHAnsi"/>
          <w:sz w:val="22"/>
          <w:szCs w:val="22"/>
          <w:lang w:eastAsia="en-US"/>
        </w:rPr>
        <w:t xml:space="preserve">) from Compustat </w:t>
      </w:r>
      <w:r w:rsidR="004B3360">
        <w:rPr>
          <w:rFonts w:eastAsiaTheme="minorHAnsi"/>
          <w:sz w:val="22"/>
          <w:szCs w:val="22"/>
          <w:lang w:eastAsia="en-US"/>
        </w:rPr>
        <w:t>in</w:t>
      </w:r>
      <w:r w:rsidR="00245A4A" w:rsidRPr="00233992">
        <w:rPr>
          <w:rFonts w:eastAsiaTheme="minorHAnsi"/>
          <w:sz w:val="22"/>
          <w:szCs w:val="22"/>
          <w:lang w:eastAsia="en-US"/>
        </w:rPr>
        <w:t xml:space="preserve"> </w:t>
      </w:r>
      <w:r w:rsidR="009549BA" w:rsidRPr="00233992">
        <w:rPr>
          <w:rFonts w:eastAsiaTheme="minorHAnsi"/>
          <w:sz w:val="22"/>
          <w:szCs w:val="22"/>
          <w:lang w:eastAsia="en-US"/>
        </w:rPr>
        <w:t>the 2008–2019 period</w:t>
      </w:r>
      <w:r w:rsidR="00245A4A" w:rsidRPr="00233992">
        <w:rPr>
          <w:rFonts w:eastAsiaTheme="minorHAnsi"/>
          <w:sz w:val="22"/>
          <w:szCs w:val="22"/>
          <w:lang w:eastAsia="en-US"/>
        </w:rPr>
        <w:t xml:space="preserve">. </w:t>
      </w:r>
      <w:r w:rsidR="00B60801" w:rsidRPr="00233992">
        <w:rPr>
          <w:sz w:val="22"/>
          <w:szCs w:val="22"/>
        </w:rPr>
        <w:t xml:space="preserve">Our sample </w:t>
      </w:r>
      <w:r w:rsidR="00F44572" w:rsidRPr="00233992">
        <w:rPr>
          <w:sz w:val="22"/>
          <w:szCs w:val="22"/>
        </w:rPr>
        <w:t xml:space="preserve">matches </w:t>
      </w:r>
      <w:r w:rsidR="00B60801" w:rsidRPr="00233992">
        <w:rPr>
          <w:sz w:val="22"/>
          <w:szCs w:val="22"/>
        </w:rPr>
        <w:t xml:space="preserve">the years </w:t>
      </w:r>
      <w:r w:rsidR="00A34C94" w:rsidRPr="00233992">
        <w:rPr>
          <w:sz w:val="22"/>
          <w:szCs w:val="22"/>
        </w:rPr>
        <w:t xml:space="preserve">in which </w:t>
      </w:r>
      <w:r w:rsidR="00B60801" w:rsidRPr="00233992">
        <w:rPr>
          <w:sz w:val="22"/>
          <w:szCs w:val="22"/>
        </w:rPr>
        <w:t xml:space="preserve">FINSA was </w:t>
      </w:r>
      <w:r w:rsidR="009549BA" w:rsidRPr="00233992">
        <w:rPr>
          <w:sz w:val="22"/>
          <w:szCs w:val="22"/>
        </w:rPr>
        <w:t>in place</w:t>
      </w:r>
      <w:r w:rsidR="00B60801" w:rsidRPr="00233992">
        <w:rPr>
          <w:sz w:val="22"/>
          <w:szCs w:val="22"/>
        </w:rPr>
        <w:t>.</w:t>
      </w:r>
      <w:r w:rsidR="000614D9" w:rsidRPr="00233992">
        <w:rPr>
          <w:sz w:val="22"/>
          <w:szCs w:val="22"/>
        </w:rPr>
        <w:t xml:space="preserve"> </w:t>
      </w:r>
      <w:r w:rsidR="00A01E21" w:rsidRPr="00233992">
        <w:rPr>
          <w:sz w:val="22"/>
          <w:szCs w:val="22"/>
        </w:rPr>
        <w:t>In the light of</w:t>
      </w:r>
      <w:r w:rsidR="00F9376F" w:rsidRPr="00233992">
        <w:rPr>
          <w:sz w:val="22"/>
          <w:szCs w:val="22"/>
        </w:rPr>
        <w:t xml:space="preserve"> CFIUS jurisdiction, we retain only U</w:t>
      </w:r>
      <w:r w:rsidR="008A3E91">
        <w:rPr>
          <w:sz w:val="22"/>
          <w:szCs w:val="22"/>
        </w:rPr>
        <w:t>.</w:t>
      </w:r>
      <w:r w:rsidR="00F9376F" w:rsidRPr="00233992">
        <w:rPr>
          <w:sz w:val="22"/>
          <w:szCs w:val="22"/>
        </w:rPr>
        <w:t>S</w:t>
      </w:r>
      <w:r w:rsidR="008A3E91">
        <w:rPr>
          <w:sz w:val="22"/>
          <w:szCs w:val="22"/>
        </w:rPr>
        <w:t xml:space="preserve">. </w:t>
      </w:r>
      <w:r w:rsidR="00F9376F" w:rsidRPr="00233992">
        <w:rPr>
          <w:sz w:val="22"/>
          <w:szCs w:val="22"/>
        </w:rPr>
        <w:t>incorporated</w:t>
      </w:r>
      <w:r w:rsidR="001E3F4A" w:rsidRPr="00233992">
        <w:rPr>
          <w:sz w:val="22"/>
          <w:szCs w:val="22"/>
        </w:rPr>
        <w:t xml:space="preserve"> listed</w:t>
      </w:r>
      <w:r w:rsidR="00F9376F" w:rsidRPr="00233992">
        <w:rPr>
          <w:sz w:val="22"/>
          <w:szCs w:val="22"/>
        </w:rPr>
        <w:t xml:space="preserve"> firms. Removing this filter yields similar results. </w:t>
      </w:r>
      <w:r w:rsidR="000614D9" w:rsidRPr="00233992">
        <w:rPr>
          <w:sz w:val="22"/>
          <w:szCs w:val="22"/>
        </w:rPr>
        <w:t>We exclude financial institutions (SIC code from 6,000 to 6,999)</w:t>
      </w:r>
      <w:r w:rsidR="008C236D" w:rsidRPr="00233992">
        <w:rPr>
          <w:sz w:val="22"/>
          <w:szCs w:val="22"/>
        </w:rPr>
        <w:t xml:space="preserve"> and</w:t>
      </w:r>
      <w:r w:rsidR="000614D9" w:rsidRPr="00233992">
        <w:rPr>
          <w:sz w:val="22"/>
          <w:szCs w:val="22"/>
        </w:rPr>
        <w:t xml:space="preserve"> firms with negative sales</w:t>
      </w:r>
      <w:r w:rsidR="008C236D" w:rsidRPr="00233992">
        <w:rPr>
          <w:sz w:val="22"/>
          <w:szCs w:val="22"/>
        </w:rPr>
        <w:t>.</w:t>
      </w:r>
      <w:r w:rsidR="000614D9" w:rsidRPr="00233992">
        <w:rPr>
          <w:sz w:val="22"/>
          <w:szCs w:val="22"/>
        </w:rPr>
        <w:t xml:space="preserve"> </w:t>
      </w:r>
      <w:r w:rsidR="008C236D" w:rsidRPr="00233992">
        <w:rPr>
          <w:sz w:val="22"/>
          <w:szCs w:val="22"/>
        </w:rPr>
        <w:t xml:space="preserve">We </w:t>
      </w:r>
      <w:r w:rsidR="000614D9" w:rsidRPr="00233992">
        <w:rPr>
          <w:sz w:val="22"/>
          <w:szCs w:val="22"/>
        </w:rPr>
        <w:t xml:space="preserve">only include the nonmissing variables filter. </w:t>
      </w:r>
    </w:p>
    <w:p w14:paraId="6FAA10AF" w14:textId="598F4B5C" w:rsidR="00245A4A" w:rsidRPr="00233992" w:rsidRDefault="000F45AF" w:rsidP="00233992">
      <w:pPr>
        <w:spacing w:line="480" w:lineRule="auto"/>
        <w:jc w:val="both"/>
        <w:rPr>
          <w:rFonts w:eastAsiaTheme="minorHAnsi"/>
          <w:color w:val="000000" w:themeColor="text1"/>
          <w:sz w:val="22"/>
          <w:szCs w:val="22"/>
          <w:lang w:eastAsia="en-US"/>
        </w:rPr>
      </w:pPr>
      <w:r w:rsidRPr="00233992">
        <w:rPr>
          <w:rFonts w:eastAsiaTheme="minorHAnsi"/>
          <w:sz w:val="22"/>
          <w:szCs w:val="22"/>
          <w:lang w:eastAsia="en-US"/>
        </w:rPr>
        <w:tab/>
      </w:r>
      <w:r w:rsidR="00196F53" w:rsidRPr="00233992">
        <w:rPr>
          <w:rFonts w:eastAsiaTheme="minorHAnsi"/>
          <w:sz w:val="22"/>
          <w:szCs w:val="22"/>
          <w:lang w:eastAsia="en-US"/>
        </w:rPr>
        <w:t xml:space="preserve">Using the textual network-based industry classification (Hoberg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196F53" w:rsidRPr="00233992">
        <w:rPr>
          <w:rFonts w:eastAsiaTheme="minorHAnsi"/>
          <w:sz w:val="22"/>
          <w:szCs w:val="22"/>
          <w:lang w:eastAsia="en-US"/>
        </w:rPr>
        <w:t>Phillips</w:t>
      </w:r>
      <w:r w:rsidR="00861E76" w:rsidRPr="00233992">
        <w:rPr>
          <w:rFonts w:eastAsiaTheme="minorHAnsi"/>
          <w:sz w:val="22"/>
          <w:szCs w:val="22"/>
          <w:lang w:eastAsia="en-US"/>
        </w:rPr>
        <w:t>,</w:t>
      </w:r>
      <w:r w:rsidR="00196F53" w:rsidRPr="00233992">
        <w:rPr>
          <w:rFonts w:eastAsiaTheme="minorHAnsi"/>
          <w:sz w:val="22"/>
          <w:szCs w:val="22"/>
          <w:lang w:eastAsia="en-US"/>
        </w:rPr>
        <w:t xml:space="preserve"> 2010</w:t>
      </w:r>
      <w:r w:rsidR="00293B6B" w:rsidRPr="00233992">
        <w:rPr>
          <w:rFonts w:eastAsiaTheme="minorHAnsi"/>
          <w:sz w:val="22"/>
          <w:szCs w:val="22"/>
          <w:lang w:eastAsia="en-US"/>
        </w:rPr>
        <w:t>,</w:t>
      </w:r>
      <w:r w:rsidR="00196F53" w:rsidRPr="00233992">
        <w:rPr>
          <w:rFonts w:eastAsiaTheme="minorHAnsi"/>
          <w:sz w:val="22"/>
          <w:szCs w:val="22"/>
          <w:lang w:eastAsia="en-US"/>
        </w:rPr>
        <w:t xml:space="preserve"> 2016), t</w:t>
      </w:r>
      <w:r w:rsidR="008C236D" w:rsidRPr="00233992">
        <w:rPr>
          <w:rFonts w:eastAsiaTheme="minorHAnsi"/>
          <w:sz w:val="22"/>
          <w:szCs w:val="22"/>
          <w:lang w:eastAsia="en-US"/>
        </w:rPr>
        <w:t>he treatment group consists of the peer</w:t>
      </w:r>
      <w:r w:rsidR="00B066A2" w:rsidRPr="00233992">
        <w:rPr>
          <w:rFonts w:eastAsiaTheme="minorHAnsi"/>
          <w:sz w:val="22"/>
          <w:szCs w:val="22"/>
          <w:lang w:eastAsia="en-US"/>
        </w:rPr>
        <w:t xml:space="preserve">s </w:t>
      </w:r>
      <w:r w:rsidR="008C236D" w:rsidRPr="00233992">
        <w:rPr>
          <w:rFonts w:eastAsiaTheme="minorHAnsi"/>
          <w:sz w:val="22"/>
          <w:szCs w:val="22"/>
          <w:lang w:eastAsia="en-US"/>
        </w:rPr>
        <w:t xml:space="preserve">belonging to the industry of the target of </w:t>
      </w:r>
      <w:r w:rsidR="00A01E21" w:rsidRPr="00233992">
        <w:rPr>
          <w:rFonts w:eastAsiaTheme="minorHAnsi"/>
          <w:sz w:val="22"/>
          <w:szCs w:val="22"/>
          <w:lang w:eastAsia="en-US"/>
        </w:rPr>
        <w:t xml:space="preserve">every blocked </w:t>
      </w:r>
      <w:r w:rsidR="0058578D" w:rsidRPr="00233992">
        <w:rPr>
          <w:rFonts w:eastAsiaTheme="minorHAnsi"/>
          <w:sz w:val="22"/>
          <w:szCs w:val="22"/>
          <w:lang w:eastAsia="en-US"/>
        </w:rPr>
        <w:t>acquisition</w:t>
      </w:r>
      <w:r w:rsidR="00394510" w:rsidRPr="00233992">
        <w:rPr>
          <w:rFonts w:eastAsiaTheme="minorHAnsi"/>
          <w:sz w:val="22"/>
          <w:szCs w:val="22"/>
          <w:lang w:eastAsia="en-US"/>
        </w:rPr>
        <w:t xml:space="preserve"> (</w:t>
      </w:r>
      <w:r w:rsidR="00394510" w:rsidRPr="00233992">
        <w:rPr>
          <w:rFonts w:eastAsiaTheme="minorHAnsi"/>
          <w:iCs/>
          <w:sz w:val="22"/>
          <w:szCs w:val="22"/>
          <w:lang w:eastAsia="en-US"/>
        </w:rPr>
        <w:t>Treatment</w:t>
      </w:r>
      <w:r w:rsidR="005A4E3A" w:rsidRPr="00233992">
        <w:rPr>
          <w:rFonts w:eastAsiaTheme="minorHAnsi"/>
          <w:iCs/>
          <w:sz w:val="22"/>
          <w:szCs w:val="22"/>
          <w:lang w:eastAsia="en-US"/>
        </w:rPr>
        <w:t xml:space="preserve"> group</w:t>
      </w:r>
      <w:r w:rsidR="00394510" w:rsidRPr="00233992">
        <w:rPr>
          <w:rFonts w:eastAsiaTheme="minorHAnsi"/>
          <w:sz w:val="22"/>
          <w:szCs w:val="22"/>
          <w:lang w:eastAsia="en-US"/>
        </w:rPr>
        <w:t>)</w:t>
      </w:r>
      <w:r w:rsidR="00245A4A" w:rsidRPr="00233992">
        <w:rPr>
          <w:rFonts w:eastAsiaTheme="minorHAnsi"/>
          <w:sz w:val="22"/>
          <w:szCs w:val="22"/>
          <w:lang w:eastAsia="en-US"/>
        </w:rPr>
        <w:t>.</w:t>
      </w:r>
      <w:r w:rsidR="00741276" w:rsidRPr="00233992">
        <w:rPr>
          <w:rStyle w:val="Appelnotedebasdep"/>
          <w:rFonts w:eastAsiaTheme="minorHAnsi"/>
          <w:sz w:val="22"/>
          <w:szCs w:val="22"/>
          <w:lang w:eastAsia="en-US"/>
        </w:rPr>
        <w:footnoteReference w:id="12"/>
      </w:r>
      <w:r w:rsidR="00B066A2" w:rsidRPr="00233992">
        <w:rPr>
          <w:rFonts w:eastAsiaTheme="minorHAnsi"/>
          <w:sz w:val="22"/>
          <w:szCs w:val="22"/>
          <w:lang w:eastAsia="en-US"/>
        </w:rPr>
        <w:t xml:space="preserve"> </w:t>
      </w:r>
      <w:r w:rsidR="009439C4">
        <w:rPr>
          <w:rFonts w:eastAsiaTheme="minorHAnsi"/>
          <w:sz w:val="22"/>
          <w:szCs w:val="22"/>
          <w:lang w:eastAsia="en-US"/>
        </w:rPr>
        <w:t xml:space="preserve">Each target represents a different affected industry. </w:t>
      </w:r>
      <w:r w:rsidR="004B3360">
        <w:rPr>
          <w:sz w:val="22"/>
          <w:szCs w:val="22"/>
        </w:rPr>
        <w:t>O</w:t>
      </w:r>
      <w:r w:rsidR="00B066A2" w:rsidRPr="00233992">
        <w:rPr>
          <w:sz w:val="22"/>
          <w:szCs w:val="22"/>
        </w:rPr>
        <w:t>ther firms belong to the control group.</w:t>
      </w:r>
      <w:r w:rsidR="00245A4A" w:rsidRPr="00233992">
        <w:rPr>
          <w:rFonts w:eastAsiaTheme="minorHAnsi"/>
          <w:sz w:val="22"/>
          <w:szCs w:val="22"/>
          <w:lang w:eastAsia="en-US"/>
        </w:rPr>
        <w:t xml:space="preserve"> </w:t>
      </w:r>
      <w:r w:rsidR="00245A4A" w:rsidRPr="00233992">
        <w:rPr>
          <w:rFonts w:eastAsiaTheme="minorHAnsi"/>
          <w:iCs/>
          <w:sz w:val="22"/>
          <w:szCs w:val="22"/>
          <w:lang w:eastAsia="en-US"/>
        </w:rPr>
        <w:t>CFIUS</w:t>
      </w:r>
      <w:r w:rsidR="009B6EE8" w:rsidRPr="00233992">
        <w:rPr>
          <w:rFonts w:eastAsiaTheme="minorHAnsi"/>
          <w:iCs/>
          <w:sz w:val="22"/>
          <w:szCs w:val="22"/>
          <w:lang w:eastAsia="en-US"/>
        </w:rPr>
        <w:t xml:space="preserve"> </w:t>
      </w:r>
      <w:r w:rsidR="009B6EE8" w:rsidRPr="00233992">
        <w:rPr>
          <w:rFonts w:eastAsiaTheme="minorHAnsi"/>
          <w:sz w:val="22"/>
          <w:szCs w:val="22"/>
          <w:lang w:eastAsia="en-US"/>
        </w:rPr>
        <w:t>Block</w:t>
      </w:r>
      <w:r w:rsidR="009E5C78">
        <w:rPr>
          <w:rFonts w:eastAsiaTheme="minorHAnsi"/>
          <w:sz w:val="22"/>
          <w:szCs w:val="22"/>
          <w:lang w:eastAsia="en-US"/>
        </w:rPr>
        <w:t>, our variable of interest,</w:t>
      </w:r>
      <w:r w:rsidR="00245A4A" w:rsidRPr="00233992">
        <w:rPr>
          <w:rFonts w:eastAsiaTheme="minorHAnsi"/>
          <w:i/>
          <w:iCs/>
          <w:sz w:val="22"/>
          <w:szCs w:val="22"/>
          <w:lang w:eastAsia="en-US"/>
        </w:rPr>
        <w:t xml:space="preserve"> </w:t>
      </w:r>
      <w:r w:rsidR="00245A4A" w:rsidRPr="00233992">
        <w:rPr>
          <w:rFonts w:eastAsiaTheme="minorHAnsi"/>
          <w:sz w:val="22"/>
          <w:szCs w:val="22"/>
          <w:lang w:eastAsia="en-US"/>
        </w:rPr>
        <w:t>equals one in the</w:t>
      </w:r>
      <w:r w:rsidR="008207B2" w:rsidRPr="00233992">
        <w:rPr>
          <w:rFonts w:eastAsiaTheme="minorHAnsi"/>
          <w:sz w:val="22"/>
          <w:szCs w:val="22"/>
          <w:lang w:eastAsia="en-US"/>
        </w:rPr>
        <w:t xml:space="preserve"> </w:t>
      </w:r>
      <w:r w:rsidR="004B3360">
        <w:rPr>
          <w:rFonts w:eastAsiaTheme="minorHAnsi"/>
          <w:sz w:val="22"/>
          <w:szCs w:val="22"/>
          <w:lang w:eastAsia="en-US"/>
        </w:rPr>
        <w:t>three-</w:t>
      </w:r>
      <w:r w:rsidR="00245A4A" w:rsidRPr="00233992">
        <w:rPr>
          <w:rFonts w:eastAsiaTheme="minorHAnsi"/>
          <w:sz w:val="22"/>
          <w:szCs w:val="22"/>
          <w:lang w:eastAsia="en-US"/>
        </w:rPr>
        <w:t>year</w:t>
      </w:r>
      <w:r w:rsidR="004B3360">
        <w:rPr>
          <w:rFonts w:eastAsiaTheme="minorHAnsi"/>
          <w:sz w:val="22"/>
          <w:szCs w:val="22"/>
          <w:lang w:eastAsia="en-US"/>
        </w:rPr>
        <w:t xml:space="preserve"> period</w:t>
      </w:r>
      <w:r w:rsidR="00245A4A" w:rsidRPr="00233992">
        <w:rPr>
          <w:rFonts w:eastAsiaTheme="minorHAnsi"/>
          <w:sz w:val="22"/>
          <w:szCs w:val="22"/>
          <w:lang w:eastAsia="en-US"/>
        </w:rPr>
        <w:t xml:space="preserve"> </w:t>
      </w:r>
      <w:r w:rsidR="000614D9" w:rsidRPr="00233992">
        <w:rPr>
          <w:rFonts w:eastAsiaTheme="minorHAnsi"/>
          <w:sz w:val="22"/>
          <w:szCs w:val="22"/>
          <w:lang w:eastAsia="en-US"/>
        </w:rPr>
        <w:t xml:space="preserve">after </w:t>
      </w:r>
      <w:r w:rsidR="00365779" w:rsidRPr="00233992">
        <w:rPr>
          <w:rFonts w:eastAsiaTheme="minorHAnsi"/>
          <w:sz w:val="22"/>
          <w:szCs w:val="22"/>
          <w:lang w:eastAsia="en-US"/>
        </w:rPr>
        <w:t>CFIUS interventions</w:t>
      </w:r>
      <w:r w:rsidR="00245A4A" w:rsidRPr="00233992">
        <w:rPr>
          <w:rFonts w:eastAsiaTheme="minorHAnsi"/>
          <w:sz w:val="22"/>
          <w:szCs w:val="22"/>
          <w:lang w:eastAsia="en-US"/>
        </w:rPr>
        <w:t xml:space="preserve"> and zero otherwise</w:t>
      </w:r>
      <w:r w:rsidR="00394510" w:rsidRPr="00233992">
        <w:rPr>
          <w:rFonts w:eastAsiaTheme="minorHAnsi"/>
          <w:sz w:val="22"/>
          <w:szCs w:val="22"/>
          <w:lang w:eastAsia="en-US"/>
        </w:rPr>
        <w:t xml:space="preserve"> (</w:t>
      </w:r>
      <w:r w:rsidR="005A4E3A" w:rsidRPr="00233992">
        <w:rPr>
          <w:rFonts w:eastAsiaTheme="minorHAnsi"/>
          <w:sz w:val="22"/>
          <w:szCs w:val="22"/>
          <w:lang w:eastAsia="en-US"/>
        </w:rPr>
        <w:t>post CFIUS intervention # treatment group</w:t>
      </w:r>
      <w:r w:rsidR="00394510" w:rsidRPr="00233992">
        <w:rPr>
          <w:rFonts w:eastAsiaTheme="minorHAnsi"/>
          <w:sz w:val="22"/>
          <w:szCs w:val="22"/>
          <w:lang w:eastAsia="en-US"/>
        </w:rPr>
        <w:t>)</w:t>
      </w:r>
      <w:r w:rsidR="00245A4A" w:rsidRPr="00233992">
        <w:rPr>
          <w:rFonts w:eastAsiaTheme="minorHAnsi"/>
          <w:sz w:val="22"/>
          <w:szCs w:val="22"/>
          <w:lang w:eastAsia="en-US"/>
        </w:rPr>
        <w:t>.</w:t>
      </w:r>
      <w:r w:rsidR="00AE4724" w:rsidRPr="00233992">
        <w:rPr>
          <w:rFonts w:eastAsiaTheme="minorHAnsi"/>
          <w:sz w:val="22"/>
          <w:szCs w:val="22"/>
          <w:lang w:eastAsia="en-US"/>
        </w:rPr>
        <w:t xml:space="preserve"> </w:t>
      </w:r>
      <w:r w:rsidR="009B6EE8" w:rsidRPr="00233992">
        <w:rPr>
          <w:rFonts w:eastAsiaTheme="minorHAnsi"/>
          <w:sz w:val="22"/>
          <w:szCs w:val="22"/>
          <w:lang w:eastAsia="en-US"/>
        </w:rPr>
        <w:t xml:space="preserve">We use </w:t>
      </w:r>
      <w:r w:rsidR="005C1C5C">
        <w:rPr>
          <w:rFonts w:eastAsiaTheme="minorHAnsi"/>
          <w:sz w:val="22"/>
          <w:szCs w:val="22"/>
          <w:lang w:eastAsia="en-US"/>
        </w:rPr>
        <w:t>this variable</w:t>
      </w:r>
      <w:r w:rsidR="009B6EE8" w:rsidRPr="00233992">
        <w:rPr>
          <w:rFonts w:eastAsiaTheme="minorHAnsi"/>
          <w:sz w:val="22"/>
          <w:szCs w:val="22"/>
          <w:lang w:eastAsia="en-US"/>
        </w:rPr>
        <w:t xml:space="preserve"> </w:t>
      </w:r>
      <w:r w:rsidR="00040DDF" w:rsidRPr="00233992">
        <w:rPr>
          <w:rFonts w:eastAsiaTheme="minorHAnsi"/>
          <w:sz w:val="22"/>
          <w:szCs w:val="22"/>
          <w:lang w:eastAsia="en-US"/>
        </w:rPr>
        <w:t xml:space="preserve">to capture </w:t>
      </w:r>
      <w:r w:rsidR="00A01E21" w:rsidRPr="00233992">
        <w:rPr>
          <w:rFonts w:eastAsiaTheme="minorHAnsi"/>
          <w:sz w:val="22"/>
          <w:szCs w:val="22"/>
          <w:lang w:eastAsia="en-US"/>
        </w:rPr>
        <w:t>the implementation of national security policies by CFIUS</w:t>
      </w:r>
      <w:r w:rsidR="009B6EE8" w:rsidRPr="00233992">
        <w:rPr>
          <w:rFonts w:eastAsiaTheme="minorHAnsi"/>
          <w:sz w:val="22"/>
          <w:szCs w:val="22"/>
          <w:lang w:eastAsia="en-US"/>
        </w:rPr>
        <w:t xml:space="preserve">. </w:t>
      </w:r>
      <w:r w:rsidR="00AE4724" w:rsidRPr="00233992">
        <w:rPr>
          <w:rFonts w:eastAsiaTheme="minorHAnsi"/>
          <w:sz w:val="22"/>
          <w:szCs w:val="22"/>
          <w:lang w:eastAsia="en-US"/>
        </w:rPr>
        <w:t>In the main analyses</w:t>
      </w:r>
      <w:r w:rsidR="00557E3C" w:rsidRPr="00233992">
        <w:rPr>
          <w:rFonts w:eastAsiaTheme="minorHAnsi"/>
          <w:sz w:val="22"/>
          <w:szCs w:val="22"/>
          <w:lang w:eastAsia="en-US"/>
        </w:rPr>
        <w:t xml:space="preserve">, </w:t>
      </w:r>
      <w:r w:rsidR="00557E3C" w:rsidRPr="00233992">
        <w:rPr>
          <w:rFonts w:eastAsiaTheme="minorHAnsi"/>
          <w:color w:val="000000" w:themeColor="text1"/>
          <w:sz w:val="22"/>
          <w:szCs w:val="22"/>
          <w:lang w:eastAsia="en-US"/>
        </w:rPr>
        <w:t>w</w:t>
      </w:r>
      <w:r w:rsidR="0010249B" w:rsidRPr="00233992">
        <w:rPr>
          <w:rFonts w:eastAsiaTheme="minorHAnsi"/>
          <w:color w:val="000000" w:themeColor="text1"/>
          <w:sz w:val="22"/>
          <w:szCs w:val="22"/>
          <w:lang w:eastAsia="en-US"/>
        </w:rPr>
        <w:t xml:space="preserve">e limit the </w:t>
      </w:r>
      <w:r w:rsidR="009549BA" w:rsidRPr="00233992">
        <w:rPr>
          <w:rFonts w:eastAsiaTheme="minorHAnsi"/>
          <w:color w:val="000000" w:themeColor="text1"/>
          <w:sz w:val="22"/>
          <w:szCs w:val="22"/>
          <w:lang w:eastAsia="en-US"/>
        </w:rPr>
        <w:t>length of the treatment effect</w:t>
      </w:r>
      <w:r w:rsidR="0010249B" w:rsidRPr="00233992">
        <w:rPr>
          <w:rFonts w:eastAsiaTheme="minorHAnsi"/>
          <w:i/>
          <w:iCs/>
          <w:color w:val="000000" w:themeColor="text1"/>
          <w:sz w:val="22"/>
          <w:szCs w:val="22"/>
          <w:lang w:eastAsia="en-US"/>
        </w:rPr>
        <w:t xml:space="preserve"> </w:t>
      </w:r>
      <w:r w:rsidR="0010249B" w:rsidRPr="00233992">
        <w:rPr>
          <w:rFonts w:eastAsiaTheme="minorHAnsi"/>
          <w:color w:val="000000" w:themeColor="text1"/>
          <w:sz w:val="22"/>
          <w:szCs w:val="22"/>
          <w:lang w:eastAsia="en-US"/>
        </w:rPr>
        <w:t xml:space="preserve">to three years because </w:t>
      </w:r>
      <w:r w:rsidR="009E5C78">
        <w:rPr>
          <w:rFonts w:eastAsiaTheme="minorHAnsi"/>
          <w:color w:val="000000" w:themeColor="text1"/>
          <w:sz w:val="22"/>
          <w:szCs w:val="22"/>
          <w:lang w:eastAsia="en-US"/>
        </w:rPr>
        <w:t>its</w:t>
      </w:r>
      <w:r w:rsidR="0010249B" w:rsidRPr="00233992">
        <w:rPr>
          <w:rFonts w:eastAsiaTheme="minorHAnsi"/>
          <w:color w:val="000000" w:themeColor="text1"/>
          <w:sz w:val="22"/>
          <w:szCs w:val="22"/>
          <w:lang w:eastAsia="en-US"/>
        </w:rPr>
        <w:t xml:space="preserve"> duration is uncertain. In </w:t>
      </w:r>
      <w:r w:rsidR="00A01E21" w:rsidRPr="00233992">
        <w:rPr>
          <w:rFonts w:eastAsiaTheme="minorHAnsi"/>
          <w:color w:val="000000" w:themeColor="text1"/>
          <w:sz w:val="22"/>
          <w:szCs w:val="22"/>
          <w:lang w:eastAsia="en-US"/>
        </w:rPr>
        <w:t>a</w:t>
      </w:r>
      <w:r w:rsidR="0010249B" w:rsidRPr="00233992">
        <w:rPr>
          <w:rFonts w:eastAsiaTheme="minorHAnsi"/>
          <w:color w:val="000000" w:themeColor="text1"/>
          <w:sz w:val="22"/>
          <w:szCs w:val="22"/>
          <w:lang w:eastAsia="en-US"/>
        </w:rPr>
        <w:t xml:space="preserve"> robustness </w:t>
      </w:r>
      <w:r w:rsidR="00A01E21" w:rsidRPr="00233992">
        <w:rPr>
          <w:rFonts w:eastAsiaTheme="minorHAnsi"/>
          <w:color w:val="000000" w:themeColor="text1"/>
          <w:sz w:val="22"/>
          <w:szCs w:val="22"/>
          <w:lang w:eastAsia="en-US"/>
        </w:rPr>
        <w:t>test</w:t>
      </w:r>
      <w:r w:rsidR="00CF5CB2" w:rsidRPr="00233992">
        <w:rPr>
          <w:rFonts w:eastAsiaTheme="minorHAnsi"/>
          <w:color w:val="000000" w:themeColor="text1"/>
          <w:sz w:val="22"/>
          <w:szCs w:val="22"/>
          <w:lang w:eastAsia="en-US"/>
        </w:rPr>
        <w:t>,</w:t>
      </w:r>
      <w:r w:rsidR="00147A1F" w:rsidRPr="00233992">
        <w:rPr>
          <w:rFonts w:eastAsiaTheme="minorHAnsi"/>
          <w:color w:val="000000" w:themeColor="text1"/>
          <w:sz w:val="22"/>
          <w:szCs w:val="22"/>
          <w:lang w:eastAsia="en-US"/>
        </w:rPr>
        <w:t xml:space="preserve"> we vary the length from one to four years and</w:t>
      </w:r>
      <w:r w:rsidR="009549BA" w:rsidRPr="00233992">
        <w:rPr>
          <w:rFonts w:eastAsiaTheme="minorHAnsi"/>
          <w:color w:val="000000" w:themeColor="text1"/>
          <w:sz w:val="22"/>
          <w:szCs w:val="22"/>
          <w:lang w:eastAsia="en-US"/>
        </w:rPr>
        <w:t xml:space="preserve"> </w:t>
      </w:r>
      <w:r w:rsidR="0010249B" w:rsidRPr="00233992">
        <w:rPr>
          <w:rFonts w:eastAsiaTheme="minorHAnsi"/>
          <w:color w:val="000000" w:themeColor="text1"/>
          <w:sz w:val="22"/>
          <w:szCs w:val="22"/>
          <w:lang w:eastAsia="en-US"/>
        </w:rPr>
        <w:t>find similar results</w:t>
      </w:r>
      <w:r w:rsidR="00147A1F" w:rsidRPr="00233992">
        <w:rPr>
          <w:rFonts w:eastAsiaTheme="minorHAnsi"/>
          <w:color w:val="000000" w:themeColor="text1"/>
          <w:sz w:val="22"/>
          <w:szCs w:val="22"/>
          <w:lang w:eastAsia="en-US"/>
        </w:rPr>
        <w:t xml:space="preserve"> (</w:t>
      </w:r>
      <w:r w:rsidR="00447553">
        <w:rPr>
          <w:rFonts w:eastAsiaTheme="minorHAnsi"/>
          <w:color w:val="000000" w:themeColor="text1"/>
          <w:sz w:val="22"/>
          <w:szCs w:val="22"/>
          <w:lang w:eastAsia="en-US"/>
        </w:rPr>
        <w:t xml:space="preserve">see </w:t>
      </w:r>
      <w:r w:rsidR="00147A1F" w:rsidRPr="00233992">
        <w:rPr>
          <w:rFonts w:eastAsiaTheme="minorHAnsi"/>
          <w:color w:val="000000" w:themeColor="text1"/>
          <w:sz w:val="22"/>
          <w:szCs w:val="22"/>
          <w:lang w:eastAsia="en-US"/>
        </w:rPr>
        <w:t xml:space="preserve">Table </w:t>
      </w:r>
      <w:r w:rsidR="004B3360">
        <w:rPr>
          <w:rFonts w:eastAsiaTheme="minorHAnsi"/>
          <w:color w:val="000000" w:themeColor="text1"/>
          <w:sz w:val="22"/>
          <w:szCs w:val="22"/>
          <w:lang w:eastAsia="en-US"/>
        </w:rPr>
        <w:t>15</w:t>
      </w:r>
      <w:r w:rsidR="00147A1F" w:rsidRPr="00233992">
        <w:rPr>
          <w:rFonts w:eastAsiaTheme="minorHAnsi"/>
          <w:color w:val="000000" w:themeColor="text1"/>
          <w:sz w:val="22"/>
          <w:szCs w:val="22"/>
          <w:lang w:eastAsia="en-US"/>
        </w:rPr>
        <w:t>)</w:t>
      </w:r>
      <w:r w:rsidR="0010249B" w:rsidRPr="00233992">
        <w:rPr>
          <w:rFonts w:eastAsiaTheme="minorHAnsi"/>
          <w:color w:val="000000" w:themeColor="text1"/>
          <w:sz w:val="22"/>
          <w:szCs w:val="22"/>
          <w:lang w:eastAsia="en-US"/>
        </w:rPr>
        <w:t>.</w:t>
      </w:r>
      <w:r w:rsidR="00AB6C46" w:rsidRPr="00233992">
        <w:rPr>
          <w:rFonts w:eastAsiaTheme="minorHAnsi"/>
          <w:color w:val="000000" w:themeColor="text1"/>
          <w:sz w:val="22"/>
          <w:szCs w:val="22"/>
          <w:lang w:eastAsia="en-US"/>
        </w:rPr>
        <w:t xml:space="preserve"> </w:t>
      </w:r>
    </w:p>
    <w:p w14:paraId="75553CE1" w14:textId="438667CF" w:rsidR="00064C66" w:rsidRPr="00233992" w:rsidRDefault="000F45AF" w:rsidP="00EB7908">
      <w:pPr>
        <w:widowControl w:val="0"/>
        <w:autoSpaceDE w:val="0"/>
        <w:autoSpaceDN w:val="0"/>
        <w:adjustRightInd w:val="0"/>
        <w:spacing w:line="480" w:lineRule="auto"/>
        <w:jc w:val="both"/>
        <w:rPr>
          <w:rFonts w:eastAsiaTheme="minorHAnsi"/>
          <w:color w:val="000000" w:themeColor="text1"/>
          <w:sz w:val="22"/>
          <w:szCs w:val="22"/>
          <w:lang w:eastAsia="en-US"/>
        </w:rPr>
      </w:pPr>
      <w:r w:rsidRPr="00233992">
        <w:rPr>
          <w:rFonts w:eastAsiaTheme="minorHAnsi"/>
          <w:sz w:val="22"/>
          <w:szCs w:val="22"/>
          <w:lang w:eastAsia="en-US"/>
        </w:rPr>
        <w:tab/>
      </w:r>
      <w:r w:rsidR="00245A4A" w:rsidRPr="00233992">
        <w:rPr>
          <w:rFonts w:eastAsiaTheme="minorHAnsi"/>
          <w:sz w:val="22"/>
          <w:szCs w:val="22"/>
          <w:lang w:eastAsia="en-US"/>
        </w:rPr>
        <w:t>To measure corporate investment, we use capital expenditures (</w:t>
      </w:r>
      <w:r w:rsidR="00245A4A" w:rsidRPr="00233992">
        <w:rPr>
          <w:rFonts w:eastAsiaTheme="minorHAnsi"/>
          <w:iCs/>
          <w:sz w:val="22"/>
          <w:szCs w:val="22"/>
          <w:lang w:eastAsia="en-US"/>
        </w:rPr>
        <w:t>Capex</w:t>
      </w:r>
      <w:r w:rsidR="00245A4A" w:rsidRPr="00233992">
        <w:rPr>
          <w:rFonts w:eastAsiaTheme="minorHAnsi"/>
          <w:sz w:val="22"/>
          <w:szCs w:val="22"/>
          <w:lang w:eastAsia="en-US"/>
        </w:rPr>
        <w:t>)</w:t>
      </w:r>
      <w:r w:rsidR="00EA71A9" w:rsidRPr="00233992">
        <w:rPr>
          <w:rFonts w:eastAsiaTheme="minorHAnsi"/>
          <w:sz w:val="22"/>
          <w:szCs w:val="22"/>
          <w:lang w:eastAsia="en-US"/>
        </w:rPr>
        <w:t>.</w:t>
      </w:r>
      <w:r w:rsidR="00245A4A" w:rsidRPr="00233992">
        <w:rPr>
          <w:rFonts w:eastAsiaTheme="minorHAnsi"/>
          <w:sz w:val="22"/>
          <w:szCs w:val="22"/>
          <w:lang w:eastAsia="en-US"/>
        </w:rPr>
        <w:t xml:space="preserve"> </w:t>
      </w:r>
      <w:r w:rsidR="00245A4A" w:rsidRPr="00233992">
        <w:rPr>
          <w:rFonts w:eastAsiaTheme="minorHAnsi"/>
          <w:iCs/>
          <w:sz w:val="22"/>
          <w:szCs w:val="22"/>
          <w:lang w:eastAsia="en-US"/>
        </w:rPr>
        <w:t>Capex</w:t>
      </w:r>
      <w:r w:rsidR="00245A4A" w:rsidRPr="00233992">
        <w:rPr>
          <w:rFonts w:eastAsiaTheme="minorHAnsi"/>
          <w:sz w:val="22"/>
          <w:szCs w:val="22"/>
          <w:lang w:eastAsia="en-US"/>
        </w:rPr>
        <w:t xml:space="preserve"> is </w:t>
      </w:r>
      <w:r w:rsidR="00F37910" w:rsidRPr="00233992">
        <w:rPr>
          <w:rFonts w:eastAsiaTheme="minorHAnsi"/>
          <w:sz w:val="22"/>
          <w:szCs w:val="22"/>
          <w:lang w:eastAsia="en-US"/>
        </w:rPr>
        <w:t xml:space="preserve">defined as </w:t>
      </w:r>
      <w:r w:rsidR="00245A4A" w:rsidRPr="00233992">
        <w:rPr>
          <w:rFonts w:eastAsiaTheme="minorHAnsi"/>
          <w:sz w:val="22"/>
          <w:szCs w:val="22"/>
          <w:lang w:eastAsia="en-US"/>
        </w:rPr>
        <w:t xml:space="preserve">capital expenditures (Compustat item: CAPX) scaled by lagged </w:t>
      </w:r>
      <w:r w:rsidR="004A0343" w:rsidRPr="00233992">
        <w:rPr>
          <w:rFonts w:eastAsiaTheme="minorHAnsi"/>
          <w:sz w:val="22"/>
          <w:szCs w:val="22"/>
          <w:lang w:eastAsia="en-US"/>
        </w:rPr>
        <w:t xml:space="preserve">net </w:t>
      </w:r>
      <w:r w:rsidR="00245A4A" w:rsidRPr="00233992">
        <w:rPr>
          <w:rFonts w:eastAsiaTheme="minorHAnsi"/>
          <w:sz w:val="22"/>
          <w:szCs w:val="22"/>
          <w:lang w:eastAsia="en-US"/>
        </w:rPr>
        <w:t xml:space="preserve">property, plant, and equipment (PPENT) </w:t>
      </w:r>
      <w:r w:rsidR="00245A4A" w:rsidRPr="00233992">
        <w:rPr>
          <w:sz w:val="22"/>
          <w:szCs w:val="22"/>
        </w:rPr>
        <w:t>(</w:t>
      </w:r>
      <w:bookmarkStart w:id="5" w:name="_Hlk148279769"/>
      <w:r w:rsidR="0044359F">
        <w:rPr>
          <w:sz w:val="22"/>
          <w:szCs w:val="22"/>
        </w:rPr>
        <w:t>Dessaint</w:t>
      </w:r>
      <w:r w:rsidR="0044359F" w:rsidRPr="0044359F">
        <w:rPr>
          <w:sz w:val="22"/>
          <w:szCs w:val="22"/>
        </w:rPr>
        <w:t xml:space="preserve">, Foucault, Frésard, </w:t>
      </w:r>
      <w:r w:rsidR="0044359F" w:rsidRPr="009E743F">
        <w:rPr>
          <w:rFonts w:eastAsiaTheme="minorHAnsi"/>
          <w:sz w:val="22"/>
          <w:szCs w:val="22"/>
          <w:lang w:eastAsia="en-US"/>
        </w:rPr>
        <w:t>&amp;</w:t>
      </w:r>
      <w:r w:rsidR="0044359F">
        <w:rPr>
          <w:rFonts w:eastAsiaTheme="minorHAnsi"/>
          <w:sz w:val="22"/>
          <w:szCs w:val="22"/>
          <w:lang w:eastAsia="en-US"/>
        </w:rPr>
        <w:t xml:space="preserve"> </w:t>
      </w:r>
      <w:r w:rsidR="0044359F" w:rsidRPr="0044359F">
        <w:rPr>
          <w:sz w:val="22"/>
          <w:szCs w:val="22"/>
        </w:rPr>
        <w:t>Matray</w:t>
      </w:r>
      <w:r w:rsidR="00861E76" w:rsidRPr="00233992">
        <w:rPr>
          <w:sz w:val="22"/>
          <w:szCs w:val="22"/>
        </w:rPr>
        <w:t xml:space="preserve">, </w:t>
      </w:r>
      <w:r w:rsidR="00245A4A" w:rsidRPr="00233992">
        <w:rPr>
          <w:sz w:val="22"/>
          <w:szCs w:val="22"/>
        </w:rPr>
        <w:t>2019</w:t>
      </w:r>
      <w:bookmarkEnd w:id="5"/>
      <w:r w:rsidR="00245A4A" w:rsidRPr="00233992">
        <w:rPr>
          <w:sz w:val="22"/>
          <w:szCs w:val="22"/>
        </w:rPr>
        <w:t>)</w:t>
      </w:r>
      <w:r w:rsidR="00245A4A" w:rsidRPr="00233992">
        <w:rPr>
          <w:rFonts w:eastAsiaTheme="minorHAnsi"/>
          <w:sz w:val="22"/>
          <w:szCs w:val="22"/>
          <w:lang w:eastAsia="en-US"/>
        </w:rPr>
        <w:t xml:space="preserve">. </w:t>
      </w:r>
      <w:bookmarkStart w:id="6" w:name="_Hlk131098753"/>
      <w:r w:rsidR="004A0343" w:rsidRPr="00233992">
        <w:rPr>
          <w:rFonts w:eastAsiaTheme="minorHAnsi"/>
          <w:sz w:val="22"/>
          <w:szCs w:val="22"/>
          <w:lang w:eastAsia="en-US"/>
        </w:rPr>
        <w:t>The amount of capital expenditures is typically determined in relation to sales and asset usage. Scaling capital expenditure</w:t>
      </w:r>
      <w:r w:rsidR="00797636" w:rsidRPr="00233992">
        <w:rPr>
          <w:rFonts w:eastAsiaTheme="minorHAnsi"/>
          <w:sz w:val="22"/>
          <w:szCs w:val="22"/>
          <w:lang w:eastAsia="en-US"/>
        </w:rPr>
        <w:t>s</w:t>
      </w:r>
      <w:r w:rsidR="004A0343" w:rsidRPr="00233992">
        <w:rPr>
          <w:rFonts w:eastAsiaTheme="minorHAnsi"/>
          <w:sz w:val="22"/>
          <w:szCs w:val="22"/>
          <w:lang w:eastAsia="en-US"/>
        </w:rPr>
        <w:t xml:space="preserve"> for sales or tota</w:t>
      </w:r>
      <w:r w:rsidR="00E0011E" w:rsidRPr="00233992">
        <w:rPr>
          <w:rFonts w:eastAsiaTheme="minorHAnsi"/>
          <w:sz w:val="22"/>
          <w:szCs w:val="22"/>
          <w:lang w:eastAsia="en-US"/>
        </w:rPr>
        <w:t>l assets yields similar results</w:t>
      </w:r>
      <w:r w:rsidR="009B6EE8" w:rsidRPr="00233992">
        <w:rPr>
          <w:sz w:val="22"/>
          <w:szCs w:val="22"/>
        </w:rPr>
        <w:t xml:space="preserve">. We </w:t>
      </w:r>
      <w:r w:rsidR="00E0011E" w:rsidRPr="00233992">
        <w:rPr>
          <w:sz w:val="22"/>
          <w:szCs w:val="22"/>
        </w:rPr>
        <w:t xml:space="preserve">also </w:t>
      </w:r>
      <w:r w:rsidR="009B6EE8" w:rsidRPr="00233992">
        <w:rPr>
          <w:sz w:val="22"/>
          <w:szCs w:val="22"/>
        </w:rPr>
        <w:t xml:space="preserve">use </w:t>
      </w:r>
      <w:r w:rsidR="00E0011E" w:rsidRPr="00233992">
        <w:rPr>
          <w:sz w:val="22"/>
          <w:szCs w:val="22"/>
        </w:rPr>
        <w:t>a</w:t>
      </w:r>
      <w:r w:rsidR="00DD6DB3" w:rsidRPr="00233992">
        <w:rPr>
          <w:sz w:val="22"/>
          <w:szCs w:val="22"/>
        </w:rPr>
        <w:t xml:space="preserve"> comprehensive set of investment proxies </w:t>
      </w:r>
      <w:r w:rsidR="009B6EE8" w:rsidRPr="00233992">
        <w:rPr>
          <w:sz w:val="22"/>
          <w:szCs w:val="22"/>
        </w:rPr>
        <w:t xml:space="preserve">to rule out the possibility </w:t>
      </w:r>
      <w:r w:rsidR="00D4686C" w:rsidRPr="00233992">
        <w:rPr>
          <w:sz w:val="22"/>
          <w:szCs w:val="22"/>
        </w:rPr>
        <w:t>of</w:t>
      </w:r>
      <w:r w:rsidR="009B6EE8" w:rsidRPr="00233992">
        <w:rPr>
          <w:sz w:val="22"/>
          <w:szCs w:val="22"/>
        </w:rPr>
        <w:t xml:space="preserve"> </w:t>
      </w:r>
      <w:r w:rsidR="0054675C" w:rsidRPr="00233992">
        <w:rPr>
          <w:sz w:val="22"/>
          <w:szCs w:val="22"/>
        </w:rPr>
        <w:t xml:space="preserve">any </w:t>
      </w:r>
      <w:r w:rsidR="009B6EE8" w:rsidRPr="00233992">
        <w:rPr>
          <w:sz w:val="22"/>
          <w:szCs w:val="22"/>
        </w:rPr>
        <w:t>shift</w:t>
      </w:r>
      <w:r w:rsidR="0054675C" w:rsidRPr="00233992">
        <w:rPr>
          <w:sz w:val="22"/>
          <w:szCs w:val="22"/>
        </w:rPr>
        <w:t>s</w:t>
      </w:r>
      <w:r w:rsidR="009B6EE8" w:rsidRPr="00233992">
        <w:rPr>
          <w:sz w:val="22"/>
          <w:szCs w:val="22"/>
        </w:rPr>
        <w:t xml:space="preserve"> from </w:t>
      </w:r>
      <w:r w:rsidR="00365779" w:rsidRPr="00233992">
        <w:rPr>
          <w:rFonts w:eastAsiaTheme="minorHAnsi"/>
          <w:sz w:val="22"/>
          <w:szCs w:val="22"/>
          <w:lang w:eastAsia="en-US"/>
        </w:rPr>
        <w:t xml:space="preserve">capital expenditures </w:t>
      </w:r>
      <w:r w:rsidR="009B6EE8" w:rsidRPr="00233992">
        <w:rPr>
          <w:sz w:val="22"/>
          <w:szCs w:val="22"/>
        </w:rPr>
        <w:t>to other types of investments.</w:t>
      </w:r>
      <w:r w:rsidR="00DD6DB3" w:rsidRPr="00233992">
        <w:rPr>
          <w:sz w:val="22"/>
          <w:szCs w:val="22"/>
        </w:rPr>
        <w:t xml:space="preserve"> </w:t>
      </w:r>
      <w:r w:rsidR="00DD6DB3" w:rsidRPr="00233992">
        <w:rPr>
          <w:iCs/>
          <w:sz w:val="22"/>
          <w:szCs w:val="22"/>
        </w:rPr>
        <w:t>Acquisitions</w:t>
      </w:r>
      <w:r w:rsidR="00DD6DB3" w:rsidRPr="00233992">
        <w:rPr>
          <w:sz w:val="22"/>
          <w:szCs w:val="22"/>
        </w:rPr>
        <w:t xml:space="preserve"> is defined as </w:t>
      </w:r>
      <w:r w:rsidR="00DD6DB3" w:rsidRPr="00233992">
        <w:rPr>
          <w:sz w:val="22"/>
          <w:szCs w:val="22"/>
        </w:rPr>
        <w:lastRenderedPageBreak/>
        <w:t>acquisition expenditures (AQC) scaled by total assets (AT).</w:t>
      </w:r>
      <w:r w:rsidR="009B6EE8" w:rsidRPr="00233992">
        <w:rPr>
          <w:iCs/>
          <w:sz w:val="22"/>
          <w:szCs w:val="22"/>
        </w:rPr>
        <w:t xml:space="preserve"> </w:t>
      </w:r>
      <w:r w:rsidR="00DD6DB3" w:rsidRPr="00233992">
        <w:rPr>
          <w:iCs/>
          <w:sz w:val="22"/>
          <w:szCs w:val="22"/>
        </w:rPr>
        <w:t xml:space="preserve">R&amp;D </w:t>
      </w:r>
      <w:r w:rsidR="00DD6DB3" w:rsidRPr="00233992">
        <w:rPr>
          <w:sz w:val="22"/>
          <w:szCs w:val="22"/>
        </w:rPr>
        <w:t>is equal to research and development expenditure</w:t>
      </w:r>
      <w:r w:rsidR="00F37910" w:rsidRPr="00233992">
        <w:rPr>
          <w:sz w:val="22"/>
          <w:szCs w:val="22"/>
        </w:rPr>
        <w:t>s</w:t>
      </w:r>
      <w:r w:rsidR="00DD6DB3" w:rsidRPr="00233992">
        <w:rPr>
          <w:sz w:val="22"/>
          <w:szCs w:val="22"/>
        </w:rPr>
        <w:t xml:space="preserve"> (XRD) divided by total assets (AT). </w:t>
      </w:r>
      <w:r w:rsidR="009B6EE8" w:rsidRPr="00233992">
        <w:rPr>
          <w:iCs/>
          <w:sz w:val="22"/>
          <w:szCs w:val="22"/>
        </w:rPr>
        <w:t xml:space="preserve">Investments </w:t>
      </w:r>
      <w:r w:rsidR="009B6EE8" w:rsidRPr="00233992">
        <w:rPr>
          <w:sz w:val="22"/>
          <w:szCs w:val="22"/>
        </w:rPr>
        <w:t>is the sum of research and development (XRD), capital (CAPX), and acquisition expenditures (AQC) minus cash receipts from sale of property, plant, and equipment (SPPE), scaled by total assets (AT) (</w:t>
      </w:r>
      <w:bookmarkStart w:id="7" w:name="_Hlk148279760"/>
      <w:r w:rsidR="00B84475" w:rsidRPr="00233992">
        <w:rPr>
          <w:sz w:val="22"/>
          <w:szCs w:val="22"/>
        </w:rPr>
        <w:t xml:space="preserve">Balakrishnan, Core, </w:t>
      </w:r>
      <w:r w:rsidR="009E5C78" w:rsidRPr="009E743F">
        <w:rPr>
          <w:rFonts w:eastAsiaTheme="minorHAnsi"/>
          <w:sz w:val="22"/>
          <w:szCs w:val="22"/>
          <w:lang w:eastAsia="en-US"/>
        </w:rPr>
        <w:t>&amp;</w:t>
      </w:r>
      <w:r w:rsidR="009E5C78">
        <w:rPr>
          <w:rFonts w:eastAsiaTheme="minorHAnsi"/>
          <w:sz w:val="22"/>
          <w:szCs w:val="22"/>
          <w:lang w:eastAsia="en-US"/>
        </w:rPr>
        <w:t xml:space="preserve"> </w:t>
      </w:r>
      <w:r w:rsidR="00B84475" w:rsidRPr="00233992">
        <w:rPr>
          <w:sz w:val="22"/>
          <w:szCs w:val="22"/>
        </w:rPr>
        <w:t>Verdi</w:t>
      </w:r>
      <w:r w:rsidR="00AA2D63" w:rsidRPr="00233992">
        <w:rPr>
          <w:sz w:val="22"/>
          <w:szCs w:val="22"/>
        </w:rPr>
        <w:t xml:space="preserve">, </w:t>
      </w:r>
      <w:r w:rsidR="009B6EE8" w:rsidRPr="00233992">
        <w:rPr>
          <w:sz w:val="22"/>
          <w:szCs w:val="22"/>
        </w:rPr>
        <w:t>2014</w:t>
      </w:r>
      <w:bookmarkEnd w:id="7"/>
      <w:r w:rsidR="009B6EE8" w:rsidRPr="00233992">
        <w:rPr>
          <w:sz w:val="22"/>
          <w:szCs w:val="22"/>
        </w:rPr>
        <w:t>).</w:t>
      </w:r>
      <w:r w:rsidR="00EA1236" w:rsidRPr="00233992">
        <w:rPr>
          <w:sz w:val="22"/>
          <w:szCs w:val="22"/>
        </w:rPr>
        <w:t xml:space="preserve"> We replace missing values of XRD, AQC, and SPPE with zeros. We do not use </w:t>
      </w:r>
      <w:r w:rsidR="00EA1236" w:rsidRPr="00233992">
        <w:rPr>
          <w:iCs/>
          <w:sz w:val="22"/>
          <w:szCs w:val="22"/>
        </w:rPr>
        <w:t>Investments</w:t>
      </w:r>
      <w:r w:rsidR="00EA1236" w:rsidRPr="00233992">
        <w:rPr>
          <w:sz w:val="22"/>
          <w:szCs w:val="22"/>
        </w:rPr>
        <w:t xml:space="preserve"> in our main analys</w:t>
      </w:r>
      <w:r w:rsidR="00225FB4" w:rsidRPr="00233992">
        <w:rPr>
          <w:sz w:val="22"/>
          <w:szCs w:val="22"/>
        </w:rPr>
        <w:t>e</w:t>
      </w:r>
      <w:r w:rsidR="00EA1236" w:rsidRPr="00233992">
        <w:rPr>
          <w:sz w:val="22"/>
          <w:szCs w:val="22"/>
        </w:rPr>
        <w:t>s because R&amp;D is a metric that firms report on a voluntary basis and is no</w:t>
      </w:r>
      <w:r w:rsidR="00AA2D63" w:rsidRPr="00233992">
        <w:rPr>
          <w:sz w:val="22"/>
          <w:szCs w:val="22"/>
        </w:rPr>
        <w:t xml:space="preserve">t always accurate (Koh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AA2D63" w:rsidRPr="00233992">
        <w:rPr>
          <w:sz w:val="22"/>
          <w:szCs w:val="22"/>
        </w:rPr>
        <w:t xml:space="preserve">Reeb, </w:t>
      </w:r>
      <w:r w:rsidR="00EA1236" w:rsidRPr="00233992">
        <w:rPr>
          <w:sz w:val="22"/>
          <w:szCs w:val="22"/>
        </w:rPr>
        <w:t>2015).</w:t>
      </w:r>
    </w:p>
    <w:bookmarkEnd w:id="6"/>
    <w:p w14:paraId="183C9AFB" w14:textId="2C854D47" w:rsidR="00245A4A" w:rsidRPr="00233992" w:rsidRDefault="000F45AF" w:rsidP="00233992">
      <w:pPr>
        <w:widowControl w:val="0"/>
        <w:autoSpaceDE w:val="0"/>
        <w:autoSpaceDN w:val="0"/>
        <w:adjustRightInd w:val="0"/>
        <w:spacing w:line="480" w:lineRule="auto"/>
        <w:jc w:val="both"/>
        <w:rPr>
          <w:sz w:val="22"/>
          <w:szCs w:val="22"/>
        </w:rPr>
      </w:pPr>
      <w:r w:rsidRPr="00233992">
        <w:rPr>
          <w:rFonts w:eastAsiaTheme="minorHAnsi"/>
          <w:sz w:val="22"/>
          <w:szCs w:val="22"/>
          <w:lang w:eastAsia="en-US"/>
        </w:rPr>
        <w:tab/>
      </w:r>
      <w:r w:rsidR="00245A4A" w:rsidRPr="00233992">
        <w:rPr>
          <w:sz w:val="22"/>
          <w:szCs w:val="22"/>
        </w:rPr>
        <w:t xml:space="preserve">In our models, we control for a number of variables </w:t>
      </w:r>
      <w:r w:rsidR="0068425C" w:rsidRPr="00233992">
        <w:rPr>
          <w:sz w:val="22"/>
          <w:szCs w:val="22"/>
        </w:rPr>
        <w:t>relate</w:t>
      </w:r>
      <w:r w:rsidR="009E5C78">
        <w:rPr>
          <w:sz w:val="22"/>
          <w:szCs w:val="22"/>
        </w:rPr>
        <w:t>d</w:t>
      </w:r>
      <w:r w:rsidR="0068425C" w:rsidRPr="00233992">
        <w:rPr>
          <w:sz w:val="22"/>
          <w:szCs w:val="22"/>
        </w:rPr>
        <w:t xml:space="preserve"> to</w:t>
      </w:r>
      <w:r w:rsidR="00245A4A" w:rsidRPr="00233992">
        <w:rPr>
          <w:sz w:val="22"/>
          <w:szCs w:val="22"/>
        </w:rPr>
        <w:t xml:space="preserve"> </w:t>
      </w:r>
      <w:r w:rsidR="00741870" w:rsidRPr="00233992">
        <w:rPr>
          <w:sz w:val="22"/>
          <w:szCs w:val="22"/>
        </w:rPr>
        <w:t>corporate investment</w:t>
      </w:r>
      <w:r w:rsidR="00245A4A" w:rsidRPr="00233992">
        <w:rPr>
          <w:sz w:val="22"/>
          <w:szCs w:val="22"/>
        </w:rPr>
        <w:t xml:space="preserve"> (Dessaint</w:t>
      </w:r>
      <w:r w:rsidR="007C6D2D" w:rsidRPr="00233992">
        <w:rPr>
          <w:sz w:val="22"/>
          <w:szCs w:val="22"/>
        </w:rPr>
        <w:t xml:space="preserve"> </w:t>
      </w:r>
      <w:r w:rsidR="007C6D2D" w:rsidRPr="000137AC">
        <w:rPr>
          <w:sz w:val="22"/>
          <w:szCs w:val="22"/>
        </w:rPr>
        <w:t>et al.</w:t>
      </w:r>
      <w:r w:rsidR="0014184E" w:rsidRPr="00233992">
        <w:rPr>
          <w:sz w:val="22"/>
          <w:szCs w:val="22"/>
        </w:rPr>
        <w:t>,</w:t>
      </w:r>
      <w:r w:rsidR="00245A4A" w:rsidRPr="00233992">
        <w:rPr>
          <w:sz w:val="22"/>
          <w:szCs w:val="22"/>
        </w:rPr>
        <w:t xml:space="preserve"> 2019). Cash flow is defined as the ratio of operating activities net cash flow (OANCF) over total assets (AT). Leverage equals the current portion of debt (DLC) plus the long</w:t>
      </w:r>
      <w:r w:rsidR="00405BC6" w:rsidRPr="00233992">
        <w:rPr>
          <w:sz w:val="22"/>
          <w:szCs w:val="22"/>
        </w:rPr>
        <w:t>-</w:t>
      </w:r>
      <w:r w:rsidR="00245A4A" w:rsidRPr="00233992">
        <w:rPr>
          <w:sz w:val="22"/>
          <w:szCs w:val="22"/>
        </w:rPr>
        <w:t xml:space="preserve">term portion of debt (DLTT) scaled by total assets (AT). Size equals the logarithm of total assets (AT). Tobin’s Q is the market value of equity (PRCC*CSHO) plus </w:t>
      </w:r>
      <w:r w:rsidR="00C74CA4">
        <w:rPr>
          <w:sz w:val="22"/>
          <w:szCs w:val="22"/>
        </w:rPr>
        <w:t xml:space="preserve">the </w:t>
      </w:r>
      <w:r w:rsidR="00245A4A" w:rsidRPr="00233992">
        <w:rPr>
          <w:sz w:val="22"/>
          <w:szCs w:val="22"/>
        </w:rPr>
        <w:t>book value of debt (AT – CEQ), scaled by total assets (AT).</w:t>
      </w:r>
    </w:p>
    <w:p w14:paraId="787FB2E4" w14:textId="27BA6EEF" w:rsidR="00D8415C" w:rsidRPr="00233992" w:rsidRDefault="0063001C" w:rsidP="00233992">
      <w:pPr>
        <w:pStyle w:val="Normal2"/>
        <w:jc w:val="center"/>
        <w:rPr>
          <w:sz w:val="22"/>
          <w:szCs w:val="22"/>
        </w:rPr>
      </w:pPr>
      <w:r w:rsidRPr="00233992">
        <w:rPr>
          <w:sz w:val="22"/>
          <w:szCs w:val="22"/>
          <w:lang w:eastAsia="fr-FR"/>
        </w:rPr>
        <w:t xml:space="preserve">[Insert Table </w:t>
      </w:r>
      <w:r w:rsidR="00EB3F4A">
        <w:rPr>
          <w:sz w:val="22"/>
          <w:szCs w:val="22"/>
          <w:lang w:eastAsia="fr-FR"/>
        </w:rPr>
        <w:t>3</w:t>
      </w:r>
      <w:r w:rsidR="00D8415C" w:rsidRPr="00233992">
        <w:rPr>
          <w:sz w:val="22"/>
          <w:szCs w:val="22"/>
          <w:lang w:eastAsia="fr-FR"/>
        </w:rPr>
        <w:t xml:space="preserve"> here]</w:t>
      </w:r>
    </w:p>
    <w:p w14:paraId="224E5B69" w14:textId="3E56C172" w:rsidR="00245A4A" w:rsidRPr="00233992" w:rsidRDefault="00C24673" w:rsidP="00233992">
      <w:pPr>
        <w:widowControl w:val="0"/>
        <w:autoSpaceDE w:val="0"/>
        <w:autoSpaceDN w:val="0"/>
        <w:adjustRightInd w:val="0"/>
        <w:spacing w:line="480" w:lineRule="auto"/>
        <w:ind w:firstLine="720"/>
        <w:jc w:val="both"/>
        <w:rPr>
          <w:sz w:val="22"/>
          <w:szCs w:val="22"/>
        </w:rPr>
      </w:pPr>
      <w:r w:rsidRPr="00233992">
        <w:rPr>
          <w:sz w:val="22"/>
          <w:szCs w:val="22"/>
        </w:rPr>
        <w:t xml:space="preserve">We </w:t>
      </w:r>
      <w:r w:rsidR="00502402" w:rsidRPr="00233992">
        <w:rPr>
          <w:sz w:val="22"/>
          <w:szCs w:val="22"/>
        </w:rPr>
        <w:t xml:space="preserve">provide variable definitions in Appendix </w:t>
      </w:r>
      <w:r w:rsidR="00852931" w:rsidRPr="00233992">
        <w:rPr>
          <w:sz w:val="22"/>
          <w:szCs w:val="22"/>
        </w:rPr>
        <w:t>C</w:t>
      </w:r>
      <w:r w:rsidR="00365779" w:rsidRPr="00233992">
        <w:rPr>
          <w:sz w:val="22"/>
          <w:szCs w:val="22"/>
        </w:rPr>
        <w:t xml:space="preserve">. We </w:t>
      </w:r>
      <w:r w:rsidRPr="00233992">
        <w:rPr>
          <w:sz w:val="22"/>
          <w:szCs w:val="22"/>
        </w:rPr>
        <w:t>present descriptive statistics</w:t>
      </w:r>
      <w:r w:rsidR="00447C5E" w:rsidRPr="00233992">
        <w:rPr>
          <w:sz w:val="22"/>
          <w:szCs w:val="22"/>
        </w:rPr>
        <w:t xml:space="preserve"> and correlation matrix in Panel</w:t>
      </w:r>
      <w:r w:rsidR="00405BC6" w:rsidRPr="00233992">
        <w:rPr>
          <w:sz w:val="22"/>
          <w:szCs w:val="22"/>
        </w:rPr>
        <w:t>s</w:t>
      </w:r>
      <w:r w:rsidR="00447C5E" w:rsidRPr="00233992">
        <w:rPr>
          <w:sz w:val="22"/>
          <w:szCs w:val="22"/>
        </w:rPr>
        <w:t xml:space="preserve"> A and B of Table </w:t>
      </w:r>
      <w:r w:rsidR="00A665A3">
        <w:rPr>
          <w:sz w:val="22"/>
          <w:szCs w:val="22"/>
          <w:lang w:eastAsia="fr-FR"/>
        </w:rPr>
        <w:t>3</w:t>
      </w:r>
      <w:r w:rsidR="0063001C" w:rsidRPr="00233992">
        <w:rPr>
          <w:sz w:val="22"/>
          <w:szCs w:val="22"/>
          <w:lang w:eastAsia="fr-FR"/>
        </w:rPr>
        <w:t xml:space="preserve"> </w:t>
      </w:r>
      <w:r w:rsidR="00447C5E" w:rsidRPr="00233992">
        <w:rPr>
          <w:sz w:val="22"/>
          <w:szCs w:val="22"/>
        </w:rPr>
        <w:t>respectively</w:t>
      </w:r>
      <w:r w:rsidRPr="00233992">
        <w:rPr>
          <w:sz w:val="22"/>
          <w:szCs w:val="22"/>
        </w:rPr>
        <w:t xml:space="preserve">. </w:t>
      </w:r>
      <w:r w:rsidR="00245A4A" w:rsidRPr="00233992">
        <w:rPr>
          <w:sz w:val="22"/>
          <w:szCs w:val="22"/>
        </w:rPr>
        <w:t xml:space="preserve">All continuous variables are winsorized at the </w:t>
      </w:r>
      <w:r w:rsidR="00B36789" w:rsidRPr="00233992">
        <w:rPr>
          <w:sz w:val="22"/>
          <w:szCs w:val="22"/>
        </w:rPr>
        <w:t>1st and the 99th percentiles</w:t>
      </w:r>
      <w:r w:rsidR="00245A4A" w:rsidRPr="00233992">
        <w:rPr>
          <w:sz w:val="22"/>
          <w:szCs w:val="22"/>
        </w:rPr>
        <w:t xml:space="preserve">. </w:t>
      </w:r>
      <w:r w:rsidR="00883463" w:rsidRPr="00233992">
        <w:rPr>
          <w:iCs/>
          <w:sz w:val="22"/>
          <w:szCs w:val="22"/>
        </w:rPr>
        <w:t>T</w:t>
      </w:r>
      <w:r w:rsidR="00893F30" w:rsidRPr="00233992">
        <w:rPr>
          <w:iCs/>
          <w:sz w:val="22"/>
          <w:szCs w:val="22"/>
        </w:rPr>
        <w:t>reatment group</w:t>
      </w:r>
      <w:r w:rsidR="00893F30" w:rsidRPr="00233992">
        <w:rPr>
          <w:sz w:val="22"/>
          <w:szCs w:val="22"/>
        </w:rPr>
        <w:t xml:space="preserve"> covers almost 15% of the sample</w:t>
      </w:r>
      <w:r w:rsidRPr="00233992">
        <w:rPr>
          <w:sz w:val="22"/>
          <w:szCs w:val="22"/>
        </w:rPr>
        <w:t xml:space="preserve">. </w:t>
      </w:r>
      <w:r w:rsidR="005A4E3A" w:rsidRPr="00233992">
        <w:rPr>
          <w:iCs/>
          <w:sz w:val="22"/>
          <w:szCs w:val="22"/>
        </w:rPr>
        <w:t>CFIUS</w:t>
      </w:r>
      <w:r w:rsidR="005A4E3A" w:rsidRPr="00233992">
        <w:rPr>
          <w:sz w:val="22"/>
          <w:szCs w:val="22"/>
        </w:rPr>
        <w:t xml:space="preserve"> </w:t>
      </w:r>
      <w:r w:rsidR="005C1C5C" w:rsidRPr="00233992">
        <w:rPr>
          <w:sz w:val="22"/>
          <w:szCs w:val="22"/>
        </w:rPr>
        <w:t xml:space="preserve">Block </w:t>
      </w:r>
      <w:r w:rsidR="00893F30" w:rsidRPr="00233992">
        <w:rPr>
          <w:sz w:val="22"/>
          <w:szCs w:val="22"/>
        </w:rPr>
        <w:t>impacts 4</w:t>
      </w:r>
      <w:r w:rsidR="005C1C5C">
        <w:rPr>
          <w:sz w:val="22"/>
          <w:szCs w:val="22"/>
        </w:rPr>
        <w:t>.5</w:t>
      </w:r>
      <w:r w:rsidR="00893F30" w:rsidRPr="00233992">
        <w:rPr>
          <w:sz w:val="22"/>
          <w:szCs w:val="22"/>
        </w:rPr>
        <w:t xml:space="preserve">% of </w:t>
      </w:r>
      <w:r w:rsidR="00315501" w:rsidRPr="00233992">
        <w:rPr>
          <w:sz w:val="22"/>
          <w:szCs w:val="22"/>
        </w:rPr>
        <w:t>firm-year observations</w:t>
      </w:r>
      <w:r w:rsidR="00245A4A" w:rsidRPr="00233992">
        <w:rPr>
          <w:sz w:val="22"/>
          <w:szCs w:val="22"/>
        </w:rPr>
        <w:t>.</w:t>
      </w:r>
      <w:r w:rsidR="00175CD4" w:rsidRPr="00233992">
        <w:rPr>
          <w:sz w:val="22"/>
          <w:szCs w:val="22"/>
        </w:rPr>
        <w:t xml:space="preserve"> </w:t>
      </w:r>
      <w:r w:rsidR="00245A4A" w:rsidRPr="00233992">
        <w:rPr>
          <w:sz w:val="22"/>
          <w:szCs w:val="22"/>
        </w:rPr>
        <w:t xml:space="preserve">Firms spend </w:t>
      </w:r>
      <w:r w:rsidR="00893F30" w:rsidRPr="00233992">
        <w:rPr>
          <w:sz w:val="22"/>
          <w:szCs w:val="22"/>
        </w:rPr>
        <w:t>37</w:t>
      </w:r>
      <w:r w:rsidR="00245A4A" w:rsidRPr="00233992">
        <w:rPr>
          <w:sz w:val="22"/>
          <w:szCs w:val="22"/>
        </w:rPr>
        <w:t xml:space="preserve">% of </w:t>
      </w:r>
      <w:r w:rsidR="00883463" w:rsidRPr="00233992">
        <w:rPr>
          <w:sz w:val="22"/>
          <w:szCs w:val="22"/>
        </w:rPr>
        <w:t xml:space="preserve">net </w:t>
      </w:r>
      <w:r w:rsidR="00245A4A" w:rsidRPr="00233992">
        <w:rPr>
          <w:sz w:val="22"/>
          <w:szCs w:val="22"/>
        </w:rPr>
        <w:t xml:space="preserve">property, plant, and equipment on </w:t>
      </w:r>
      <w:r w:rsidR="008C236D" w:rsidRPr="00233992">
        <w:rPr>
          <w:rFonts w:eastAsiaTheme="minorHAnsi"/>
          <w:iCs/>
          <w:sz w:val="22"/>
          <w:szCs w:val="22"/>
          <w:lang w:eastAsia="en-US"/>
        </w:rPr>
        <w:t>Capex</w:t>
      </w:r>
      <w:r w:rsidR="00245A4A" w:rsidRPr="00233992">
        <w:rPr>
          <w:sz w:val="22"/>
          <w:szCs w:val="22"/>
        </w:rPr>
        <w:t xml:space="preserve">, on average, with a median of </w:t>
      </w:r>
      <w:r w:rsidR="00893F30" w:rsidRPr="00233992">
        <w:rPr>
          <w:sz w:val="22"/>
          <w:szCs w:val="22"/>
        </w:rPr>
        <w:t>19</w:t>
      </w:r>
      <w:r w:rsidR="00245A4A" w:rsidRPr="00233992">
        <w:rPr>
          <w:sz w:val="22"/>
          <w:szCs w:val="22"/>
        </w:rPr>
        <w:t xml:space="preserve">%, and spend </w:t>
      </w:r>
      <w:r w:rsidR="00893F30" w:rsidRPr="00233992">
        <w:rPr>
          <w:sz w:val="22"/>
          <w:szCs w:val="22"/>
        </w:rPr>
        <w:t>16</w:t>
      </w:r>
      <w:r w:rsidR="00245A4A" w:rsidRPr="00233992">
        <w:rPr>
          <w:sz w:val="22"/>
          <w:szCs w:val="22"/>
        </w:rPr>
        <w:t xml:space="preserve">% of total assets on </w:t>
      </w:r>
      <w:r w:rsidR="008C236D" w:rsidRPr="00233992">
        <w:rPr>
          <w:iCs/>
          <w:sz w:val="22"/>
          <w:szCs w:val="22"/>
        </w:rPr>
        <w:t>Investments</w:t>
      </w:r>
      <w:r w:rsidR="00245A4A" w:rsidRPr="00233992">
        <w:rPr>
          <w:sz w:val="22"/>
          <w:szCs w:val="22"/>
        </w:rPr>
        <w:t>, on av</w:t>
      </w:r>
      <w:r w:rsidR="009537CB" w:rsidRPr="00233992">
        <w:rPr>
          <w:sz w:val="22"/>
          <w:szCs w:val="22"/>
        </w:rPr>
        <w:t>erage, with a median of 8%.</w:t>
      </w:r>
    </w:p>
    <w:p w14:paraId="3A94E184" w14:textId="77777777" w:rsidR="001D0FFF" w:rsidRPr="00233992" w:rsidRDefault="001D0FFF" w:rsidP="00233992">
      <w:pPr>
        <w:widowControl w:val="0"/>
        <w:autoSpaceDE w:val="0"/>
        <w:autoSpaceDN w:val="0"/>
        <w:adjustRightInd w:val="0"/>
        <w:spacing w:line="480" w:lineRule="auto"/>
        <w:jc w:val="both"/>
        <w:rPr>
          <w:sz w:val="22"/>
          <w:szCs w:val="22"/>
        </w:rPr>
      </w:pPr>
    </w:p>
    <w:p w14:paraId="33158C8F" w14:textId="577A45D5" w:rsidR="00245A4A" w:rsidRPr="00233992" w:rsidRDefault="00DC0006" w:rsidP="00233992">
      <w:pPr>
        <w:pStyle w:val="Paragraphedeliste"/>
        <w:numPr>
          <w:ilvl w:val="0"/>
          <w:numId w:val="5"/>
        </w:numPr>
        <w:spacing w:line="480" w:lineRule="auto"/>
        <w:jc w:val="both"/>
        <w:rPr>
          <w:rFonts w:eastAsiaTheme="minorHAnsi"/>
          <w:b/>
          <w:bCs/>
          <w:sz w:val="22"/>
          <w:szCs w:val="22"/>
          <w:lang w:eastAsia="en-US"/>
        </w:rPr>
      </w:pPr>
      <w:r>
        <w:rPr>
          <w:rFonts w:eastAsiaTheme="minorHAnsi"/>
          <w:b/>
          <w:bCs/>
          <w:sz w:val="22"/>
          <w:szCs w:val="22"/>
          <w:lang w:eastAsia="en-US"/>
        </w:rPr>
        <w:t xml:space="preserve"> </w:t>
      </w:r>
      <w:r w:rsidR="006F35E1">
        <w:rPr>
          <w:rFonts w:eastAsiaTheme="minorHAnsi"/>
          <w:b/>
          <w:bCs/>
          <w:sz w:val="22"/>
          <w:szCs w:val="22"/>
          <w:lang w:eastAsia="en-US"/>
        </w:rPr>
        <w:t>CFIUS i</w:t>
      </w:r>
      <w:r w:rsidR="00905925">
        <w:rPr>
          <w:rFonts w:eastAsiaTheme="minorHAnsi"/>
          <w:b/>
          <w:bCs/>
          <w:sz w:val="22"/>
          <w:szCs w:val="22"/>
          <w:lang w:eastAsia="en-US"/>
        </w:rPr>
        <w:t xml:space="preserve">nterventions and </w:t>
      </w:r>
      <w:r w:rsidR="006F35E1">
        <w:rPr>
          <w:rFonts w:eastAsiaTheme="minorHAnsi"/>
          <w:b/>
          <w:bCs/>
          <w:sz w:val="22"/>
          <w:szCs w:val="22"/>
          <w:lang w:eastAsia="en-US"/>
        </w:rPr>
        <w:t>corporate i</w:t>
      </w:r>
      <w:r>
        <w:rPr>
          <w:rFonts w:eastAsiaTheme="minorHAnsi"/>
          <w:b/>
          <w:bCs/>
          <w:sz w:val="22"/>
          <w:szCs w:val="22"/>
          <w:lang w:eastAsia="en-US"/>
        </w:rPr>
        <w:t>nvestment</w:t>
      </w:r>
    </w:p>
    <w:p w14:paraId="02FA4A62" w14:textId="47832509" w:rsidR="00245A4A" w:rsidRPr="00233992" w:rsidRDefault="00F2598A"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245A4A" w:rsidRPr="00233992">
        <w:rPr>
          <w:rFonts w:eastAsiaTheme="minorHAnsi"/>
          <w:sz w:val="22"/>
          <w:szCs w:val="22"/>
          <w:lang w:eastAsia="en-US"/>
        </w:rPr>
        <w:t xml:space="preserve">We </w:t>
      </w:r>
      <w:r w:rsidR="009537CB" w:rsidRPr="00233992">
        <w:rPr>
          <w:rFonts w:eastAsiaTheme="minorHAnsi"/>
          <w:sz w:val="22"/>
          <w:szCs w:val="22"/>
          <w:lang w:eastAsia="en-US"/>
        </w:rPr>
        <w:t>investigate</w:t>
      </w:r>
      <w:r w:rsidR="00B01E3C" w:rsidRPr="00233992">
        <w:rPr>
          <w:rFonts w:eastAsiaTheme="minorHAnsi"/>
          <w:sz w:val="22"/>
          <w:szCs w:val="22"/>
          <w:lang w:eastAsia="en-US"/>
        </w:rPr>
        <w:t xml:space="preserve"> whether and</w:t>
      </w:r>
      <w:r w:rsidR="00245A4A" w:rsidRPr="00233992">
        <w:rPr>
          <w:rFonts w:eastAsiaTheme="minorHAnsi"/>
          <w:sz w:val="22"/>
          <w:szCs w:val="22"/>
          <w:lang w:eastAsia="en-US"/>
        </w:rPr>
        <w:t xml:space="preserve"> how </w:t>
      </w:r>
      <w:r w:rsidR="00383A33" w:rsidRPr="00233992">
        <w:rPr>
          <w:rFonts w:eastAsiaTheme="minorHAnsi"/>
          <w:sz w:val="22"/>
          <w:szCs w:val="22"/>
          <w:lang w:eastAsia="en-US"/>
        </w:rPr>
        <w:t xml:space="preserve">the </w:t>
      </w:r>
      <w:r w:rsidR="00BA5C7C" w:rsidRPr="00233992">
        <w:rPr>
          <w:rFonts w:eastAsiaTheme="minorHAnsi"/>
          <w:sz w:val="22"/>
          <w:szCs w:val="22"/>
          <w:lang w:eastAsia="en-US"/>
        </w:rPr>
        <w:t>implementation of national security policies by CFIUS</w:t>
      </w:r>
      <w:r w:rsidR="00667378" w:rsidRPr="00233992">
        <w:rPr>
          <w:rFonts w:eastAsiaTheme="minorHAnsi"/>
          <w:sz w:val="22"/>
          <w:szCs w:val="22"/>
          <w:lang w:eastAsia="en-US"/>
        </w:rPr>
        <w:t xml:space="preserve"> </w:t>
      </w:r>
      <w:r w:rsidR="00245A4A" w:rsidRPr="00233992">
        <w:rPr>
          <w:rFonts w:eastAsiaTheme="minorHAnsi"/>
          <w:sz w:val="22"/>
          <w:szCs w:val="22"/>
          <w:lang w:eastAsia="en-US"/>
        </w:rPr>
        <w:t>affect</w:t>
      </w:r>
      <w:r w:rsidR="00BA5C7C" w:rsidRPr="00233992">
        <w:rPr>
          <w:rFonts w:eastAsiaTheme="minorHAnsi"/>
          <w:sz w:val="22"/>
          <w:szCs w:val="22"/>
          <w:lang w:eastAsia="en-US"/>
        </w:rPr>
        <w:t>s</w:t>
      </w:r>
      <w:r w:rsidR="00245A4A" w:rsidRPr="00233992">
        <w:rPr>
          <w:rFonts w:eastAsiaTheme="minorHAnsi"/>
          <w:sz w:val="22"/>
          <w:szCs w:val="22"/>
          <w:lang w:eastAsia="en-US"/>
        </w:rPr>
        <w:t xml:space="preserve"> </w:t>
      </w:r>
      <w:r w:rsidR="00FD004A" w:rsidRPr="00233992">
        <w:rPr>
          <w:rFonts w:eastAsiaTheme="minorHAnsi"/>
          <w:sz w:val="22"/>
          <w:szCs w:val="22"/>
          <w:lang w:eastAsia="en-US"/>
        </w:rPr>
        <w:t>corporate</w:t>
      </w:r>
      <w:r w:rsidR="00245A4A" w:rsidRPr="00233992">
        <w:rPr>
          <w:rFonts w:eastAsiaTheme="minorHAnsi"/>
          <w:sz w:val="22"/>
          <w:szCs w:val="22"/>
          <w:lang w:eastAsia="en-US"/>
        </w:rPr>
        <w:t xml:space="preserve"> </w:t>
      </w:r>
      <w:r w:rsidR="00FD004A" w:rsidRPr="00233992">
        <w:rPr>
          <w:rFonts w:eastAsiaTheme="minorHAnsi"/>
          <w:sz w:val="22"/>
          <w:szCs w:val="22"/>
          <w:lang w:eastAsia="en-US"/>
        </w:rPr>
        <w:t>investment</w:t>
      </w:r>
      <w:r w:rsidR="00245A4A" w:rsidRPr="00233992">
        <w:rPr>
          <w:rFonts w:eastAsiaTheme="minorHAnsi"/>
          <w:sz w:val="22"/>
          <w:szCs w:val="22"/>
          <w:lang w:eastAsia="en-US"/>
        </w:rPr>
        <w:t xml:space="preserve">. We perform this test by estimating the following ordinary least squares (OLS) regression model: </w:t>
      </w:r>
    </w:p>
    <w:p w14:paraId="570F2224" w14:textId="429A05DD" w:rsidR="00245A4A" w:rsidRPr="00233992" w:rsidRDefault="00000000" w:rsidP="00233992">
      <w:pPr>
        <w:spacing w:line="480" w:lineRule="auto"/>
        <w:ind w:firstLine="720"/>
        <w:jc w:val="both"/>
        <w:rPr>
          <w:rFonts w:eastAsiaTheme="minorEastAsia"/>
          <w:i/>
          <w:iCs/>
          <w:sz w:val="22"/>
          <w:szCs w:val="22"/>
          <w:lang w:eastAsia="en-US"/>
        </w:rPr>
      </w:pPr>
      <m:oMathPara>
        <m:oMath>
          <m:sSub>
            <m:sSubPr>
              <m:ctrlPr>
                <w:rPr>
                  <w:rFonts w:ascii="Cambria Math" w:eastAsiaTheme="minorHAnsi" w:hAnsi="Cambria Math"/>
                  <w:i/>
                  <w:iCs/>
                  <w:sz w:val="22"/>
                  <w:szCs w:val="22"/>
                  <w:lang w:eastAsia="en-US"/>
                </w:rPr>
              </m:ctrlPr>
            </m:sSubPr>
            <m:e>
              <m:r>
                <w:rPr>
                  <w:rFonts w:ascii="Cambria Math" w:eastAsiaTheme="minorHAnsi" w:hAnsi="Cambria Math"/>
                  <w:sz w:val="22"/>
                  <w:szCs w:val="22"/>
                  <w:lang w:eastAsia="en-US"/>
                </w:rPr>
                <m:t>Capex</m:t>
              </m:r>
            </m:e>
            <m:sub>
              <m:r>
                <w:rPr>
                  <w:rFonts w:ascii="Cambria Math" w:eastAsiaTheme="minorHAnsi" w:hAnsi="Cambria Math"/>
                  <w:sz w:val="22"/>
                  <w:szCs w:val="22"/>
                  <w:lang w:eastAsia="en-US"/>
                </w:rPr>
                <m:t>i,t</m:t>
              </m:r>
            </m:sub>
          </m:sSub>
          <m:r>
            <w:rPr>
              <w:rFonts w:ascii="Cambria Math" w:eastAsiaTheme="minorHAnsi" w:hAnsi="Cambria Math"/>
              <w:sz w:val="22"/>
              <w:szCs w:val="22"/>
              <w:lang w:eastAsia="en-US"/>
            </w:rPr>
            <m:t>=</m:t>
          </m:r>
          <m:sSub>
            <m:sSubPr>
              <m:ctrlPr>
                <w:rPr>
                  <w:rFonts w:ascii="Cambria Math" w:eastAsiaTheme="minorHAnsi" w:hAnsi="Cambria Math"/>
                  <w:i/>
                  <w:iCs/>
                  <w:sz w:val="22"/>
                  <w:szCs w:val="22"/>
                  <w:lang w:eastAsia="en-US"/>
                </w:rPr>
              </m:ctrlPr>
            </m:sSubPr>
            <m:e>
              <m:r>
                <w:rPr>
                  <w:rFonts w:ascii="Cambria Math" w:eastAsiaTheme="minorHAnsi" w:hAnsi="Cambria Math"/>
                  <w:sz w:val="22"/>
                  <w:szCs w:val="22"/>
                  <w:lang w:eastAsia="en-US"/>
                </w:rPr>
                <m:t>β</m:t>
              </m:r>
            </m:e>
            <m:sub>
              <m:r>
                <w:rPr>
                  <w:rFonts w:ascii="Cambria Math" w:eastAsiaTheme="minorHAnsi" w:hAnsi="Cambria Math"/>
                  <w:sz w:val="22"/>
                  <w:szCs w:val="22"/>
                  <w:lang w:eastAsia="en-US"/>
                </w:rPr>
                <m:t>0</m:t>
              </m:r>
            </m:sub>
          </m:sSub>
          <m:r>
            <w:rPr>
              <w:rFonts w:ascii="Cambria Math" w:eastAsiaTheme="minorHAnsi" w:hAnsi="Cambria Math"/>
              <w:sz w:val="22"/>
              <w:szCs w:val="22"/>
              <w:lang w:eastAsia="en-US"/>
            </w:rPr>
            <m:t>+</m:t>
          </m:r>
          <m:sSub>
            <m:sSubPr>
              <m:ctrlPr>
                <w:rPr>
                  <w:rFonts w:ascii="Cambria Math" w:eastAsiaTheme="minorHAnsi" w:hAnsi="Cambria Math"/>
                  <w:i/>
                  <w:iCs/>
                  <w:sz w:val="22"/>
                  <w:szCs w:val="22"/>
                  <w:lang w:eastAsia="en-US"/>
                </w:rPr>
              </m:ctrlPr>
            </m:sSubPr>
            <m:e>
              <m:sSub>
                <m:sSubPr>
                  <m:ctrlPr>
                    <w:rPr>
                      <w:rFonts w:ascii="Cambria Math" w:eastAsiaTheme="minorHAnsi" w:hAnsi="Cambria Math"/>
                      <w:i/>
                      <w:iCs/>
                      <w:sz w:val="22"/>
                      <w:szCs w:val="22"/>
                      <w:lang w:eastAsia="en-US"/>
                    </w:rPr>
                  </m:ctrlPr>
                </m:sSubPr>
                <m:e>
                  <m:r>
                    <w:rPr>
                      <w:rFonts w:ascii="Cambria Math" w:eastAsiaTheme="minorHAnsi" w:hAnsi="Cambria Math"/>
                      <w:sz w:val="22"/>
                      <w:szCs w:val="22"/>
                      <w:lang w:eastAsia="en-US"/>
                    </w:rPr>
                    <m:t>β</m:t>
                  </m:r>
                </m:e>
                <m:sub>
                  <m:r>
                    <w:rPr>
                      <w:rFonts w:ascii="Cambria Math" w:eastAsiaTheme="minorHAnsi" w:hAnsi="Cambria Math"/>
                      <w:sz w:val="22"/>
                      <w:szCs w:val="22"/>
                      <w:lang w:eastAsia="en-US"/>
                    </w:rPr>
                    <m:t>1</m:t>
                  </m:r>
                </m:sub>
              </m:sSub>
              <m:r>
                <w:rPr>
                  <w:rFonts w:ascii="Cambria Math" w:eastAsiaTheme="minorHAnsi" w:hAnsi="Cambria Math"/>
                  <w:sz w:val="22"/>
                  <w:szCs w:val="22"/>
                  <w:lang w:eastAsia="en-US"/>
                </w:rPr>
                <m:t>CFIUS Block</m:t>
              </m:r>
            </m:e>
            <m:sub>
              <m:r>
                <w:rPr>
                  <w:rFonts w:ascii="Cambria Math" w:eastAsiaTheme="minorHAnsi" w:hAnsi="Cambria Math"/>
                  <w:sz w:val="22"/>
                  <w:szCs w:val="22"/>
                  <w:lang w:eastAsia="en-US"/>
                </w:rPr>
                <m:t>i,t</m:t>
              </m:r>
            </m:sub>
          </m:sSub>
          <m:r>
            <w:rPr>
              <w:rFonts w:ascii="Cambria Math" w:eastAsiaTheme="minorHAnsi" w:hAnsi="Cambria Math"/>
              <w:sz w:val="22"/>
              <w:szCs w:val="22"/>
              <w:lang w:eastAsia="en-US"/>
            </w:rPr>
            <m:t>+</m:t>
          </m:r>
          <m:sSub>
            <m:sSubPr>
              <m:ctrlPr>
                <w:rPr>
                  <w:rFonts w:ascii="Cambria Math" w:eastAsiaTheme="minorHAnsi" w:hAnsi="Cambria Math"/>
                  <w:i/>
                  <w:iCs/>
                  <w:sz w:val="22"/>
                  <w:szCs w:val="22"/>
                  <w:lang w:eastAsia="en-US"/>
                </w:rPr>
              </m:ctrlPr>
            </m:sSubPr>
            <m:e>
              <m:r>
                <w:rPr>
                  <w:rFonts w:ascii="Cambria Math" w:eastAsiaTheme="minorHAnsi" w:hAnsi="Cambria Math"/>
                  <w:sz w:val="22"/>
                  <w:szCs w:val="22"/>
                  <w:lang w:eastAsia="en-US"/>
                </w:rPr>
                <m:t>β</m:t>
              </m:r>
            </m:e>
            <m:sub>
              <m:r>
                <w:rPr>
                  <w:rFonts w:ascii="Cambria Math" w:eastAsiaTheme="minorHAnsi" w:hAnsi="Cambria Math"/>
                  <w:sz w:val="22"/>
                  <w:szCs w:val="22"/>
                  <w:lang w:eastAsia="en-US"/>
                </w:rPr>
                <m:t>γ</m:t>
              </m:r>
            </m:sub>
          </m:sSub>
          <m:r>
            <w:rPr>
              <w:rFonts w:ascii="Cambria Math" w:eastAsiaTheme="minorHAnsi" w:hAnsi="Cambria Math"/>
              <w:sz w:val="22"/>
              <w:szCs w:val="22"/>
              <w:lang w:eastAsia="en-US"/>
            </w:rPr>
            <m:t>Controls+Firm FE+Year FE+</m:t>
          </m:r>
          <m:sSub>
            <m:sSubPr>
              <m:ctrlPr>
                <w:rPr>
                  <w:rFonts w:ascii="Cambria Math" w:eastAsiaTheme="minorHAnsi" w:hAnsi="Cambria Math"/>
                  <w:i/>
                  <w:iCs/>
                  <w:sz w:val="22"/>
                  <w:szCs w:val="22"/>
                  <w:lang w:eastAsia="en-US"/>
                </w:rPr>
              </m:ctrlPr>
            </m:sSubPr>
            <m:e>
              <m:r>
                <w:rPr>
                  <w:rFonts w:ascii="Cambria Math" w:eastAsiaTheme="minorHAnsi" w:hAnsi="Cambria Math"/>
                  <w:sz w:val="22"/>
                  <w:szCs w:val="22"/>
                  <w:lang w:eastAsia="en-US"/>
                </w:rPr>
                <m:t>e</m:t>
              </m:r>
            </m:e>
            <m:sub>
              <m:r>
                <w:rPr>
                  <w:rFonts w:ascii="Cambria Math" w:eastAsiaTheme="minorHAnsi" w:hAnsi="Cambria Math"/>
                  <w:sz w:val="22"/>
                  <w:szCs w:val="22"/>
                  <w:lang w:eastAsia="en-US"/>
                </w:rPr>
                <m:t>i,t</m:t>
              </m:r>
            </m:sub>
          </m:sSub>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1</m:t>
              </m:r>
            </m:e>
          </m:d>
        </m:oMath>
      </m:oMathPara>
    </w:p>
    <w:p w14:paraId="2767334F" w14:textId="0499D329" w:rsidR="006929D9" w:rsidRPr="00233992" w:rsidRDefault="00245A4A" w:rsidP="00233992">
      <w:pPr>
        <w:spacing w:line="480" w:lineRule="auto"/>
        <w:jc w:val="both"/>
        <w:rPr>
          <w:rFonts w:eastAsiaTheme="minorHAnsi"/>
          <w:color w:val="000000" w:themeColor="text1"/>
          <w:sz w:val="22"/>
          <w:szCs w:val="22"/>
          <w:lang w:eastAsia="en-US"/>
        </w:rPr>
      </w:pPr>
      <w:r w:rsidRPr="00233992">
        <w:rPr>
          <w:rFonts w:eastAsiaTheme="minorHAnsi"/>
          <w:color w:val="000000" w:themeColor="text1"/>
          <w:sz w:val="22"/>
          <w:szCs w:val="22"/>
          <w:lang w:eastAsia="en-US"/>
        </w:rPr>
        <w:t xml:space="preserve">We </w:t>
      </w:r>
      <w:r w:rsidR="00313E00" w:rsidRPr="00233992">
        <w:rPr>
          <w:rFonts w:eastAsiaTheme="minorHAnsi"/>
          <w:color w:val="000000" w:themeColor="text1"/>
          <w:sz w:val="22"/>
          <w:szCs w:val="22"/>
          <w:lang w:eastAsia="en-US"/>
        </w:rPr>
        <w:t>use</w:t>
      </w:r>
      <w:r w:rsidRPr="00233992">
        <w:rPr>
          <w:rFonts w:eastAsiaTheme="minorHAnsi"/>
          <w:color w:val="000000" w:themeColor="text1"/>
          <w:sz w:val="22"/>
          <w:szCs w:val="22"/>
          <w:lang w:eastAsia="en-US"/>
        </w:rPr>
        <w:t xml:space="preserve"> a </w:t>
      </w:r>
      <w:r w:rsidR="008A3E91">
        <w:rPr>
          <w:rFonts w:eastAsiaTheme="minorHAnsi"/>
          <w:color w:val="000000" w:themeColor="text1"/>
          <w:sz w:val="22"/>
          <w:szCs w:val="22"/>
          <w:lang w:eastAsia="en-US"/>
        </w:rPr>
        <w:t xml:space="preserve">staggered </w:t>
      </w:r>
      <w:r w:rsidRPr="00233992">
        <w:rPr>
          <w:rFonts w:eastAsiaTheme="minorHAnsi"/>
          <w:color w:val="000000" w:themeColor="text1"/>
          <w:sz w:val="22"/>
          <w:szCs w:val="22"/>
          <w:lang w:eastAsia="en-US"/>
        </w:rPr>
        <w:t xml:space="preserve">difference-in-difference identification design in which CFIUS </w:t>
      </w:r>
      <w:r w:rsidR="005873B7" w:rsidRPr="00233992">
        <w:rPr>
          <w:rFonts w:eastAsiaTheme="minorHAnsi"/>
          <w:color w:val="000000" w:themeColor="text1"/>
          <w:sz w:val="22"/>
          <w:szCs w:val="22"/>
          <w:lang w:eastAsia="en-US"/>
        </w:rPr>
        <w:t xml:space="preserve">interventions </w:t>
      </w:r>
      <w:r w:rsidR="0010249B" w:rsidRPr="00233992">
        <w:rPr>
          <w:rFonts w:eastAsiaTheme="minorHAnsi"/>
          <w:color w:val="000000" w:themeColor="text1"/>
          <w:sz w:val="22"/>
          <w:szCs w:val="22"/>
          <w:lang w:eastAsia="en-US"/>
        </w:rPr>
        <w:t>are</w:t>
      </w:r>
      <w:r w:rsidRPr="00233992">
        <w:rPr>
          <w:rFonts w:eastAsiaTheme="minorHAnsi"/>
          <w:color w:val="000000" w:themeColor="text1"/>
          <w:sz w:val="22"/>
          <w:szCs w:val="22"/>
          <w:lang w:eastAsia="en-US"/>
        </w:rPr>
        <w:t xml:space="preserve"> shocks at industry</w:t>
      </w:r>
      <w:r w:rsidR="00896611" w:rsidRPr="00233992">
        <w:rPr>
          <w:rFonts w:eastAsiaTheme="minorHAnsi"/>
          <w:color w:val="000000" w:themeColor="text1"/>
          <w:sz w:val="22"/>
          <w:szCs w:val="22"/>
          <w:lang w:eastAsia="en-US"/>
        </w:rPr>
        <w:t xml:space="preserve"> </w:t>
      </w:r>
      <w:r w:rsidRPr="00233992">
        <w:rPr>
          <w:rFonts w:eastAsiaTheme="minorHAnsi"/>
          <w:color w:val="000000" w:themeColor="text1"/>
          <w:sz w:val="22"/>
          <w:szCs w:val="22"/>
          <w:lang w:eastAsia="en-US"/>
        </w:rPr>
        <w:t>level</w:t>
      </w:r>
      <w:r w:rsidR="00961A05" w:rsidRPr="00233992">
        <w:rPr>
          <w:rFonts w:eastAsiaTheme="minorHAnsi"/>
          <w:color w:val="000000" w:themeColor="text1"/>
          <w:sz w:val="22"/>
          <w:szCs w:val="22"/>
          <w:lang w:eastAsia="en-US"/>
        </w:rPr>
        <w:t xml:space="preserve"> (the industry of the target)</w:t>
      </w:r>
      <w:r w:rsidRPr="00233992">
        <w:rPr>
          <w:rFonts w:eastAsiaTheme="minorHAnsi"/>
          <w:color w:val="000000" w:themeColor="text1"/>
          <w:sz w:val="22"/>
          <w:szCs w:val="22"/>
          <w:lang w:eastAsia="en-US"/>
        </w:rPr>
        <w:t>.</w:t>
      </w:r>
      <w:r w:rsidR="009F1CA5" w:rsidRPr="00233992">
        <w:rPr>
          <w:rFonts w:eastAsiaTheme="minorHAnsi"/>
          <w:color w:val="000000" w:themeColor="text1"/>
          <w:sz w:val="22"/>
          <w:szCs w:val="22"/>
          <w:lang w:eastAsia="en-US"/>
        </w:rPr>
        <w:t xml:space="preserve"> This is a standard specification in settings in which </w:t>
      </w:r>
      <w:r w:rsidR="009F1CA5" w:rsidRPr="00233992">
        <w:rPr>
          <w:rFonts w:eastAsiaTheme="minorHAnsi"/>
          <w:color w:val="000000" w:themeColor="text1"/>
          <w:sz w:val="22"/>
          <w:szCs w:val="22"/>
          <w:lang w:eastAsia="en-US"/>
        </w:rPr>
        <w:lastRenderedPageBreak/>
        <w:t xml:space="preserve">the treatment effect </w:t>
      </w:r>
      <w:r w:rsidR="00265283" w:rsidRPr="00233992">
        <w:rPr>
          <w:rFonts w:eastAsiaTheme="minorHAnsi"/>
          <w:color w:val="000000" w:themeColor="text1"/>
          <w:sz w:val="22"/>
          <w:szCs w:val="22"/>
          <w:lang w:eastAsia="en-US"/>
        </w:rPr>
        <w:t xml:space="preserve">occurs </w:t>
      </w:r>
      <w:r w:rsidR="009F1CA5" w:rsidRPr="00233992">
        <w:rPr>
          <w:rFonts w:eastAsiaTheme="minorHAnsi"/>
          <w:color w:val="000000" w:themeColor="text1"/>
          <w:sz w:val="22"/>
          <w:szCs w:val="22"/>
          <w:lang w:eastAsia="en-US"/>
        </w:rPr>
        <w:t>at different time</w:t>
      </w:r>
      <w:r w:rsidR="00265283" w:rsidRPr="00233992">
        <w:rPr>
          <w:rFonts w:eastAsiaTheme="minorHAnsi"/>
          <w:color w:val="000000" w:themeColor="text1"/>
          <w:sz w:val="22"/>
          <w:szCs w:val="22"/>
          <w:lang w:eastAsia="en-US"/>
        </w:rPr>
        <w:t>s</w:t>
      </w:r>
      <w:r w:rsidR="009F1CA5" w:rsidRPr="00233992">
        <w:rPr>
          <w:rFonts w:eastAsiaTheme="minorHAnsi"/>
          <w:color w:val="000000" w:themeColor="text1"/>
          <w:sz w:val="22"/>
          <w:szCs w:val="22"/>
          <w:lang w:eastAsia="en-US"/>
        </w:rPr>
        <w:t xml:space="preserve"> and for different treated groups (Angrist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9F1CA5" w:rsidRPr="00233992">
        <w:rPr>
          <w:rFonts w:eastAsiaTheme="minorHAnsi"/>
          <w:color w:val="000000" w:themeColor="text1"/>
          <w:sz w:val="22"/>
          <w:szCs w:val="22"/>
          <w:lang w:eastAsia="en-US"/>
        </w:rPr>
        <w:t>Pischke</w:t>
      </w:r>
      <w:r w:rsidR="0014184E" w:rsidRPr="00233992">
        <w:rPr>
          <w:rFonts w:eastAsiaTheme="minorHAnsi"/>
          <w:color w:val="000000" w:themeColor="text1"/>
          <w:sz w:val="22"/>
          <w:szCs w:val="22"/>
          <w:lang w:eastAsia="en-US"/>
        </w:rPr>
        <w:t>,</w:t>
      </w:r>
      <w:r w:rsidR="009F1CA5" w:rsidRPr="00233992">
        <w:rPr>
          <w:rFonts w:eastAsiaTheme="minorHAnsi"/>
          <w:color w:val="000000" w:themeColor="text1"/>
          <w:sz w:val="22"/>
          <w:szCs w:val="22"/>
          <w:lang w:eastAsia="en-US"/>
        </w:rPr>
        <w:t xml:space="preserve"> 200</w:t>
      </w:r>
      <w:r w:rsidR="00990C65" w:rsidRPr="00233992">
        <w:rPr>
          <w:rFonts w:eastAsiaTheme="minorHAnsi"/>
          <w:color w:val="000000" w:themeColor="text1"/>
          <w:sz w:val="22"/>
          <w:szCs w:val="22"/>
          <w:lang w:eastAsia="en-US"/>
        </w:rPr>
        <w:t>9</w:t>
      </w:r>
      <w:r w:rsidR="009F1CA5" w:rsidRPr="00233992">
        <w:rPr>
          <w:rFonts w:eastAsiaTheme="minorHAnsi"/>
          <w:color w:val="000000" w:themeColor="text1"/>
          <w:sz w:val="22"/>
          <w:szCs w:val="22"/>
          <w:lang w:eastAsia="en-US"/>
        </w:rPr>
        <w:t>).</w:t>
      </w:r>
      <w:r w:rsidRPr="00233992">
        <w:rPr>
          <w:rFonts w:eastAsiaTheme="minorHAnsi"/>
          <w:color w:val="000000" w:themeColor="text1"/>
          <w:sz w:val="22"/>
          <w:szCs w:val="22"/>
          <w:lang w:eastAsia="en-US"/>
        </w:rPr>
        <w:t xml:space="preserve"> Across our models, we control for firm and year fixed effects. Given the difference-in-difference specification, standard errors </w:t>
      </w:r>
      <w:r w:rsidR="005A29A8" w:rsidRPr="00233992">
        <w:rPr>
          <w:rFonts w:eastAsiaTheme="minorHAnsi"/>
          <w:color w:val="000000" w:themeColor="text1"/>
          <w:sz w:val="22"/>
          <w:szCs w:val="22"/>
          <w:lang w:eastAsia="en-US"/>
        </w:rPr>
        <w:t xml:space="preserve">are clustered </w:t>
      </w:r>
      <w:r w:rsidR="00896611" w:rsidRPr="00233992">
        <w:rPr>
          <w:rFonts w:eastAsiaTheme="minorHAnsi"/>
          <w:color w:val="000000" w:themeColor="text1"/>
          <w:sz w:val="22"/>
          <w:szCs w:val="22"/>
          <w:lang w:eastAsia="en-US"/>
        </w:rPr>
        <w:t>at industry level</w:t>
      </w:r>
      <w:r w:rsidRPr="00233992">
        <w:rPr>
          <w:rFonts w:eastAsiaTheme="minorHAnsi"/>
          <w:color w:val="000000" w:themeColor="text1"/>
          <w:sz w:val="22"/>
          <w:szCs w:val="22"/>
          <w:lang w:eastAsia="en-US"/>
        </w:rPr>
        <w:t xml:space="preserve"> (Bertrand</w:t>
      </w:r>
      <w:r w:rsidR="0066229E">
        <w:rPr>
          <w:rFonts w:eastAsiaTheme="minorHAnsi"/>
          <w:color w:val="000000" w:themeColor="text1"/>
          <w:sz w:val="22"/>
          <w:szCs w:val="22"/>
          <w:lang w:eastAsia="en-US"/>
        </w:rPr>
        <w:t>, Duflo</w:t>
      </w:r>
      <w:r w:rsidR="0066229E" w:rsidRPr="00233992">
        <w:rPr>
          <w:sz w:val="22"/>
          <w:szCs w:val="22"/>
        </w:rPr>
        <w:t xml:space="preserve">, </w:t>
      </w:r>
      <w:r w:rsidR="0066229E" w:rsidRPr="009E743F">
        <w:rPr>
          <w:rFonts w:eastAsiaTheme="minorHAnsi"/>
          <w:sz w:val="22"/>
          <w:szCs w:val="22"/>
          <w:lang w:eastAsia="en-US"/>
        </w:rPr>
        <w:t>&amp;</w:t>
      </w:r>
      <w:r w:rsidR="0066229E">
        <w:rPr>
          <w:rFonts w:eastAsiaTheme="minorHAnsi"/>
          <w:sz w:val="22"/>
          <w:szCs w:val="22"/>
          <w:lang w:eastAsia="en-US"/>
        </w:rPr>
        <w:t xml:space="preserve"> </w:t>
      </w:r>
      <w:r w:rsidR="0066229E" w:rsidRPr="0066229E">
        <w:rPr>
          <w:sz w:val="22"/>
          <w:szCs w:val="22"/>
        </w:rPr>
        <w:t>Mullainathan</w:t>
      </w:r>
      <w:r w:rsidR="0066229E" w:rsidRPr="00233992">
        <w:rPr>
          <w:sz w:val="22"/>
          <w:szCs w:val="22"/>
        </w:rPr>
        <w:t xml:space="preserve">, </w:t>
      </w:r>
      <w:r w:rsidR="0066229E">
        <w:rPr>
          <w:sz w:val="22"/>
          <w:szCs w:val="22"/>
        </w:rPr>
        <w:t>200</w:t>
      </w:r>
      <w:r w:rsidR="0066229E" w:rsidRPr="00233992">
        <w:rPr>
          <w:sz w:val="22"/>
          <w:szCs w:val="22"/>
        </w:rPr>
        <w:t>4</w:t>
      </w:r>
      <w:r w:rsidRPr="00233992">
        <w:rPr>
          <w:rFonts w:eastAsiaTheme="minorHAnsi"/>
          <w:color w:val="000000" w:themeColor="text1"/>
          <w:sz w:val="22"/>
          <w:szCs w:val="22"/>
          <w:lang w:eastAsia="en-US"/>
        </w:rPr>
        <w:t>).</w:t>
      </w:r>
      <w:r w:rsidR="002F2989" w:rsidRPr="00233992">
        <w:rPr>
          <w:rFonts w:eastAsiaTheme="minorHAnsi"/>
          <w:color w:val="000000" w:themeColor="text1"/>
          <w:sz w:val="22"/>
          <w:szCs w:val="22"/>
          <w:lang w:eastAsia="en-US"/>
        </w:rPr>
        <w:t xml:space="preserve"> Clustering standard errors at the</w:t>
      </w:r>
      <w:r w:rsidR="0021161A" w:rsidRPr="00233992">
        <w:rPr>
          <w:sz w:val="22"/>
          <w:szCs w:val="22"/>
        </w:rPr>
        <w:t xml:space="preserve"> </w:t>
      </w:r>
      <w:r w:rsidR="0021161A" w:rsidRPr="00233992">
        <w:rPr>
          <w:rFonts w:eastAsiaTheme="minorHAnsi"/>
          <w:color w:val="000000" w:themeColor="text1"/>
          <w:sz w:val="22"/>
          <w:szCs w:val="22"/>
          <w:lang w:eastAsia="en-US"/>
        </w:rPr>
        <w:t xml:space="preserve">SIC </w:t>
      </w:r>
      <w:r w:rsidR="00265283" w:rsidRPr="00233992">
        <w:rPr>
          <w:rFonts w:eastAsiaTheme="minorHAnsi"/>
          <w:color w:val="000000" w:themeColor="text1"/>
          <w:sz w:val="22"/>
          <w:szCs w:val="22"/>
          <w:lang w:eastAsia="en-US"/>
        </w:rPr>
        <w:t>three</w:t>
      </w:r>
      <w:r w:rsidR="0021161A" w:rsidRPr="00233992">
        <w:rPr>
          <w:rFonts w:eastAsiaTheme="minorHAnsi"/>
          <w:color w:val="000000" w:themeColor="text1"/>
          <w:sz w:val="22"/>
          <w:szCs w:val="22"/>
          <w:lang w:eastAsia="en-US"/>
        </w:rPr>
        <w:t>-digit code or</w:t>
      </w:r>
      <w:r w:rsidR="002F2989" w:rsidRPr="00233992">
        <w:rPr>
          <w:rFonts w:eastAsiaTheme="minorHAnsi"/>
          <w:color w:val="000000" w:themeColor="text1"/>
          <w:sz w:val="22"/>
          <w:szCs w:val="22"/>
          <w:lang w:eastAsia="en-US"/>
        </w:rPr>
        <w:t xml:space="preserve"> firm level yields similar results. </w:t>
      </w:r>
    </w:p>
    <w:p w14:paraId="2851DA76" w14:textId="65A6AED0" w:rsidR="008625AB" w:rsidRPr="00233992" w:rsidRDefault="00F2598A" w:rsidP="00233992">
      <w:pPr>
        <w:spacing w:line="480" w:lineRule="auto"/>
        <w:jc w:val="both"/>
        <w:rPr>
          <w:rFonts w:eastAsiaTheme="minorHAnsi"/>
          <w:color w:val="000000" w:themeColor="text1"/>
          <w:sz w:val="22"/>
          <w:szCs w:val="22"/>
          <w:lang w:eastAsia="en-US"/>
        </w:rPr>
      </w:pPr>
      <w:r w:rsidRPr="00233992">
        <w:rPr>
          <w:rFonts w:eastAsiaTheme="minorHAnsi"/>
          <w:color w:val="000000" w:themeColor="text1"/>
          <w:sz w:val="22"/>
          <w:szCs w:val="22"/>
          <w:lang w:eastAsia="en-US"/>
        </w:rPr>
        <w:tab/>
      </w:r>
      <w:r w:rsidR="00245A4A" w:rsidRPr="00233992">
        <w:rPr>
          <w:rFonts w:eastAsiaTheme="minorHAnsi"/>
          <w:color w:val="000000" w:themeColor="text1"/>
          <w:sz w:val="22"/>
          <w:szCs w:val="22"/>
          <w:lang w:eastAsia="en-US"/>
        </w:rPr>
        <w:t>In the model</w:t>
      </w:r>
      <w:r w:rsidR="00DB5BDB" w:rsidRPr="00233992">
        <w:rPr>
          <w:rFonts w:eastAsiaTheme="minorHAnsi"/>
          <w:color w:val="000000" w:themeColor="text1"/>
          <w:sz w:val="22"/>
          <w:szCs w:val="22"/>
          <w:lang w:eastAsia="en-US"/>
        </w:rPr>
        <w:t>s</w:t>
      </w:r>
      <w:r w:rsidR="00245A4A" w:rsidRPr="00233992">
        <w:rPr>
          <w:rFonts w:eastAsiaTheme="minorHAnsi"/>
          <w:color w:val="000000" w:themeColor="text1"/>
          <w:sz w:val="22"/>
          <w:szCs w:val="22"/>
          <w:lang w:eastAsia="en-US"/>
        </w:rPr>
        <w:t xml:space="preserve"> with control variables, we additionally control for four firm time-variant characteristics: Cash flow</w:t>
      </w:r>
      <w:r w:rsidR="00245A4A" w:rsidRPr="00233992">
        <w:rPr>
          <w:rFonts w:eastAsiaTheme="minorHAnsi"/>
          <w:iCs/>
          <w:color w:val="000000" w:themeColor="text1"/>
          <w:sz w:val="22"/>
          <w:szCs w:val="22"/>
          <w:lang w:eastAsia="en-US"/>
        </w:rPr>
        <w:t>,</w:t>
      </w:r>
      <w:r w:rsidR="00245A4A" w:rsidRPr="00233992">
        <w:rPr>
          <w:rFonts w:eastAsiaTheme="minorHAnsi"/>
          <w:color w:val="000000" w:themeColor="text1"/>
          <w:sz w:val="22"/>
          <w:szCs w:val="22"/>
          <w:lang w:eastAsia="en-US"/>
        </w:rPr>
        <w:t xml:space="preserve"> Leverage</w:t>
      </w:r>
      <w:r w:rsidR="00245A4A" w:rsidRPr="00233992">
        <w:rPr>
          <w:rFonts w:eastAsiaTheme="minorHAnsi"/>
          <w:iCs/>
          <w:color w:val="000000" w:themeColor="text1"/>
          <w:sz w:val="22"/>
          <w:szCs w:val="22"/>
          <w:lang w:eastAsia="en-US"/>
        </w:rPr>
        <w:t>,</w:t>
      </w:r>
      <w:r w:rsidR="00245A4A" w:rsidRPr="00233992">
        <w:rPr>
          <w:rFonts w:eastAsiaTheme="minorHAnsi"/>
          <w:color w:val="000000" w:themeColor="text1"/>
          <w:sz w:val="22"/>
          <w:szCs w:val="22"/>
          <w:lang w:eastAsia="en-US"/>
        </w:rPr>
        <w:t xml:space="preserve"> Size</w:t>
      </w:r>
      <w:r w:rsidR="00245A4A" w:rsidRPr="00233992">
        <w:rPr>
          <w:rFonts w:eastAsiaTheme="minorHAnsi"/>
          <w:iCs/>
          <w:color w:val="000000" w:themeColor="text1"/>
          <w:sz w:val="22"/>
          <w:szCs w:val="22"/>
          <w:lang w:eastAsia="en-US"/>
        </w:rPr>
        <w:t>,</w:t>
      </w:r>
      <w:r w:rsidR="00245A4A" w:rsidRPr="00233992">
        <w:rPr>
          <w:rFonts w:eastAsiaTheme="minorHAnsi"/>
          <w:color w:val="000000" w:themeColor="text1"/>
          <w:sz w:val="22"/>
          <w:szCs w:val="22"/>
          <w:lang w:eastAsia="en-US"/>
        </w:rPr>
        <w:t xml:space="preserve"> </w:t>
      </w:r>
      <w:r w:rsidR="00245A4A" w:rsidRPr="00233992">
        <w:rPr>
          <w:rFonts w:eastAsiaTheme="minorHAnsi"/>
          <w:iCs/>
          <w:color w:val="000000" w:themeColor="text1"/>
          <w:sz w:val="22"/>
          <w:szCs w:val="22"/>
          <w:lang w:eastAsia="en-US"/>
        </w:rPr>
        <w:t>and</w:t>
      </w:r>
      <w:r w:rsidR="00245A4A" w:rsidRPr="00233992">
        <w:rPr>
          <w:rFonts w:eastAsiaTheme="minorHAnsi"/>
          <w:color w:val="000000" w:themeColor="text1"/>
          <w:sz w:val="22"/>
          <w:szCs w:val="22"/>
          <w:lang w:eastAsia="en-US"/>
        </w:rPr>
        <w:t xml:space="preserve"> </w:t>
      </w:r>
      <w:r w:rsidR="00245A4A" w:rsidRPr="00233992">
        <w:rPr>
          <w:iCs/>
          <w:sz w:val="22"/>
          <w:szCs w:val="22"/>
        </w:rPr>
        <w:t>Tobin’s Q</w:t>
      </w:r>
      <w:r w:rsidR="00245A4A" w:rsidRPr="00233992">
        <w:rPr>
          <w:rFonts w:eastAsiaTheme="minorHAnsi"/>
          <w:iCs/>
          <w:color w:val="000000" w:themeColor="text1"/>
          <w:sz w:val="22"/>
          <w:szCs w:val="22"/>
          <w:lang w:eastAsia="en-US"/>
        </w:rPr>
        <w:t xml:space="preserve">. </w:t>
      </w:r>
      <w:r w:rsidR="00FA019B" w:rsidRPr="00233992">
        <w:rPr>
          <w:rFonts w:eastAsiaTheme="minorHAnsi"/>
          <w:iCs/>
          <w:color w:val="000000" w:themeColor="text1"/>
          <w:sz w:val="22"/>
          <w:szCs w:val="22"/>
          <w:lang w:eastAsia="en-US"/>
        </w:rPr>
        <w:t>They</w:t>
      </w:r>
      <w:r w:rsidR="00245A4A" w:rsidRPr="00233992">
        <w:rPr>
          <w:rFonts w:eastAsiaTheme="minorHAnsi"/>
          <w:iCs/>
          <w:color w:val="000000" w:themeColor="text1"/>
          <w:sz w:val="22"/>
          <w:szCs w:val="22"/>
          <w:lang w:eastAsia="en-US"/>
        </w:rPr>
        <w:t xml:space="preserve"> are lagged by one year to capture fundamental information about investment needs that was known to managers </w:t>
      </w:r>
      <w:r w:rsidR="00265283" w:rsidRPr="00233992">
        <w:rPr>
          <w:rFonts w:eastAsiaTheme="minorHAnsi"/>
          <w:iCs/>
          <w:color w:val="000000" w:themeColor="text1"/>
          <w:sz w:val="22"/>
          <w:szCs w:val="22"/>
          <w:lang w:eastAsia="en-US"/>
        </w:rPr>
        <w:t xml:space="preserve">when </w:t>
      </w:r>
      <w:r w:rsidR="00245A4A" w:rsidRPr="00233992">
        <w:rPr>
          <w:rFonts w:eastAsiaTheme="minorHAnsi"/>
          <w:iCs/>
          <w:color w:val="000000" w:themeColor="text1"/>
          <w:sz w:val="22"/>
          <w:szCs w:val="22"/>
          <w:lang w:eastAsia="en-US"/>
        </w:rPr>
        <w:t>they made decisions</w:t>
      </w:r>
      <w:r w:rsidR="00EB0A1B" w:rsidRPr="00233992">
        <w:rPr>
          <w:rFonts w:eastAsiaTheme="minorHAnsi"/>
          <w:iCs/>
          <w:color w:val="000000" w:themeColor="text1"/>
          <w:sz w:val="22"/>
          <w:szCs w:val="22"/>
          <w:lang w:eastAsia="en-US"/>
        </w:rPr>
        <w:t xml:space="preserve"> </w:t>
      </w:r>
      <w:r w:rsidR="00216B0C" w:rsidRPr="00233992">
        <w:rPr>
          <w:sz w:val="22"/>
          <w:szCs w:val="22"/>
        </w:rPr>
        <w:t>(Dessaint</w:t>
      </w:r>
      <w:r w:rsidR="007C6D2D" w:rsidRPr="00233992">
        <w:rPr>
          <w:sz w:val="22"/>
          <w:szCs w:val="22"/>
        </w:rPr>
        <w:t xml:space="preserve"> </w:t>
      </w:r>
      <w:r w:rsidR="007C6D2D" w:rsidRPr="000137AC">
        <w:rPr>
          <w:sz w:val="22"/>
          <w:szCs w:val="22"/>
        </w:rPr>
        <w:t>et al.</w:t>
      </w:r>
      <w:r w:rsidR="0014184E" w:rsidRPr="000137AC">
        <w:rPr>
          <w:sz w:val="22"/>
          <w:szCs w:val="22"/>
        </w:rPr>
        <w:t>,</w:t>
      </w:r>
      <w:r w:rsidR="0014184E" w:rsidRPr="00233992">
        <w:rPr>
          <w:sz w:val="22"/>
          <w:szCs w:val="22"/>
        </w:rPr>
        <w:t xml:space="preserve"> </w:t>
      </w:r>
      <w:r w:rsidR="00216B0C" w:rsidRPr="00233992">
        <w:rPr>
          <w:sz w:val="22"/>
          <w:szCs w:val="22"/>
        </w:rPr>
        <w:t>2019)</w:t>
      </w:r>
      <w:r w:rsidR="00245A4A" w:rsidRPr="00233992">
        <w:rPr>
          <w:rFonts w:eastAsiaTheme="minorHAnsi"/>
          <w:color w:val="000000" w:themeColor="text1"/>
          <w:sz w:val="22"/>
          <w:szCs w:val="22"/>
          <w:lang w:eastAsia="en-US"/>
        </w:rPr>
        <w:t>. The</w:t>
      </w:r>
      <w:r w:rsidR="0021161A" w:rsidRPr="00233992">
        <w:rPr>
          <w:rFonts w:eastAsiaTheme="minorHAnsi"/>
          <w:color w:val="000000" w:themeColor="text1"/>
          <w:sz w:val="22"/>
          <w:szCs w:val="22"/>
          <w:lang w:eastAsia="en-US"/>
        </w:rPr>
        <w:t>se</w:t>
      </w:r>
      <w:r w:rsidR="00245A4A" w:rsidRPr="00233992">
        <w:rPr>
          <w:rFonts w:eastAsiaTheme="minorHAnsi"/>
          <w:color w:val="000000" w:themeColor="text1"/>
          <w:sz w:val="22"/>
          <w:szCs w:val="22"/>
          <w:lang w:eastAsia="en-US"/>
        </w:rPr>
        <w:t xml:space="preserve"> control</w:t>
      </w:r>
      <w:r w:rsidR="0021161A" w:rsidRPr="00233992">
        <w:rPr>
          <w:rFonts w:eastAsiaTheme="minorHAnsi"/>
          <w:color w:val="000000" w:themeColor="text1"/>
          <w:sz w:val="22"/>
          <w:szCs w:val="22"/>
          <w:lang w:eastAsia="en-US"/>
        </w:rPr>
        <w:t xml:space="preserve"> variables</w:t>
      </w:r>
      <w:r w:rsidR="00245A4A" w:rsidRPr="00233992">
        <w:rPr>
          <w:rFonts w:eastAsiaTheme="minorHAnsi"/>
          <w:color w:val="000000" w:themeColor="text1"/>
          <w:sz w:val="22"/>
          <w:szCs w:val="22"/>
          <w:lang w:eastAsia="en-US"/>
        </w:rPr>
        <w:t xml:space="preserve"> proxy for </w:t>
      </w:r>
      <w:r w:rsidR="00244D72" w:rsidRPr="00233992">
        <w:rPr>
          <w:rFonts w:eastAsiaTheme="minorHAnsi"/>
          <w:color w:val="000000" w:themeColor="text1"/>
          <w:sz w:val="22"/>
          <w:szCs w:val="22"/>
          <w:lang w:eastAsia="en-US"/>
        </w:rPr>
        <w:t>both</w:t>
      </w:r>
      <w:r w:rsidR="00245A4A" w:rsidRPr="00233992">
        <w:rPr>
          <w:rFonts w:eastAsiaTheme="minorHAnsi"/>
          <w:color w:val="000000" w:themeColor="text1"/>
          <w:sz w:val="22"/>
          <w:szCs w:val="22"/>
          <w:lang w:eastAsia="en-US"/>
        </w:rPr>
        <w:t xml:space="preserve"> firms’ available financial resources (</w:t>
      </w:r>
      <w:r w:rsidR="00DB5BDB" w:rsidRPr="00233992">
        <w:rPr>
          <w:rFonts w:eastAsiaTheme="minorHAnsi"/>
          <w:color w:val="000000" w:themeColor="text1"/>
          <w:sz w:val="22"/>
          <w:szCs w:val="22"/>
          <w:lang w:eastAsia="en-US"/>
        </w:rPr>
        <w:t>Cash flow</w:t>
      </w:r>
      <w:r w:rsidR="00245A4A" w:rsidRPr="00233992">
        <w:rPr>
          <w:rFonts w:eastAsiaTheme="minorHAnsi"/>
          <w:color w:val="000000" w:themeColor="text1"/>
          <w:sz w:val="22"/>
          <w:szCs w:val="22"/>
          <w:lang w:eastAsia="en-US"/>
        </w:rPr>
        <w:t xml:space="preserve">, </w:t>
      </w:r>
      <w:r w:rsidR="00DB5BDB" w:rsidRPr="00233992">
        <w:rPr>
          <w:rFonts w:eastAsiaTheme="minorHAnsi"/>
          <w:color w:val="000000" w:themeColor="text1"/>
          <w:sz w:val="22"/>
          <w:szCs w:val="22"/>
          <w:lang w:eastAsia="en-US"/>
        </w:rPr>
        <w:t>Leverage</w:t>
      </w:r>
      <w:r w:rsidR="00245A4A" w:rsidRPr="00233992">
        <w:rPr>
          <w:rFonts w:eastAsiaTheme="minorHAnsi"/>
          <w:color w:val="000000" w:themeColor="text1"/>
          <w:sz w:val="22"/>
          <w:szCs w:val="22"/>
          <w:lang w:eastAsia="en-US"/>
        </w:rPr>
        <w:t xml:space="preserve">, and </w:t>
      </w:r>
      <w:r w:rsidR="00DB5BDB" w:rsidRPr="00233992">
        <w:rPr>
          <w:rFonts w:eastAsiaTheme="minorHAnsi"/>
          <w:color w:val="000000" w:themeColor="text1"/>
          <w:sz w:val="22"/>
          <w:szCs w:val="22"/>
          <w:lang w:eastAsia="en-US"/>
        </w:rPr>
        <w:t>Size</w:t>
      </w:r>
      <w:r w:rsidR="00245A4A" w:rsidRPr="00233992">
        <w:rPr>
          <w:rFonts w:eastAsiaTheme="minorHAnsi"/>
          <w:color w:val="000000" w:themeColor="text1"/>
          <w:sz w:val="22"/>
          <w:szCs w:val="22"/>
          <w:lang w:eastAsia="en-US"/>
        </w:rPr>
        <w:t>) and investment opportunities (</w:t>
      </w:r>
      <w:r w:rsidR="00DB5BDB" w:rsidRPr="00233992">
        <w:rPr>
          <w:iCs/>
          <w:sz w:val="22"/>
          <w:szCs w:val="22"/>
        </w:rPr>
        <w:t>Tobin’s Q</w:t>
      </w:r>
      <w:r w:rsidR="00245A4A" w:rsidRPr="00233992">
        <w:rPr>
          <w:rFonts w:eastAsiaTheme="minorHAnsi"/>
          <w:color w:val="000000" w:themeColor="text1"/>
          <w:sz w:val="22"/>
          <w:szCs w:val="22"/>
          <w:lang w:eastAsia="en-US"/>
        </w:rPr>
        <w:t>).</w:t>
      </w:r>
      <w:r w:rsidR="00313E00" w:rsidRPr="00233992">
        <w:rPr>
          <w:rStyle w:val="Appelnotedebasdep"/>
          <w:sz w:val="22"/>
          <w:szCs w:val="22"/>
        </w:rPr>
        <w:footnoteReference w:id="13"/>
      </w:r>
    </w:p>
    <w:p w14:paraId="3B1B41BB" w14:textId="6F26DAFC" w:rsidR="00245A4A" w:rsidRPr="00233992" w:rsidRDefault="00F2598A" w:rsidP="00233992">
      <w:pPr>
        <w:spacing w:line="480" w:lineRule="auto"/>
        <w:jc w:val="both"/>
        <w:rPr>
          <w:rFonts w:eastAsiaTheme="minorHAnsi"/>
          <w:color w:val="000000" w:themeColor="text1"/>
          <w:sz w:val="22"/>
          <w:szCs w:val="22"/>
          <w:lang w:eastAsia="en-US"/>
        </w:rPr>
      </w:pPr>
      <w:r w:rsidRPr="00233992">
        <w:rPr>
          <w:rFonts w:eastAsiaTheme="minorHAnsi"/>
          <w:color w:val="000000" w:themeColor="text1"/>
          <w:sz w:val="22"/>
          <w:szCs w:val="22"/>
          <w:lang w:eastAsia="en-US"/>
        </w:rPr>
        <w:tab/>
      </w:r>
      <w:r w:rsidR="00245A4A" w:rsidRPr="00233992">
        <w:rPr>
          <w:rFonts w:eastAsiaTheme="minorHAnsi"/>
          <w:color w:val="000000" w:themeColor="text1"/>
          <w:sz w:val="22"/>
          <w:szCs w:val="22"/>
          <w:lang w:eastAsia="en-US"/>
        </w:rPr>
        <w:t xml:space="preserve">If </w:t>
      </w:r>
      <w:r w:rsidR="00244D72" w:rsidRPr="00233992">
        <w:rPr>
          <w:rFonts w:eastAsiaTheme="minorHAnsi"/>
          <w:color w:val="000000" w:themeColor="text1"/>
          <w:sz w:val="22"/>
          <w:szCs w:val="22"/>
          <w:lang w:eastAsia="en-US"/>
        </w:rPr>
        <w:t xml:space="preserve">restrictions on access to capital </w:t>
      </w:r>
      <w:r w:rsidR="00DB5BDB" w:rsidRPr="00233992">
        <w:rPr>
          <w:rFonts w:eastAsiaTheme="minorHAnsi"/>
          <w:color w:val="000000" w:themeColor="text1"/>
          <w:sz w:val="22"/>
          <w:szCs w:val="22"/>
          <w:lang w:eastAsia="en-US"/>
        </w:rPr>
        <w:t xml:space="preserve">imposed by CFIUS </w:t>
      </w:r>
      <w:r w:rsidR="00245A4A" w:rsidRPr="00233992">
        <w:rPr>
          <w:rFonts w:eastAsiaTheme="minorHAnsi"/>
          <w:color w:val="000000" w:themeColor="text1"/>
          <w:sz w:val="22"/>
          <w:szCs w:val="22"/>
          <w:lang w:eastAsia="en-US"/>
        </w:rPr>
        <w:t>reduc</w:t>
      </w:r>
      <w:r w:rsidR="00EC10C3" w:rsidRPr="00233992">
        <w:rPr>
          <w:rFonts w:eastAsiaTheme="minorHAnsi"/>
          <w:color w:val="000000" w:themeColor="text1"/>
          <w:sz w:val="22"/>
          <w:szCs w:val="22"/>
          <w:lang w:eastAsia="en-US"/>
        </w:rPr>
        <w:t xml:space="preserve">e </w:t>
      </w:r>
      <w:r w:rsidR="00245A4A" w:rsidRPr="00233992">
        <w:rPr>
          <w:rFonts w:eastAsiaTheme="minorHAnsi"/>
          <w:color w:val="000000" w:themeColor="text1"/>
          <w:sz w:val="22"/>
          <w:szCs w:val="22"/>
          <w:lang w:eastAsia="en-US"/>
        </w:rPr>
        <w:t xml:space="preserve">(increase) capital expenditures, we should observe a negative (positive) and statistically significant coefficient </w:t>
      </w:r>
      <w:r w:rsidR="00DB5BDB" w:rsidRPr="00233992">
        <w:rPr>
          <w:rFonts w:eastAsiaTheme="minorHAnsi"/>
          <w:color w:val="000000" w:themeColor="text1"/>
          <w:sz w:val="22"/>
          <w:szCs w:val="22"/>
          <w:lang w:eastAsia="en-US"/>
        </w:rPr>
        <w:t>on</w:t>
      </w:r>
      <w:r w:rsidR="00245A4A" w:rsidRPr="00233992">
        <w:rPr>
          <w:rFonts w:eastAsiaTheme="minorHAnsi"/>
          <w:color w:val="000000" w:themeColor="text1"/>
          <w:sz w:val="22"/>
          <w:szCs w:val="22"/>
          <w:lang w:eastAsia="en-US"/>
        </w:rPr>
        <w:t xml:space="preserve"> </w:t>
      </w:r>
      <w:r w:rsidR="005873B7" w:rsidRPr="00233992">
        <w:rPr>
          <w:rFonts w:eastAsiaTheme="minorHAnsi"/>
          <w:iCs/>
          <w:color w:val="000000" w:themeColor="text1"/>
          <w:sz w:val="22"/>
          <w:szCs w:val="22"/>
          <w:lang w:eastAsia="en-US"/>
        </w:rPr>
        <w:t>CFIUS Block</w:t>
      </w:r>
      <w:r w:rsidR="00405561" w:rsidRPr="00233992">
        <w:rPr>
          <w:rFonts w:eastAsiaTheme="minorHAnsi"/>
          <w:color w:val="000000" w:themeColor="text1"/>
          <w:sz w:val="22"/>
          <w:szCs w:val="22"/>
          <w:lang w:eastAsia="en-US"/>
        </w:rPr>
        <w:t>.</w:t>
      </w:r>
      <w:r w:rsidR="00283DDA" w:rsidRPr="00233992">
        <w:rPr>
          <w:rFonts w:eastAsiaTheme="minorHAnsi"/>
          <w:color w:val="000000" w:themeColor="text1"/>
          <w:sz w:val="22"/>
          <w:szCs w:val="22"/>
          <w:lang w:eastAsia="en-US"/>
        </w:rPr>
        <w:t xml:space="preserve"> </w:t>
      </w:r>
      <w:r w:rsidR="00245A4A" w:rsidRPr="00233992">
        <w:rPr>
          <w:rFonts w:eastAsiaTheme="minorHAnsi"/>
          <w:color w:val="000000" w:themeColor="text1"/>
          <w:sz w:val="22"/>
          <w:szCs w:val="22"/>
          <w:lang w:eastAsia="en-US"/>
        </w:rPr>
        <w:t xml:space="preserve">We tabulate estimates of </w:t>
      </w:r>
      <w:r w:rsidR="0011219C" w:rsidRPr="00233992">
        <w:rPr>
          <w:rFonts w:eastAsiaTheme="minorHAnsi"/>
          <w:color w:val="000000" w:themeColor="text1"/>
          <w:sz w:val="22"/>
          <w:szCs w:val="22"/>
          <w:lang w:eastAsia="en-US"/>
        </w:rPr>
        <w:t xml:space="preserve">our </w:t>
      </w:r>
      <w:r w:rsidR="00245A4A" w:rsidRPr="00233992">
        <w:rPr>
          <w:rFonts w:eastAsiaTheme="minorHAnsi"/>
          <w:color w:val="000000" w:themeColor="text1"/>
          <w:sz w:val="22"/>
          <w:szCs w:val="22"/>
          <w:lang w:eastAsia="en-US"/>
        </w:rPr>
        <w:t>model</w:t>
      </w:r>
      <w:r w:rsidR="0011219C" w:rsidRPr="00233992">
        <w:rPr>
          <w:rFonts w:eastAsiaTheme="minorHAnsi"/>
          <w:color w:val="000000" w:themeColor="text1"/>
          <w:sz w:val="22"/>
          <w:szCs w:val="22"/>
          <w:lang w:eastAsia="en-US"/>
        </w:rPr>
        <w:t xml:space="preserve">s </w:t>
      </w:r>
      <w:r w:rsidR="00245A4A" w:rsidRPr="00233992">
        <w:rPr>
          <w:rFonts w:eastAsiaTheme="minorHAnsi"/>
          <w:color w:val="000000" w:themeColor="text1"/>
          <w:sz w:val="22"/>
          <w:szCs w:val="22"/>
          <w:lang w:eastAsia="en-US"/>
        </w:rPr>
        <w:t>in</w:t>
      </w:r>
      <w:r w:rsidR="008D6A1F" w:rsidRPr="00233992">
        <w:rPr>
          <w:rFonts w:eastAsiaTheme="minorHAnsi"/>
          <w:color w:val="000000" w:themeColor="text1"/>
          <w:sz w:val="22"/>
          <w:szCs w:val="22"/>
          <w:lang w:eastAsia="en-US"/>
        </w:rPr>
        <w:t xml:space="preserve"> </w:t>
      </w:r>
      <w:r w:rsidR="00245A4A" w:rsidRPr="00233992">
        <w:rPr>
          <w:rFonts w:eastAsiaTheme="minorHAnsi"/>
          <w:color w:val="000000" w:themeColor="text1"/>
          <w:sz w:val="22"/>
          <w:szCs w:val="22"/>
          <w:lang w:eastAsia="en-US"/>
        </w:rPr>
        <w:t xml:space="preserve">Table </w:t>
      </w:r>
      <w:r w:rsidR="00EB3F4A">
        <w:rPr>
          <w:rFonts w:eastAsiaTheme="minorHAnsi"/>
          <w:color w:val="000000" w:themeColor="text1"/>
          <w:sz w:val="22"/>
          <w:szCs w:val="22"/>
          <w:lang w:eastAsia="en-US"/>
        </w:rPr>
        <w:t>4</w:t>
      </w:r>
      <w:r w:rsidR="00245A4A" w:rsidRPr="00233992">
        <w:rPr>
          <w:rFonts w:eastAsiaTheme="minorHAnsi"/>
          <w:color w:val="000000" w:themeColor="text1"/>
          <w:sz w:val="22"/>
          <w:szCs w:val="22"/>
          <w:lang w:eastAsia="en-US"/>
        </w:rPr>
        <w:t xml:space="preserve">. The coefficient on </w:t>
      </w:r>
      <w:r w:rsidR="006470CC" w:rsidRPr="00233992">
        <w:rPr>
          <w:rFonts w:eastAsiaTheme="minorHAnsi"/>
          <w:iCs/>
          <w:color w:val="000000" w:themeColor="text1"/>
          <w:sz w:val="22"/>
          <w:szCs w:val="22"/>
          <w:lang w:eastAsia="en-US"/>
        </w:rPr>
        <w:t>CFIUS Block</w:t>
      </w:r>
      <w:r w:rsidR="00245A4A" w:rsidRPr="00233992">
        <w:rPr>
          <w:rFonts w:eastAsiaTheme="minorHAnsi"/>
          <w:color w:val="000000" w:themeColor="text1"/>
          <w:sz w:val="22"/>
          <w:szCs w:val="22"/>
          <w:lang w:eastAsia="en-US"/>
        </w:rPr>
        <w:t xml:space="preserve"> </w:t>
      </w:r>
      <w:r w:rsidR="005D650B">
        <w:rPr>
          <w:rFonts w:eastAsiaTheme="minorHAnsi"/>
          <w:color w:val="000000" w:themeColor="text1"/>
          <w:sz w:val="22"/>
          <w:szCs w:val="22"/>
          <w:lang w:eastAsia="en-US"/>
        </w:rPr>
        <w:t>is</w:t>
      </w:r>
      <w:r w:rsidR="00216B0C" w:rsidRPr="00233992">
        <w:rPr>
          <w:rFonts w:eastAsiaTheme="minorHAnsi"/>
          <w:color w:val="000000" w:themeColor="text1"/>
          <w:sz w:val="22"/>
          <w:szCs w:val="22"/>
          <w:lang w:eastAsia="en-US"/>
        </w:rPr>
        <w:t xml:space="preserve"> </w:t>
      </w:r>
      <w:r w:rsidR="00245A4A" w:rsidRPr="00233992">
        <w:rPr>
          <w:rFonts w:eastAsiaTheme="minorHAnsi"/>
          <w:color w:val="000000" w:themeColor="text1"/>
          <w:sz w:val="22"/>
          <w:szCs w:val="22"/>
          <w:lang w:eastAsia="en-US"/>
        </w:rPr>
        <w:t xml:space="preserve">negative and statistically significant </w:t>
      </w:r>
      <w:r w:rsidR="00EB3F4A">
        <w:rPr>
          <w:rFonts w:eastAsiaTheme="minorHAnsi"/>
          <w:color w:val="000000" w:themeColor="text1"/>
          <w:sz w:val="22"/>
          <w:szCs w:val="22"/>
          <w:lang w:eastAsia="en-US"/>
        </w:rPr>
        <w:t>across the models (</w:t>
      </w:r>
      <w:r w:rsidR="008A4B6D">
        <w:rPr>
          <w:rFonts w:eastAsiaTheme="minorHAnsi"/>
          <w:sz w:val="22"/>
          <w:szCs w:val="22"/>
          <w:lang w:eastAsia="en-US"/>
        </w:rPr>
        <w:t>c</w:t>
      </w:r>
      <w:r w:rsidR="008A4B6D" w:rsidRPr="00233992">
        <w:rPr>
          <w:rFonts w:eastAsiaTheme="minorHAnsi"/>
          <w:sz w:val="22"/>
          <w:szCs w:val="22"/>
          <w:lang w:eastAsia="en-US"/>
        </w:rPr>
        <w:t>olumns 1 and 2</w:t>
      </w:r>
      <w:r w:rsidR="00BA5C7C" w:rsidRPr="00233992">
        <w:rPr>
          <w:rFonts w:eastAsiaTheme="minorHAnsi"/>
          <w:color w:val="000000" w:themeColor="text1"/>
          <w:sz w:val="22"/>
          <w:szCs w:val="22"/>
          <w:lang w:eastAsia="en-US"/>
        </w:rPr>
        <w:t>)</w:t>
      </w:r>
      <w:r w:rsidR="00245A4A" w:rsidRPr="00233992">
        <w:rPr>
          <w:rFonts w:eastAsiaTheme="minorHAnsi"/>
          <w:color w:val="000000" w:themeColor="text1"/>
          <w:sz w:val="22"/>
          <w:szCs w:val="22"/>
          <w:lang w:eastAsia="en-US"/>
        </w:rPr>
        <w:t>.</w:t>
      </w:r>
      <w:r w:rsidR="009C1484" w:rsidRPr="00233992">
        <w:rPr>
          <w:sz w:val="22"/>
          <w:szCs w:val="22"/>
        </w:rPr>
        <w:t xml:space="preserve"> </w:t>
      </w:r>
      <w:r w:rsidR="00664043">
        <w:rPr>
          <w:rFonts w:eastAsiaTheme="minorHAnsi"/>
          <w:color w:val="000000" w:themeColor="text1"/>
          <w:sz w:val="22"/>
          <w:szCs w:val="22"/>
          <w:lang w:eastAsia="en-US"/>
        </w:rPr>
        <w:t>We document a 20</w:t>
      </w:r>
      <w:r w:rsidR="009C1484" w:rsidRPr="00233992">
        <w:rPr>
          <w:rFonts w:eastAsiaTheme="minorHAnsi"/>
          <w:color w:val="000000" w:themeColor="text1"/>
          <w:sz w:val="22"/>
          <w:szCs w:val="22"/>
          <w:lang w:eastAsia="en-US"/>
        </w:rPr>
        <w:t xml:space="preserve">% decrease in corporate investment following </w:t>
      </w:r>
      <w:r w:rsidR="00664043">
        <w:rPr>
          <w:rFonts w:eastAsiaTheme="minorHAnsi"/>
          <w:color w:val="000000" w:themeColor="text1"/>
          <w:sz w:val="22"/>
          <w:szCs w:val="22"/>
          <w:lang w:eastAsia="en-US"/>
        </w:rPr>
        <w:t>CFIUS interventions</w:t>
      </w:r>
      <w:r w:rsidR="002C2E71">
        <w:rPr>
          <w:rFonts w:eastAsiaTheme="minorHAnsi"/>
          <w:color w:val="000000" w:themeColor="text1"/>
          <w:sz w:val="22"/>
          <w:szCs w:val="22"/>
          <w:lang w:eastAsia="en-US"/>
        </w:rPr>
        <w:t xml:space="preserve"> </w:t>
      </w:r>
      <w:r w:rsidR="00EB3F4A">
        <w:rPr>
          <w:rFonts w:eastAsiaTheme="minorHAnsi"/>
          <w:color w:val="000000" w:themeColor="text1"/>
          <w:sz w:val="22"/>
          <w:szCs w:val="22"/>
          <w:lang w:eastAsia="en-US"/>
        </w:rPr>
        <w:t>(c</w:t>
      </w:r>
      <w:r w:rsidR="009C1484" w:rsidRPr="00233992">
        <w:rPr>
          <w:rFonts w:eastAsiaTheme="minorHAnsi"/>
          <w:color w:val="000000" w:themeColor="text1"/>
          <w:sz w:val="22"/>
          <w:szCs w:val="22"/>
          <w:lang w:eastAsia="en-US"/>
        </w:rPr>
        <w:t>olumn 2)</w:t>
      </w:r>
      <w:r w:rsidR="006470CC" w:rsidRPr="00233992">
        <w:rPr>
          <w:rFonts w:eastAsiaTheme="minorHAnsi"/>
          <w:color w:val="000000" w:themeColor="text1"/>
          <w:sz w:val="22"/>
          <w:szCs w:val="22"/>
          <w:lang w:eastAsia="en-US"/>
        </w:rPr>
        <w:t>.</w:t>
      </w:r>
      <w:r w:rsidR="006470CC" w:rsidRPr="00233992">
        <w:rPr>
          <w:rStyle w:val="Appelnotedebasdep"/>
          <w:rFonts w:eastAsiaTheme="minorHAnsi"/>
          <w:color w:val="000000" w:themeColor="text1"/>
          <w:sz w:val="22"/>
          <w:szCs w:val="22"/>
          <w:lang w:eastAsia="en-US"/>
        </w:rPr>
        <w:footnoteReference w:id="14"/>
      </w:r>
      <w:r w:rsidR="002C30F5" w:rsidRPr="00233992">
        <w:rPr>
          <w:rFonts w:eastAsiaTheme="minorHAnsi"/>
          <w:color w:val="000000" w:themeColor="text1"/>
          <w:sz w:val="22"/>
          <w:szCs w:val="22"/>
          <w:lang w:eastAsia="en-US"/>
        </w:rPr>
        <w:t xml:space="preserve"> </w:t>
      </w:r>
      <w:r w:rsidR="00245A4A" w:rsidRPr="00233992">
        <w:rPr>
          <w:rFonts w:eastAsiaTheme="minorHAnsi"/>
          <w:color w:val="000000" w:themeColor="text1"/>
          <w:sz w:val="22"/>
          <w:szCs w:val="22"/>
          <w:lang w:eastAsia="en-US"/>
        </w:rPr>
        <w:t xml:space="preserve">These results indicate that </w:t>
      </w:r>
      <w:r w:rsidR="00D4686C" w:rsidRPr="00233992">
        <w:rPr>
          <w:rFonts w:eastAsiaTheme="minorHAnsi"/>
          <w:color w:val="000000" w:themeColor="text1"/>
          <w:sz w:val="22"/>
          <w:szCs w:val="22"/>
          <w:lang w:eastAsia="en-US"/>
        </w:rPr>
        <w:t xml:space="preserve">firms in </w:t>
      </w:r>
      <w:r w:rsidR="000D2BFF" w:rsidRPr="00233992">
        <w:rPr>
          <w:sz w:val="22"/>
          <w:szCs w:val="22"/>
        </w:rPr>
        <w:t xml:space="preserve">affected </w:t>
      </w:r>
      <w:r w:rsidR="00D4686C" w:rsidRPr="00233992">
        <w:rPr>
          <w:rFonts w:eastAsiaTheme="minorHAnsi"/>
          <w:color w:val="000000" w:themeColor="text1"/>
          <w:sz w:val="22"/>
          <w:szCs w:val="22"/>
          <w:lang w:eastAsia="en-US"/>
        </w:rPr>
        <w:t xml:space="preserve">industries </w:t>
      </w:r>
      <w:r w:rsidR="00245A4A" w:rsidRPr="00233992">
        <w:rPr>
          <w:rFonts w:eastAsiaTheme="minorHAnsi"/>
          <w:color w:val="000000" w:themeColor="text1"/>
          <w:sz w:val="22"/>
          <w:szCs w:val="22"/>
          <w:lang w:eastAsia="en-US"/>
        </w:rPr>
        <w:t xml:space="preserve">significantly reduce corporate investment in response to </w:t>
      </w:r>
      <w:r w:rsidR="00244D72" w:rsidRPr="00233992">
        <w:rPr>
          <w:rFonts w:eastAsiaTheme="minorHAnsi"/>
          <w:color w:val="000000" w:themeColor="text1"/>
          <w:sz w:val="22"/>
          <w:szCs w:val="22"/>
          <w:lang w:eastAsia="en-US"/>
        </w:rPr>
        <w:t xml:space="preserve">restrictions on access to capital </w:t>
      </w:r>
      <w:r w:rsidR="0021161A" w:rsidRPr="00233992">
        <w:rPr>
          <w:rFonts w:eastAsiaTheme="minorHAnsi"/>
          <w:color w:val="000000" w:themeColor="text1"/>
          <w:sz w:val="22"/>
          <w:szCs w:val="22"/>
          <w:lang w:eastAsia="en-US"/>
        </w:rPr>
        <w:t>imposed by CFIUS</w:t>
      </w:r>
      <w:r w:rsidR="00245A4A" w:rsidRPr="00233992">
        <w:rPr>
          <w:rFonts w:eastAsiaTheme="minorHAnsi"/>
          <w:color w:val="000000" w:themeColor="text1"/>
          <w:sz w:val="22"/>
          <w:szCs w:val="22"/>
          <w:lang w:eastAsia="en-US"/>
        </w:rPr>
        <w:t xml:space="preserve">. </w:t>
      </w:r>
      <w:r w:rsidR="002C2E71">
        <w:rPr>
          <w:rFonts w:eastAsiaTheme="minorHAnsi"/>
          <w:color w:val="000000" w:themeColor="text1"/>
          <w:sz w:val="22"/>
          <w:szCs w:val="22"/>
          <w:lang w:eastAsia="en-US"/>
        </w:rPr>
        <w:t>C</w:t>
      </w:r>
      <w:r w:rsidR="00245A4A" w:rsidRPr="00233992">
        <w:rPr>
          <w:rFonts w:eastAsiaTheme="minorHAnsi"/>
          <w:color w:val="000000" w:themeColor="text1"/>
          <w:sz w:val="22"/>
          <w:szCs w:val="22"/>
          <w:lang w:eastAsia="en-US"/>
        </w:rPr>
        <w:t xml:space="preserve">ontrol variables across </w:t>
      </w:r>
      <w:r w:rsidR="00B36789" w:rsidRPr="00233992">
        <w:rPr>
          <w:rFonts w:eastAsiaTheme="minorHAnsi"/>
          <w:color w:val="000000" w:themeColor="text1"/>
          <w:sz w:val="22"/>
          <w:szCs w:val="22"/>
          <w:lang w:eastAsia="en-US"/>
        </w:rPr>
        <w:t xml:space="preserve">the </w:t>
      </w:r>
      <w:r w:rsidR="00245A4A" w:rsidRPr="00233992">
        <w:rPr>
          <w:rFonts w:eastAsiaTheme="minorHAnsi"/>
          <w:color w:val="000000" w:themeColor="text1"/>
          <w:sz w:val="22"/>
          <w:szCs w:val="22"/>
          <w:lang w:eastAsia="en-US"/>
        </w:rPr>
        <w:t xml:space="preserve">models </w:t>
      </w:r>
      <w:r w:rsidR="00245A4A" w:rsidRPr="00233992">
        <w:rPr>
          <w:rFonts w:eastAsiaTheme="minorHAnsi"/>
          <w:sz w:val="22"/>
          <w:szCs w:val="22"/>
          <w:lang w:eastAsia="en-US"/>
        </w:rPr>
        <w:t>have expected signs</w:t>
      </w:r>
      <w:r w:rsidR="00245A4A" w:rsidRPr="00233992">
        <w:rPr>
          <w:rFonts w:eastAsiaTheme="minorHAnsi"/>
          <w:color w:val="000000" w:themeColor="text1"/>
          <w:sz w:val="22"/>
          <w:szCs w:val="22"/>
          <w:lang w:eastAsia="en-US"/>
        </w:rPr>
        <w:t xml:space="preserve">, with investments increasing </w:t>
      </w:r>
      <w:r w:rsidR="00EC10C3" w:rsidRPr="00233992">
        <w:rPr>
          <w:rFonts w:eastAsiaTheme="minorHAnsi"/>
          <w:color w:val="000000" w:themeColor="text1"/>
          <w:sz w:val="22"/>
          <w:szCs w:val="22"/>
          <w:lang w:eastAsia="en-US"/>
        </w:rPr>
        <w:t xml:space="preserve">with </w:t>
      </w:r>
      <w:r w:rsidR="00DB5BDB" w:rsidRPr="00233992">
        <w:rPr>
          <w:rFonts w:eastAsiaTheme="minorHAnsi"/>
          <w:color w:val="000000" w:themeColor="text1"/>
          <w:sz w:val="22"/>
          <w:szCs w:val="22"/>
          <w:lang w:eastAsia="en-US"/>
        </w:rPr>
        <w:t xml:space="preserve">Cash flow </w:t>
      </w:r>
      <w:r w:rsidR="00245A4A" w:rsidRPr="00233992">
        <w:rPr>
          <w:rFonts w:eastAsiaTheme="minorHAnsi"/>
          <w:color w:val="000000" w:themeColor="text1"/>
          <w:sz w:val="22"/>
          <w:szCs w:val="22"/>
          <w:lang w:eastAsia="en-US"/>
        </w:rPr>
        <w:t xml:space="preserve">and </w:t>
      </w:r>
      <w:r w:rsidR="00DB5BDB" w:rsidRPr="00233992">
        <w:rPr>
          <w:iCs/>
          <w:sz w:val="22"/>
          <w:szCs w:val="22"/>
        </w:rPr>
        <w:t>Tobin’s Q</w:t>
      </w:r>
      <w:r w:rsidR="00547C07">
        <w:rPr>
          <w:iCs/>
          <w:sz w:val="22"/>
          <w:szCs w:val="22"/>
        </w:rPr>
        <w:t>,</w:t>
      </w:r>
      <w:r w:rsidR="00245A4A" w:rsidRPr="00233992">
        <w:rPr>
          <w:rFonts w:eastAsiaTheme="minorHAnsi"/>
          <w:color w:val="000000" w:themeColor="text1"/>
          <w:sz w:val="22"/>
          <w:szCs w:val="22"/>
          <w:lang w:eastAsia="en-US"/>
        </w:rPr>
        <w:t xml:space="preserve"> and decreasing </w:t>
      </w:r>
      <w:r w:rsidR="00EC10C3" w:rsidRPr="00233992">
        <w:rPr>
          <w:rFonts w:eastAsiaTheme="minorHAnsi"/>
          <w:color w:val="000000" w:themeColor="text1"/>
          <w:sz w:val="22"/>
          <w:szCs w:val="22"/>
          <w:lang w:eastAsia="en-US"/>
        </w:rPr>
        <w:t xml:space="preserve">with </w:t>
      </w:r>
      <w:r w:rsidR="00DB5BDB" w:rsidRPr="00233992">
        <w:rPr>
          <w:rFonts w:eastAsiaTheme="minorHAnsi"/>
          <w:iCs/>
          <w:color w:val="000000" w:themeColor="text1"/>
          <w:sz w:val="22"/>
          <w:szCs w:val="22"/>
          <w:lang w:eastAsia="en-US"/>
        </w:rPr>
        <w:t>L</w:t>
      </w:r>
      <w:r w:rsidR="00245A4A" w:rsidRPr="00233992">
        <w:rPr>
          <w:rFonts w:eastAsiaTheme="minorHAnsi"/>
          <w:iCs/>
          <w:color w:val="000000" w:themeColor="text1"/>
          <w:sz w:val="22"/>
          <w:szCs w:val="22"/>
          <w:lang w:eastAsia="en-US"/>
        </w:rPr>
        <w:t>everage</w:t>
      </w:r>
      <w:r w:rsidR="00245A4A" w:rsidRPr="00233992">
        <w:rPr>
          <w:rFonts w:eastAsiaTheme="minorHAnsi"/>
          <w:color w:val="000000" w:themeColor="text1"/>
          <w:sz w:val="22"/>
          <w:szCs w:val="22"/>
          <w:lang w:eastAsia="en-US"/>
        </w:rPr>
        <w:t xml:space="preserve"> and </w:t>
      </w:r>
      <w:r w:rsidR="00DB5BDB" w:rsidRPr="00233992">
        <w:rPr>
          <w:rFonts w:eastAsiaTheme="minorHAnsi"/>
          <w:iCs/>
          <w:color w:val="000000" w:themeColor="text1"/>
          <w:sz w:val="22"/>
          <w:szCs w:val="22"/>
          <w:lang w:eastAsia="en-US"/>
        </w:rPr>
        <w:t>S</w:t>
      </w:r>
      <w:r w:rsidR="00245A4A" w:rsidRPr="00233992">
        <w:rPr>
          <w:rFonts w:eastAsiaTheme="minorHAnsi"/>
          <w:iCs/>
          <w:color w:val="000000" w:themeColor="text1"/>
          <w:sz w:val="22"/>
          <w:szCs w:val="22"/>
          <w:lang w:eastAsia="en-US"/>
        </w:rPr>
        <w:t>ize</w:t>
      </w:r>
      <w:r w:rsidR="00245A4A" w:rsidRPr="00233992">
        <w:rPr>
          <w:rFonts w:eastAsiaTheme="minorHAnsi"/>
          <w:color w:val="000000" w:themeColor="text1"/>
          <w:sz w:val="22"/>
          <w:szCs w:val="22"/>
          <w:lang w:eastAsia="en-US"/>
        </w:rPr>
        <w:t>.</w:t>
      </w:r>
    </w:p>
    <w:p w14:paraId="109DA5F1" w14:textId="79C5FA62" w:rsidR="0021161A" w:rsidRPr="00233992" w:rsidRDefault="0021161A" w:rsidP="00233992">
      <w:pPr>
        <w:pStyle w:val="Normal2"/>
        <w:jc w:val="center"/>
        <w:rPr>
          <w:sz w:val="22"/>
          <w:szCs w:val="22"/>
        </w:rPr>
      </w:pPr>
      <w:r w:rsidRPr="00233992">
        <w:rPr>
          <w:sz w:val="22"/>
          <w:szCs w:val="22"/>
          <w:lang w:eastAsia="fr-FR"/>
        </w:rPr>
        <w:t xml:space="preserve">[Insert Table </w:t>
      </w:r>
      <w:r w:rsidR="00EB3F4A">
        <w:rPr>
          <w:rFonts w:eastAsiaTheme="minorHAnsi"/>
          <w:color w:val="000000" w:themeColor="text1"/>
          <w:sz w:val="22"/>
          <w:szCs w:val="22"/>
          <w:lang w:eastAsia="en-US"/>
        </w:rPr>
        <w:t>4</w:t>
      </w:r>
      <w:r w:rsidR="0063001C" w:rsidRPr="00233992">
        <w:rPr>
          <w:sz w:val="22"/>
          <w:szCs w:val="22"/>
          <w:lang w:eastAsia="fr-FR"/>
        </w:rPr>
        <w:t xml:space="preserve"> </w:t>
      </w:r>
      <w:r w:rsidRPr="00233992">
        <w:rPr>
          <w:sz w:val="22"/>
          <w:szCs w:val="22"/>
          <w:lang w:eastAsia="fr-FR"/>
        </w:rPr>
        <w:t>here]</w:t>
      </w:r>
    </w:p>
    <w:p w14:paraId="3307E9D6" w14:textId="20E27B4F" w:rsidR="00245A4A" w:rsidRPr="00233992" w:rsidRDefault="00245A4A" w:rsidP="00233992">
      <w:pPr>
        <w:spacing w:line="480" w:lineRule="auto"/>
        <w:jc w:val="both"/>
        <w:rPr>
          <w:rFonts w:eastAsiaTheme="minorHAnsi"/>
          <w:sz w:val="22"/>
          <w:szCs w:val="22"/>
          <w:lang w:eastAsia="en-US"/>
        </w:rPr>
      </w:pPr>
    </w:p>
    <w:p w14:paraId="281820B0" w14:textId="7797734B" w:rsidR="00583CEA" w:rsidRPr="00233992" w:rsidRDefault="00583CEA" w:rsidP="00233992">
      <w:pPr>
        <w:pStyle w:val="Paragraphedeliste"/>
        <w:numPr>
          <w:ilvl w:val="0"/>
          <w:numId w:val="5"/>
        </w:numPr>
        <w:spacing w:line="480" w:lineRule="auto"/>
        <w:jc w:val="both"/>
        <w:rPr>
          <w:rFonts w:eastAsiaTheme="minorHAnsi"/>
          <w:b/>
          <w:bCs/>
          <w:sz w:val="22"/>
          <w:szCs w:val="22"/>
          <w:lang w:eastAsia="en-US"/>
        </w:rPr>
      </w:pPr>
      <w:r w:rsidRPr="00233992">
        <w:rPr>
          <w:rFonts w:eastAsiaTheme="minorHAnsi"/>
          <w:b/>
          <w:bCs/>
          <w:sz w:val="22"/>
          <w:szCs w:val="22"/>
          <w:lang w:eastAsia="en-US"/>
        </w:rPr>
        <w:t xml:space="preserve">Endogeneity </w:t>
      </w:r>
      <w:r w:rsidR="00FF4F92">
        <w:rPr>
          <w:rFonts w:eastAsiaTheme="minorHAnsi"/>
          <w:b/>
          <w:bCs/>
          <w:sz w:val="22"/>
          <w:szCs w:val="22"/>
          <w:lang w:eastAsia="en-US"/>
        </w:rPr>
        <w:t>a</w:t>
      </w:r>
      <w:r w:rsidR="00244D72" w:rsidRPr="00233992">
        <w:rPr>
          <w:rFonts w:eastAsiaTheme="minorHAnsi"/>
          <w:b/>
          <w:bCs/>
          <w:sz w:val="22"/>
          <w:szCs w:val="22"/>
          <w:lang w:eastAsia="en-US"/>
        </w:rPr>
        <w:t>nalysis</w:t>
      </w:r>
    </w:p>
    <w:p w14:paraId="6C9506C8" w14:textId="35B250EA" w:rsidR="00D94D5D" w:rsidRDefault="00DB5BDB"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243EA1" w:rsidRPr="00243EA1">
        <w:rPr>
          <w:rFonts w:eastAsiaTheme="minorHAnsi"/>
          <w:color w:val="000000" w:themeColor="text1"/>
          <w:sz w:val="22"/>
          <w:szCs w:val="22"/>
          <w:lang w:eastAsia="en-US"/>
        </w:rPr>
        <w:t xml:space="preserve">Our identification design is the staggered difference-and-differences in which shocks (CFIUS interventions) occur in different industries at different points in time. The assessment of national security </w:t>
      </w:r>
      <w:r w:rsidR="00243EA1" w:rsidRPr="00243EA1">
        <w:rPr>
          <w:rFonts w:eastAsiaTheme="minorHAnsi"/>
          <w:color w:val="000000" w:themeColor="text1"/>
          <w:sz w:val="22"/>
          <w:szCs w:val="22"/>
          <w:lang w:eastAsia="en-US"/>
        </w:rPr>
        <w:lastRenderedPageBreak/>
        <w:t>threats is partly a political construct framed by the incumbent administration (Jackson</w:t>
      </w:r>
      <w:r w:rsidR="00243EA1">
        <w:rPr>
          <w:rFonts w:eastAsiaTheme="minorHAnsi"/>
          <w:color w:val="000000" w:themeColor="text1"/>
          <w:sz w:val="22"/>
          <w:szCs w:val="22"/>
          <w:lang w:eastAsia="en-US"/>
        </w:rPr>
        <w:t>,</w:t>
      </w:r>
      <w:r w:rsidR="00243EA1" w:rsidRPr="00243EA1">
        <w:rPr>
          <w:rFonts w:eastAsiaTheme="minorHAnsi"/>
          <w:color w:val="000000" w:themeColor="text1"/>
          <w:sz w:val="22"/>
          <w:szCs w:val="22"/>
          <w:lang w:eastAsia="en-US"/>
        </w:rPr>
        <w:t xml:space="preserve"> 2020). Yet, this political facet alone does not guarantee </w:t>
      </w:r>
      <w:r w:rsidR="00956D64" w:rsidRPr="00233992">
        <w:rPr>
          <w:rFonts w:eastAsiaTheme="minorHAnsi"/>
          <w:sz w:val="22"/>
          <w:szCs w:val="22"/>
          <w:lang w:eastAsia="en-US"/>
        </w:rPr>
        <w:t>that</w:t>
      </w:r>
      <w:r w:rsidR="00A02A65" w:rsidRPr="00233992">
        <w:rPr>
          <w:rFonts w:eastAsiaTheme="minorHAnsi"/>
          <w:sz w:val="22"/>
          <w:szCs w:val="22"/>
          <w:lang w:eastAsia="en-US"/>
        </w:rPr>
        <w:t xml:space="preserve"> </w:t>
      </w:r>
      <w:r w:rsidR="00E87FCB" w:rsidRPr="00233992">
        <w:rPr>
          <w:rFonts w:eastAsiaTheme="minorHAnsi"/>
          <w:sz w:val="22"/>
          <w:szCs w:val="22"/>
          <w:lang w:eastAsia="en-US"/>
        </w:rPr>
        <w:t xml:space="preserve">staggered </w:t>
      </w:r>
      <w:r w:rsidR="00956D64" w:rsidRPr="00233992">
        <w:rPr>
          <w:rFonts w:eastAsiaTheme="minorHAnsi"/>
          <w:sz w:val="22"/>
          <w:szCs w:val="22"/>
          <w:lang w:eastAsia="en-US"/>
        </w:rPr>
        <w:t xml:space="preserve">CFIUS </w:t>
      </w:r>
      <w:r w:rsidR="00A02A65" w:rsidRPr="00233992">
        <w:rPr>
          <w:rFonts w:eastAsiaTheme="minorHAnsi"/>
          <w:sz w:val="22"/>
          <w:szCs w:val="22"/>
          <w:lang w:eastAsia="en-US"/>
        </w:rPr>
        <w:t xml:space="preserve">interventions </w:t>
      </w:r>
      <w:r w:rsidR="00956D64" w:rsidRPr="00233992">
        <w:rPr>
          <w:rFonts w:eastAsiaTheme="minorHAnsi"/>
          <w:sz w:val="22"/>
          <w:szCs w:val="22"/>
          <w:lang w:eastAsia="en-US"/>
        </w:rPr>
        <w:t>are exogenous with respect to corporate investment.</w:t>
      </w:r>
      <w:r w:rsidR="00E0512F" w:rsidRPr="00233992">
        <w:rPr>
          <w:rFonts w:eastAsiaTheme="minorHAnsi"/>
          <w:sz w:val="22"/>
          <w:szCs w:val="22"/>
          <w:lang w:eastAsia="en-US"/>
        </w:rPr>
        <w:t xml:space="preserve"> To </w:t>
      </w:r>
      <w:r w:rsidR="00511730" w:rsidRPr="00233992">
        <w:rPr>
          <w:rFonts w:eastAsiaTheme="minorHAnsi"/>
          <w:sz w:val="22"/>
          <w:szCs w:val="22"/>
          <w:lang w:eastAsia="en-US"/>
        </w:rPr>
        <w:t>address</w:t>
      </w:r>
      <w:r w:rsidR="00E0512F" w:rsidRPr="00233992">
        <w:rPr>
          <w:rFonts w:eastAsiaTheme="minorHAnsi"/>
          <w:sz w:val="22"/>
          <w:szCs w:val="22"/>
          <w:lang w:eastAsia="en-US"/>
        </w:rPr>
        <w:t xml:space="preserve"> </w:t>
      </w:r>
      <w:r w:rsidR="00773BFE" w:rsidRPr="00233992">
        <w:rPr>
          <w:rFonts w:eastAsiaTheme="minorHAnsi"/>
          <w:sz w:val="22"/>
          <w:szCs w:val="22"/>
          <w:lang w:eastAsia="en-US"/>
        </w:rPr>
        <w:t xml:space="preserve">concerns </w:t>
      </w:r>
      <w:r w:rsidR="00281706" w:rsidRPr="00233992">
        <w:rPr>
          <w:rFonts w:eastAsiaTheme="minorHAnsi"/>
          <w:sz w:val="22"/>
          <w:szCs w:val="22"/>
          <w:lang w:eastAsia="en-US"/>
        </w:rPr>
        <w:t>regarding</w:t>
      </w:r>
      <w:r w:rsidR="00511730" w:rsidRPr="00233992">
        <w:rPr>
          <w:rFonts w:eastAsiaTheme="minorHAnsi"/>
          <w:sz w:val="22"/>
          <w:szCs w:val="22"/>
          <w:lang w:eastAsia="en-US"/>
        </w:rPr>
        <w:t xml:space="preserve"> potential violations of the parallel trends assumption</w:t>
      </w:r>
      <w:r w:rsidR="00E0512F" w:rsidRPr="00233992">
        <w:rPr>
          <w:rFonts w:eastAsiaTheme="minorHAnsi"/>
          <w:sz w:val="22"/>
          <w:szCs w:val="22"/>
          <w:lang w:eastAsia="en-US"/>
        </w:rPr>
        <w:t xml:space="preserve">, we </w:t>
      </w:r>
      <w:r w:rsidR="00281706" w:rsidRPr="00233992">
        <w:rPr>
          <w:rFonts w:eastAsiaTheme="minorHAnsi"/>
          <w:sz w:val="22"/>
          <w:szCs w:val="22"/>
          <w:lang w:eastAsia="en-US"/>
        </w:rPr>
        <w:t xml:space="preserve">perform </w:t>
      </w:r>
      <w:r w:rsidR="00A02A65" w:rsidRPr="00233992">
        <w:rPr>
          <w:rFonts w:eastAsiaTheme="minorHAnsi"/>
          <w:sz w:val="22"/>
          <w:szCs w:val="22"/>
          <w:lang w:eastAsia="en-US"/>
        </w:rPr>
        <w:t xml:space="preserve">a battery of </w:t>
      </w:r>
      <w:r w:rsidR="00281706" w:rsidRPr="00233992">
        <w:rPr>
          <w:rFonts w:eastAsiaTheme="minorHAnsi"/>
          <w:sz w:val="22"/>
          <w:szCs w:val="22"/>
          <w:lang w:eastAsia="en-US"/>
        </w:rPr>
        <w:t xml:space="preserve">endogeneity </w:t>
      </w:r>
      <w:r w:rsidR="00E0512F" w:rsidRPr="00233992">
        <w:rPr>
          <w:rFonts w:eastAsiaTheme="minorHAnsi"/>
          <w:sz w:val="22"/>
          <w:szCs w:val="22"/>
          <w:lang w:eastAsia="en-US"/>
        </w:rPr>
        <w:t>tests</w:t>
      </w:r>
      <w:r w:rsidR="004F5D1D" w:rsidRPr="00233992">
        <w:rPr>
          <w:rFonts w:eastAsiaTheme="minorHAnsi"/>
          <w:sz w:val="22"/>
          <w:szCs w:val="22"/>
          <w:lang w:eastAsia="en-US"/>
        </w:rPr>
        <w:t>.</w:t>
      </w:r>
    </w:p>
    <w:p w14:paraId="2BA136A1" w14:textId="1CF3FBE2" w:rsidR="00583CEA" w:rsidRPr="00233992" w:rsidRDefault="00D94D5D"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9A09FC" w:rsidRPr="00233992">
        <w:rPr>
          <w:rFonts w:eastAsiaTheme="minorHAnsi"/>
          <w:sz w:val="22"/>
          <w:szCs w:val="22"/>
          <w:lang w:eastAsia="en-US"/>
        </w:rPr>
        <w:t>I</w:t>
      </w:r>
      <w:r w:rsidR="00511730" w:rsidRPr="00233992">
        <w:rPr>
          <w:rFonts w:eastAsiaTheme="minorHAnsi"/>
          <w:sz w:val="22"/>
          <w:szCs w:val="22"/>
          <w:lang w:eastAsia="en-US"/>
        </w:rPr>
        <w:t>t</w:t>
      </w:r>
      <w:r w:rsidR="00AB6C46" w:rsidRPr="00233992">
        <w:rPr>
          <w:rFonts w:eastAsiaTheme="minorHAnsi"/>
          <w:sz w:val="22"/>
          <w:szCs w:val="22"/>
          <w:lang w:eastAsia="en-US"/>
        </w:rPr>
        <w:t xml:space="preserve"> could</w:t>
      </w:r>
      <w:r w:rsidR="00511730" w:rsidRPr="00233992">
        <w:rPr>
          <w:rFonts w:eastAsiaTheme="minorHAnsi"/>
          <w:sz w:val="22"/>
          <w:szCs w:val="22"/>
          <w:lang w:eastAsia="en-US"/>
        </w:rPr>
        <w:t xml:space="preserve"> be</w:t>
      </w:r>
      <w:r w:rsidR="00AB6C46" w:rsidRPr="00233992">
        <w:rPr>
          <w:rFonts w:eastAsiaTheme="minorHAnsi"/>
          <w:sz w:val="22"/>
          <w:szCs w:val="22"/>
          <w:lang w:eastAsia="en-US"/>
        </w:rPr>
        <w:t xml:space="preserve"> argue</w:t>
      </w:r>
      <w:r w:rsidR="00511730" w:rsidRPr="00233992">
        <w:rPr>
          <w:rFonts w:eastAsiaTheme="minorHAnsi"/>
          <w:sz w:val="22"/>
          <w:szCs w:val="22"/>
          <w:lang w:eastAsia="en-US"/>
        </w:rPr>
        <w:t>d</w:t>
      </w:r>
      <w:r w:rsidR="00AB6C46" w:rsidRPr="00233992">
        <w:rPr>
          <w:rFonts w:eastAsiaTheme="minorHAnsi"/>
          <w:sz w:val="22"/>
          <w:szCs w:val="22"/>
          <w:lang w:eastAsia="en-US"/>
        </w:rPr>
        <w:t xml:space="preserve"> </w:t>
      </w:r>
      <w:r w:rsidR="005758ED" w:rsidRPr="00233992">
        <w:rPr>
          <w:rFonts w:eastAsiaTheme="minorHAnsi"/>
          <w:sz w:val="22"/>
          <w:szCs w:val="22"/>
          <w:lang w:eastAsia="en-US"/>
        </w:rPr>
        <w:t xml:space="preserve">that foreign buyers do not seek to acquire targets randomly and that takeover </w:t>
      </w:r>
      <w:r w:rsidR="00371493" w:rsidRPr="00233992">
        <w:rPr>
          <w:rFonts w:eastAsiaTheme="minorHAnsi"/>
          <w:sz w:val="22"/>
          <w:szCs w:val="22"/>
          <w:lang w:eastAsia="en-US"/>
        </w:rPr>
        <w:t>incentives</w:t>
      </w:r>
      <w:r w:rsidR="005758ED" w:rsidRPr="00233992">
        <w:rPr>
          <w:rFonts w:eastAsiaTheme="minorHAnsi"/>
          <w:sz w:val="22"/>
          <w:szCs w:val="22"/>
          <w:lang w:eastAsia="en-US"/>
        </w:rPr>
        <w:t xml:space="preserve"> are </w:t>
      </w:r>
      <w:r w:rsidR="00371493" w:rsidRPr="00233992">
        <w:rPr>
          <w:rFonts w:eastAsiaTheme="minorHAnsi"/>
          <w:sz w:val="22"/>
          <w:szCs w:val="22"/>
          <w:lang w:eastAsia="en-US"/>
        </w:rPr>
        <w:t>endogenous (</w:t>
      </w:r>
      <w:r w:rsidR="001E7742" w:rsidRPr="00233992">
        <w:rPr>
          <w:rFonts w:eastAsiaTheme="minorHAnsi"/>
          <w:sz w:val="22"/>
          <w:szCs w:val="22"/>
          <w:lang w:eastAsia="en-US"/>
        </w:rPr>
        <w:t xml:space="preserve">Alvarez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1E7742" w:rsidRPr="00233992">
        <w:rPr>
          <w:rFonts w:eastAsiaTheme="minorHAnsi"/>
          <w:sz w:val="22"/>
          <w:szCs w:val="22"/>
          <w:lang w:eastAsia="en-US"/>
        </w:rPr>
        <w:t>Stenbacka</w:t>
      </w:r>
      <w:r w:rsidR="0014184E" w:rsidRPr="00233992">
        <w:rPr>
          <w:rFonts w:eastAsiaTheme="minorHAnsi"/>
          <w:sz w:val="22"/>
          <w:szCs w:val="22"/>
          <w:lang w:eastAsia="en-US"/>
        </w:rPr>
        <w:t>, 2006;</w:t>
      </w:r>
      <w:r w:rsidR="001E7742" w:rsidRPr="00233992">
        <w:rPr>
          <w:rFonts w:eastAsiaTheme="minorHAnsi"/>
          <w:sz w:val="22"/>
          <w:szCs w:val="22"/>
          <w:lang w:eastAsia="en-US"/>
        </w:rPr>
        <w:t xml:space="preserve"> </w:t>
      </w:r>
      <w:r w:rsidR="00371493" w:rsidRPr="00233992">
        <w:rPr>
          <w:rFonts w:eastAsiaTheme="minorHAnsi"/>
          <w:sz w:val="22"/>
          <w:szCs w:val="22"/>
          <w:lang w:eastAsia="en-US"/>
        </w:rPr>
        <w:t xml:space="preserve">Loderer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14184E" w:rsidRPr="00233992">
        <w:rPr>
          <w:rFonts w:eastAsiaTheme="minorHAnsi"/>
          <w:sz w:val="22"/>
          <w:szCs w:val="22"/>
          <w:lang w:eastAsia="en-US"/>
        </w:rPr>
        <w:t>Waelchli, 2015</w:t>
      </w:r>
      <w:r w:rsidR="00371493" w:rsidRPr="00233992">
        <w:rPr>
          <w:rFonts w:eastAsiaTheme="minorHAnsi"/>
          <w:sz w:val="22"/>
          <w:szCs w:val="22"/>
          <w:lang w:eastAsia="en-US"/>
        </w:rPr>
        <w:t>).</w:t>
      </w:r>
      <w:r w:rsidR="00AB6C46" w:rsidRPr="00233992">
        <w:rPr>
          <w:rFonts w:eastAsiaTheme="minorHAnsi"/>
          <w:sz w:val="22"/>
          <w:szCs w:val="22"/>
          <w:lang w:eastAsia="en-US"/>
        </w:rPr>
        <w:t xml:space="preserve"> </w:t>
      </w:r>
      <w:r w:rsidR="00511730" w:rsidRPr="00233992">
        <w:rPr>
          <w:rFonts w:eastAsiaTheme="minorHAnsi"/>
          <w:sz w:val="22"/>
          <w:szCs w:val="22"/>
          <w:lang w:eastAsia="en-US"/>
        </w:rPr>
        <w:t>In this vein</w:t>
      </w:r>
      <w:r w:rsidR="00AB6C46" w:rsidRPr="00233992">
        <w:rPr>
          <w:rFonts w:eastAsiaTheme="minorHAnsi"/>
          <w:sz w:val="22"/>
          <w:szCs w:val="22"/>
          <w:lang w:eastAsia="en-US"/>
        </w:rPr>
        <w:t xml:space="preserve">, </w:t>
      </w:r>
      <w:r w:rsidR="0014184E" w:rsidRPr="00233992">
        <w:rPr>
          <w:rFonts w:eastAsiaTheme="minorHAnsi"/>
          <w:sz w:val="22"/>
          <w:szCs w:val="22"/>
          <w:lang w:eastAsia="en-US"/>
        </w:rPr>
        <w:t>the existing literature has provided</w:t>
      </w:r>
      <w:r w:rsidR="009A09FC" w:rsidRPr="00233992">
        <w:rPr>
          <w:rFonts w:eastAsiaTheme="minorHAnsi"/>
          <w:sz w:val="22"/>
          <w:szCs w:val="22"/>
          <w:lang w:eastAsia="en-US"/>
        </w:rPr>
        <w:t xml:space="preserve"> however</w:t>
      </w:r>
      <w:r w:rsidR="0014184E" w:rsidRPr="00233992">
        <w:rPr>
          <w:rFonts w:eastAsiaTheme="minorHAnsi"/>
          <w:sz w:val="22"/>
          <w:szCs w:val="22"/>
          <w:lang w:eastAsia="en-US"/>
        </w:rPr>
        <w:t xml:space="preserve"> mixed evidence</w:t>
      </w:r>
      <w:r w:rsidR="00666B7B" w:rsidRPr="00233992">
        <w:rPr>
          <w:rFonts w:eastAsiaTheme="minorHAnsi"/>
          <w:sz w:val="22"/>
          <w:szCs w:val="22"/>
          <w:lang w:eastAsia="en-US"/>
        </w:rPr>
        <w:t xml:space="preserve"> (</w:t>
      </w:r>
      <w:r w:rsidR="0014184E" w:rsidRPr="00233992">
        <w:rPr>
          <w:rFonts w:eastAsiaTheme="minorHAnsi"/>
          <w:sz w:val="22"/>
          <w:szCs w:val="22"/>
          <w:lang w:eastAsia="en-US"/>
        </w:rPr>
        <w:t xml:space="preserve">Cao, Li,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14184E" w:rsidRPr="00233992">
        <w:rPr>
          <w:rFonts w:eastAsiaTheme="minorHAnsi"/>
          <w:sz w:val="22"/>
          <w:szCs w:val="22"/>
          <w:lang w:eastAsia="en-US"/>
        </w:rPr>
        <w:t>Liu, 2019</w:t>
      </w:r>
      <w:r w:rsidR="00666B7B" w:rsidRPr="00233992">
        <w:rPr>
          <w:rFonts w:eastAsiaTheme="minorHAnsi"/>
          <w:sz w:val="22"/>
          <w:szCs w:val="22"/>
          <w:lang w:eastAsia="en-US"/>
        </w:rPr>
        <w:t xml:space="preserve">). </w:t>
      </w:r>
      <w:r w:rsidR="009A09FC" w:rsidRPr="00233992">
        <w:rPr>
          <w:rFonts w:eastAsiaTheme="minorHAnsi"/>
          <w:sz w:val="22"/>
          <w:szCs w:val="22"/>
          <w:lang w:eastAsia="en-US"/>
        </w:rPr>
        <w:t>Notably, t</w:t>
      </w:r>
      <w:r w:rsidR="00AB6C46" w:rsidRPr="00233992">
        <w:rPr>
          <w:rFonts w:eastAsiaTheme="minorHAnsi"/>
          <w:sz w:val="22"/>
          <w:szCs w:val="22"/>
          <w:lang w:eastAsia="en-US"/>
        </w:rPr>
        <w:t>his potential self-selection</w:t>
      </w:r>
      <w:r w:rsidR="005758ED" w:rsidRPr="00233992">
        <w:rPr>
          <w:rFonts w:eastAsiaTheme="minorHAnsi"/>
          <w:sz w:val="22"/>
          <w:szCs w:val="22"/>
          <w:lang w:eastAsia="en-US"/>
        </w:rPr>
        <w:t xml:space="preserve"> </w:t>
      </w:r>
      <w:r w:rsidR="00AB6C46" w:rsidRPr="00233992">
        <w:rPr>
          <w:rFonts w:eastAsiaTheme="minorHAnsi"/>
          <w:sz w:val="22"/>
          <w:szCs w:val="22"/>
          <w:lang w:eastAsia="en-US"/>
        </w:rPr>
        <w:t xml:space="preserve">is not a concern because our paper is centered on CFIUS interventions </w:t>
      </w:r>
      <w:r w:rsidR="00BA5C7C" w:rsidRPr="00233992">
        <w:rPr>
          <w:rFonts w:eastAsiaTheme="minorHAnsi"/>
          <w:sz w:val="22"/>
          <w:szCs w:val="22"/>
          <w:lang w:eastAsia="en-US"/>
        </w:rPr>
        <w:t xml:space="preserve">as shocks at industry level </w:t>
      </w:r>
      <w:r w:rsidR="00AB6C46" w:rsidRPr="00233992">
        <w:rPr>
          <w:rFonts w:eastAsiaTheme="minorHAnsi"/>
          <w:sz w:val="22"/>
          <w:szCs w:val="22"/>
          <w:lang w:eastAsia="en-US"/>
        </w:rPr>
        <w:t>instead of takeover decisions.</w:t>
      </w:r>
    </w:p>
    <w:p w14:paraId="45AB9AFC" w14:textId="64E9817E" w:rsidR="006505BF" w:rsidRPr="00233992" w:rsidRDefault="00DB5BDB"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511730" w:rsidRPr="00233992">
        <w:rPr>
          <w:rFonts w:eastAsiaTheme="minorHAnsi"/>
          <w:sz w:val="22"/>
          <w:szCs w:val="22"/>
          <w:lang w:eastAsia="en-US"/>
        </w:rPr>
        <w:t>It could be argued</w:t>
      </w:r>
      <w:r w:rsidR="003B1CEB" w:rsidRPr="00233992">
        <w:rPr>
          <w:rFonts w:eastAsiaTheme="minorHAnsi"/>
          <w:sz w:val="22"/>
          <w:szCs w:val="22"/>
          <w:lang w:eastAsia="en-US"/>
        </w:rPr>
        <w:t xml:space="preserve"> that CFIUS </w:t>
      </w:r>
      <w:r w:rsidR="00A02A65" w:rsidRPr="00233992">
        <w:rPr>
          <w:rFonts w:eastAsiaTheme="minorHAnsi"/>
          <w:sz w:val="22"/>
          <w:szCs w:val="22"/>
          <w:lang w:eastAsia="en-US"/>
        </w:rPr>
        <w:t xml:space="preserve">interventions </w:t>
      </w:r>
      <w:r w:rsidR="00EC10C3" w:rsidRPr="00233992">
        <w:rPr>
          <w:rFonts w:eastAsiaTheme="minorHAnsi"/>
          <w:sz w:val="22"/>
          <w:szCs w:val="22"/>
          <w:lang w:eastAsia="en-US"/>
        </w:rPr>
        <w:t xml:space="preserve">do </w:t>
      </w:r>
      <w:r w:rsidR="003B1CEB" w:rsidRPr="00233992">
        <w:rPr>
          <w:rFonts w:eastAsiaTheme="minorHAnsi"/>
          <w:sz w:val="22"/>
          <w:szCs w:val="22"/>
          <w:lang w:eastAsia="en-US"/>
        </w:rPr>
        <w:t xml:space="preserve">not cause the </w:t>
      </w:r>
      <w:r w:rsidR="00A81CCB" w:rsidRPr="00233992">
        <w:rPr>
          <w:rFonts w:eastAsiaTheme="minorHAnsi"/>
          <w:sz w:val="22"/>
          <w:szCs w:val="22"/>
          <w:lang w:eastAsia="en-US"/>
        </w:rPr>
        <w:t xml:space="preserve">decreases </w:t>
      </w:r>
      <w:r w:rsidR="003B1CEB" w:rsidRPr="00233992">
        <w:rPr>
          <w:rFonts w:eastAsiaTheme="minorHAnsi"/>
          <w:sz w:val="22"/>
          <w:szCs w:val="22"/>
          <w:lang w:eastAsia="en-US"/>
        </w:rPr>
        <w:t>in investment</w:t>
      </w:r>
      <w:r w:rsidR="00A81CCB" w:rsidRPr="00233992">
        <w:rPr>
          <w:rFonts w:eastAsiaTheme="minorHAnsi"/>
          <w:sz w:val="22"/>
          <w:szCs w:val="22"/>
          <w:lang w:eastAsia="en-US"/>
        </w:rPr>
        <w:t>s</w:t>
      </w:r>
      <w:r w:rsidR="003B1CEB" w:rsidRPr="00233992">
        <w:rPr>
          <w:rFonts w:eastAsiaTheme="minorHAnsi"/>
          <w:sz w:val="22"/>
          <w:szCs w:val="22"/>
          <w:lang w:eastAsia="en-US"/>
        </w:rPr>
        <w:t xml:space="preserve"> but </w:t>
      </w:r>
      <w:r w:rsidR="00A81CCB" w:rsidRPr="00233992">
        <w:rPr>
          <w:rFonts w:eastAsiaTheme="minorHAnsi"/>
          <w:sz w:val="22"/>
          <w:szCs w:val="22"/>
          <w:lang w:eastAsia="en-US"/>
        </w:rPr>
        <w:t xml:space="preserve">are </w:t>
      </w:r>
      <w:r w:rsidR="00EC10C3" w:rsidRPr="00233992">
        <w:rPr>
          <w:rFonts w:eastAsiaTheme="minorHAnsi"/>
          <w:sz w:val="22"/>
          <w:szCs w:val="22"/>
          <w:lang w:eastAsia="en-US"/>
        </w:rPr>
        <w:t xml:space="preserve">rather </w:t>
      </w:r>
      <w:r w:rsidR="00B80177" w:rsidRPr="00B80177">
        <w:rPr>
          <w:rFonts w:eastAsiaTheme="minorHAnsi"/>
          <w:sz w:val="22"/>
          <w:szCs w:val="22"/>
          <w:lang w:eastAsia="en-US"/>
        </w:rPr>
        <w:t xml:space="preserve">jointly determined by </w:t>
      </w:r>
      <w:r w:rsidR="003B1CEB" w:rsidRPr="00233992">
        <w:rPr>
          <w:rFonts w:eastAsiaTheme="minorHAnsi"/>
          <w:sz w:val="22"/>
          <w:szCs w:val="22"/>
          <w:lang w:eastAsia="en-US"/>
        </w:rPr>
        <w:t xml:space="preserve">the takeover bid. </w:t>
      </w:r>
      <w:r w:rsidR="00D21DED" w:rsidRPr="00233992">
        <w:rPr>
          <w:rFonts w:eastAsiaTheme="minorHAnsi"/>
          <w:sz w:val="22"/>
          <w:szCs w:val="22"/>
          <w:lang w:eastAsia="en-US"/>
        </w:rPr>
        <w:t xml:space="preserve">This would lead to investment changes occurring in anticipation. To test for this potential explanation, we conduct a </w:t>
      </w:r>
      <w:r w:rsidR="00691F05" w:rsidRPr="00233992">
        <w:rPr>
          <w:rFonts w:eastAsiaTheme="minorHAnsi"/>
          <w:sz w:val="22"/>
          <w:szCs w:val="22"/>
          <w:lang w:eastAsia="en-US"/>
        </w:rPr>
        <w:t xml:space="preserve">series of placebo </w:t>
      </w:r>
      <w:r w:rsidR="00D21DED" w:rsidRPr="00233992">
        <w:rPr>
          <w:rFonts w:eastAsiaTheme="minorHAnsi"/>
          <w:sz w:val="22"/>
          <w:szCs w:val="22"/>
          <w:lang w:eastAsia="en-US"/>
        </w:rPr>
        <w:t>test</w:t>
      </w:r>
      <w:r w:rsidR="00691F05" w:rsidRPr="00233992">
        <w:rPr>
          <w:rFonts w:eastAsiaTheme="minorHAnsi"/>
          <w:sz w:val="22"/>
          <w:szCs w:val="22"/>
          <w:lang w:eastAsia="en-US"/>
        </w:rPr>
        <w:t>s</w:t>
      </w:r>
      <w:r w:rsidR="00D21DED" w:rsidRPr="00233992">
        <w:rPr>
          <w:rFonts w:eastAsiaTheme="minorHAnsi"/>
          <w:sz w:val="22"/>
          <w:szCs w:val="22"/>
          <w:lang w:eastAsia="en-US"/>
        </w:rPr>
        <w:t xml:space="preserve">. Instead of the year of </w:t>
      </w:r>
      <w:r w:rsidR="006505BF" w:rsidRPr="00233992">
        <w:rPr>
          <w:rFonts w:eastAsiaTheme="minorHAnsi"/>
          <w:sz w:val="22"/>
          <w:szCs w:val="22"/>
          <w:lang w:eastAsia="en-US"/>
        </w:rPr>
        <w:t xml:space="preserve">the </w:t>
      </w:r>
      <w:r w:rsidR="00D21DED" w:rsidRPr="00233992">
        <w:rPr>
          <w:rFonts w:eastAsiaTheme="minorHAnsi"/>
          <w:sz w:val="22"/>
          <w:szCs w:val="22"/>
          <w:lang w:eastAsia="en-US"/>
        </w:rPr>
        <w:t xml:space="preserve">CFIUS </w:t>
      </w:r>
      <w:r w:rsidR="006E7B75" w:rsidRPr="00233992">
        <w:rPr>
          <w:rFonts w:eastAsiaTheme="minorHAnsi"/>
          <w:sz w:val="22"/>
          <w:szCs w:val="22"/>
          <w:lang w:eastAsia="en-US"/>
        </w:rPr>
        <w:t>intervention</w:t>
      </w:r>
      <w:r w:rsidR="00D21DED" w:rsidRPr="00233992">
        <w:rPr>
          <w:rFonts w:eastAsiaTheme="minorHAnsi"/>
          <w:sz w:val="22"/>
          <w:szCs w:val="22"/>
          <w:lang w:eastAsia="en-US"/>
        </w:rPr>
        <w:t xml:space="preserve">, as a shock, we use the year preceding </w:t>
      </w:r>
      <w:r w:rsidR="00BF0C2F" w:rsidRPr="00233992">
        <w:rPr>
          <w:rFonts w:eastAsiaTheme="minorHAnsi"/>
          <w:sz w:val="22"/>
          <w:szCs w:val="22"/>
          <w:lang w:eastAsia="en-US"/>
        </w:rPr>
        <w:t xml:space="preserve">(CFIUS Block one-year before) </w:t>
      </w:r>
      <w:r w:rsidR="00D21DED" w:rsidRPr="00233992">
        <w:rPr>
          <w:rFonts w:eastAsiaTheme="minorHAnsi"/>
          <w:sz w:val="22"/>
          <w:szCs w:val="22"/>
          <w:lang w:eastAsia="en-US"/>
        </w:rPr>
        <w:t xml:space="preserve">and alternatively the </w:t>
      </w:r>
      <w:r w:rsidR="0027794E" w:rsidRPr="00233992">
        <w:rPr>
          <w:rFonts w:eastAsiaTheme="minorHAnsi"/>
          <w:sz w:val="22"/>
          <w:szCs w:val="22"/>
          <w:lang w:eastAsia="en-US"/>
        </w:rPr>
        <w:t>two years</w:t>
      </w:r>
      <w:r w:rsidR="00D21DED" w:rsidRPr="00233992">
        <w:rPr>
          <w:rFonts w:eastAsiaTheme="minorHAnsi"/>
          <w:sz w:val="22"/>
          <w:szCs w:val="22"/>
          <w:lang w:eastAsia="en-US"/>
        </w:rPr>
        <w:t xml:space="preserve"> before </w:t>
      </w:r>
      <w:r w:rsidR="00D16791" w:rsidRPr="00233992">
        <w:rPr>
          <w:rFonts w:eastAsiaTheme="minorHAnsi"/>
          <w:sz w:val="22"/>
          <w:szCs w:val="22"/>
          <w:lang w:eastAsia="en-US"/>
        </w:rPr>
        <w:t>it</w:t>
      </w:r>
      <w:r w:rsidR="00BF0C2F" w:rsidRPr="00233992">
        <w:rPr>
          <w:rFonts w:eastAsiaTheme="minorHAnsi"/>
          <w:sz w:val="22"/>
          <w:szCs w:val="22"/>
          <w:lang w:eastAsia="en-US"/>
        </w:rPr>
        <w:t xml:space="preserve"> (CFIUS Block two-year before)</w:t>
      </w:r>
      <w:r w:rsidR="00EC22E5" w:rsidRPr="00233992">
        <w:rPr>
          <w:rFonts w:eastAsiaTheme="minorHAnsi"/>
          <w:sz w:val="22"/>
          <w:szCs w:val="22"/>
          <w:lang w:eastAsia="en-US"/>
        </w:rPr>
        <w:t>.</w:t>
      </w:r>
      <w:r w:rsidR="007C71FC" w:rsidRPr="00233992">
        <w:rPr>
          <w:rFonts w:eastAsiaTheme="minorHAnsi"/>
          <w:sz w:val="22"/>
          <w:szCs w:val="22"/>
          <w:lang w:eastAsia="en-US"/>
        </w:rPr>
        <w:t xml:space="preserve"> </w:t>
      </w:r>
      <w:r w:rsidR="00D16791" w:rsidRPr="00233992">
        <w:rPr>
          <w:rFonts w:eastAsiaTheme="minorHAnsi"/>
          <w:sz w:val="22"/>
          <w:szCs w:val="22"/>
          <w:lang w:eastAsia="en-US"/>
        </w:rPr>
        <w:t xml:space="preserve">We provide the results in </w:t>
      </w:r>
      <w:r w:rsidR="00EC10C3" w:rsidRPr="00233992">
        <w:rPr>
          <w:rFonts w:eastAsiaTheme="minorHAnsi"/>
          <w:sz w:val="22"/>
          <w:szCs w:val="22"/>
          <w:lang w:eastAsia="en-US"/>
        </w:rPr>
        <w:t xml:space="preserve">Table </w:t>
      </w:r>
      <w:r w:rsidR="00EB3F4A">
        <w:rPr>
          <w:rFonts w:eastAsiaTheme="minorHAnsi"/>
          <w:color w:val="000000" w:themeColor="text1"/>
          <w:sz w:val="22"/>
          <w:szCs w:val="22"/>
          <w:lang w:eastAsia="en-US"/>
        </w:rPr>
        <w:t>5</w:t>
      </w:r>
      <w:r w:rsidR="007C71FC" w:rsidRPr="00233992">
        <w:rPr>
          <w:rFonts w:eastAsiaTheme="minorHAnsi"/>
          <w:sz w:val="22"/>
          <w:szCs w:val="22"/>
          <w:lang w:eastAsia="en-US"/>
        </w:rPr>
        <w:t>.</w:t>
      </w:r>
      <w:r w:rsidR="006A06DC" w:rsidRPr="00233992">
        <w:rPr>
          <w:rFonts w:eastAsiaTheme="minorHAnsi"/>
          <w:sz w:val="22"/>
          <w:szCs w:val="22"/>
          <w:lang w:eastAsia="en-US"/>
        </w:rPr>
        <w:t xml:space="preserve"> </w:t>
      </w:r>
      <w:r w:rsidR="009F519E" w:rsidRPr="00233992">
        <w:rPr>
          <w:rFonts w:eastAsiaTheme="minorHAnsi"/>
          <w:sz w:val="22"/>
          <w:szCs w:val="22"/>
          <w:lang w:eastAsia="en-US"/>
        </w:rPr>
        <w:t>None of the coefficients</w:t>
      </w:r>
      <w:r w:rsidR="006A06DC" w:rsidRPr="00233992">
        <w:rPr>
          <w:rFonts w:eastAsiaTheme="minorHAnsi"/>
          <w:sz w:val="22"/>
          <w:szCs w:val="22"/>
          <w:lang w:eastAsia="en-US"/>
        </w:rPr>
        <w:t xml:space="preserve"> on </w:t>
      </w:r>
      <w:r w:rsidR="00BF0C2F" w:rsidRPr="00233992">
        <w:rPr>
          <w:rFonts w:eastAsiaTheme="minorHAnsi"/>
          <w:iCs/>
          <w:color w:val="000000" w:themeColor="text1"/>
          <w:sz w:val="22"/>
          <w:szCs w:val="22"/>
          <w:lang w:eastAsia="en-US"/>
        </w:rPr>
        <w:t>these variables</w:t>
      </w:r>
      <w:r w:rsidR="006A06DC" w:rsidRPr="00233992">
        <w:rPr>
          <w:rFonts w:eastAsiaTheme="minorHAnsi"/>
          <w:sz w:val="22"/>
          <w:szCs w:val="22"/>
          <w:lang w:eastAsia="en-US"/>
        </w:rPr>
        <w:t xml:space="preserve"> </w:t>
      </w:r>
      <w:r w:rsidRPr="00233992">
        <w:rPr>
          <w:rFonts w:eastAsiaTheme="minorHAnsi"/>
          <w:sz w:val="22"/>
          <w:szCs w:val="22"/>
          <w:lang w:eastAsia="en-US"/>
        </w:rPr>
        <w:t>is</w:t>
      </w:r>
      <w:r w:rsidR="006505BF" w:rsidRPr="00233992">
        <w:rPr>
          <w:rFonts w:eastAsiaTheme="minorHAnsi"/>
          <w:sz w:val="22"/>
          <w:szCs w:val="22"/>
          <w:lang w:eastAsia="en-US"/>
        </w:rPr>
        <w:t xml:space="preserve"> </w:t>
      </w:r>
      <w:r w:rsidR="009F519E" w:rsidRPr="00233992">
        <w:rPr>
          <w:rFonts w:eastAsiaTheme="minorHAnsi"/>
          <w:sz w:val="22"/>
          <w:szCs w:val="22"/>
          <w:lang w:eastAsia="en-US"/>
        </w:rPr>
        <w:t>statistically significant</w:t>
      </w:r>
      <w:r w:rsidR="00BA5C7C" w:rsidRPr="00233992">
        <w:rPr>
          <w:rFonts w:eastAsiaTheme="minorHAnsi"/>
          <w:sz w:val="22"/>
          <w:szCs w:val="22"/>
          <w:lang w:eastAsia="en-US"/>
        </w:rPr>
        <w:t xml:space="preserve"> across the models</w:t>
      </w:r>
      <w:r w:rsidR="00EB3F4A">
        <w:rPr>
          <w:rFonts w:eastAsiaTheme="minorHAnsi"/>
          <w:sz w:val="22"/>
          <w:szCs w:val="22"/>
          <w:lang w:eastAsia="en-US"/>
        </w:rPr>
        <w:t xml:space="preserve"> (</w:t>
      </w:r>
      <w:r w:rsidR="008A4B6D">
        <w:rPr>
          <w:rFonts w:eastAsiaTheme="minorHAnsi"/>
          <w:sz w:val="22"/>
          <w:szCs w:val="22"/>
          <w:lang w:eastAsia="en-US"/>
        </w:rPr>
        <w:t>c</w:t>
      </w:r>
      <w:r w:rsidR="008A4B6D" w:rsidRPr="00233992">
        <w:rPr>
          <w:rFonts w:eastAsiaTheme="minorHAnsi"/>
          <w:sz w:val="22"/>
          <w:szCs w:val="22"/>
          <w:lang w:eastAsia="en-US"/>
        </w:rPr>
        <w:t>olumns 1 and 2</w:t>
      </w:r>
      <w:r w:rsidR="00BA5C7C" w:rsidRPr="00233992">
        <w:rPr>
          <w:rFonts w:eastAsiaTheme="minorHAnsi"/>
          <w:sz w:val="22"/>
          <w:szCs w:val="22"/>
          <w:lang w:eastAsia="en-US"/>
        </w:rPr>
        <w:t>)</w:t>
      </w:r>
      <w:r w:rsidR="0056614F" w:rsidRPr="00233992">
        <w:rPr>
          <w:rFonts w:eastAsiaTheme="minorHAnsi"/>
          <w:sz w:val="22"/>
          <w:szCs w:val="22"/>
          <w:lang w:eastAsia="en-US"/>
        </w:rPr>
        <w:t>.</w:t>
      </w:r>
      <w:r w:rsidR="009F519E" w:rsidRPr="00233992">
        <w:rPr>
          <w:rFonts w:eastAsiaTheme="minorHAnsi"/>
          <w:sz w:val="22"/>
          <w:szCs w:val="22"/>
          <w:lang w:eastAsia="en-US"/>
        </w:rPr>
        <w:t xml:space="preserve"> </w:t>
      </w:r>
      <w:r w:rsidR="0056614F" w:rsidRPr="00233992">
        <w:rPr>
          <w:rFonts w:eastAsiaTheme="minorHAnsi"/>
          <w:sz w:val="22"/>
          <w:szCs w:val="22"/>
          <w:lang w:eastAsia="en-US"/>
        </w:rPr>
        <w:t>The</w:t>
      </w:r>
      <w:r w:rsidR="009F11FD" w:rsidRPr="00233992">
        <w:rPr>
          <w:rFonts w:eastAsiaTheme="minorHAnsi"/>
          <w:sz w:val="22"/>
          <w:szCs w:val="22"/>
          <w:lang w:eastAsia="en-US"/>
        </w:rPr>
        <w:t>se</w:t>
      </w:r>
      <w:r w:rsidR="0056614F" w:rsidRPr="00233992">
        <w:rPr>
          <w:rFonts w:eastAsiaTheme="minorHAnsi"/>
          <w:sz w:val="22"/>
          <w:szCs w:val="22"/>
          <w:lang w:eastAsia="en-US"/>
        </w:rPr>
        <w:t xml:space="preserve"> results are </w:t>
      </w:r>
      <w:r w:rsidR="008430D1" w:rsidRPr="00233992">
        <w:rPr>
          <w:rFonts w:eastAsiaTheme="minorHAnsi"/>
          <w:sz w:val="22"/>
          <w:szCs w:val="22"/>
          <w:lang w:eastAsia="en-US"/>
        </w:rPr>
        <w:t xml:space="preserve">not </w:t>
      </w:r>
      <w:r w:rsidR="009F519E" w:rsidRPr="00233992">
        <w:rPr>
          <w:rFonts w:eastAsiaTheme="minorHAnsi"/>
          <w:sz w:val="22"/>
          <w:szCs w:val="22"/>
          <w:lang w:eastAsia="en-US"/>
        </w:rPr>
        <w:t xml:space="preserve">consistent with </w:t>
      </w:r>
      <w:r w:rsidR="0056614F" w:rsidRPr="00233992">
        <w:rPr>
          <w:rFonts w:eastAsiaTheme="minorHAnsi"/>
          <w:sz w:val="22"/>
          <w:szCs w:val="22"/>
          <w:lang w:eastAsia="en-US"/>
        </w:rPr>
        <w:t xml:space="preserve">decreases in corporate investment </w:t>
      </w:r>
      <w:r w:rsidR="00511730" w:rsidRPr="00233992">
        <w:rPr>
          <w:rFonts w:eastAsiaTheme="minorHAnsi"/>
          <w:sz w:val="22"/>
          <w:szCs w:val="22"/>
          <w:lang w:eastAsia="en-US"/>
        </w:rPr>
        <w:t>occurring</w:t>
      </w:r>
      <w:r w:rsidR="0056614F" w:rsidRPr="00233992">
        <w:rPr>
          <w:rFonts w:eastAsiaTheme="minorHAnsi"/>
          <w:sz w:val="22"/>
          <w:szCs w:val="22"/>
          <w:lang w:eastAsia="en-US"/>
        </w:rPr>
        <w:t xml:space="preserve"> in anticipation</w:t>
      </w:r>
      <w:r w:rsidR="008B26A6" w:rsidRPr="00233992">
        <w:rPr>
          <w:rFonts w:eastAsiaTheme="minorHAnsi"/>
          <w:sz w:val="22"/>
          <w:szCs w:val="22"/>
          <w:lang w:eastAsia="en-US"/>
        </w:rPr>
        <w:t>,</w:t>
      </w:r>
      <w:r w:rsidR="0056614F" w:rsidRPr="00233992">
        <w:rPr>
          <w:rFonts w:eastAsiaTheme="minorHAnsi"/>
          <w:sz w:val="22"/>
          <w:szCs w:val="22"/>
          <w:lang w:eastAsia="en-US"/>
        </w:rPr>
        <w:t xml:space="preserve"> </w:t>
      </w:r>
      <w:r w:rsidR="00511730" w:rsidRPr="00233992">
        <w:rPr>
          <w:rFonts w:eastAsiaTheme="minorHAnsi"/>
          <w:sz w:val="22"/>
          <w:szCs w:val="22"/>
          <w:lang w:eastAsia="en-US"/>
        </w:rPr>
        <w:t>thus mitigating this potential concern</w:t>
      </w:r>
      <w:r w:rsidR="009F519E" w:rsidRPr="00233992">
        <w:rPr>
          <w:rFonts w:eastAsiaTheme="minorHAnsi"/>
          <w:sz w:val="22"/>
          <w:szCs w:val="22"/>
          <w:lang w:eastAsia="en-US"/>
        </w:rPr>
        <w:t>.</w:t>
      </w:r>
    </w:p>
    <w:p w14:paraId="716C2DF6" w14:textId="35916539" w:rsidR="0021161A" w:rsidRPr="00233992" w:rsidRDefault="0021161A" w:rsidP="00233992">
      <w:pPr>
        <w:pStyle w:val="Normal2"/>
        <w:jc w:val="center"/>
        <w:rPr>
          <w:sz w:val="22"/>
          <w:szCs w:val="22"/>
        </w:rPr>
      </w:pPr>
      <w:r w:rsidRPr="00233992">
        <w:rPr>
          <w:sz w:val="22"/>
          <w:szCs w:val="22"/>
          <w:lang w:eastAsia="fr-FR"/>
        </w:rPr>
        <w:t xml:space="preserve">[Insert Table </w:t>
      </w:r>
      <w:r w:rsidR="00EB3F4A">
        <w:rPr>
          <w:rFonts w:eastAsiaTheme="minorHAnsi"/>
          <w:color w:val="000000" w:themeColor="text1"/>
          <w:sz w:val="22"/>
          <w:szCs w:val="22"/>
          <w:lang w:eastAsia="en-US"/>
        </w:rPr>
        <w:t xml:space="preserve">5 </w:t>
      </w:r>
      <w:r w:rsidRPr="00233992">
        <w:rPr>
          <w:sz w:val="22"/>
          <w:szCs w:val="22"/>
          <w:lang w:eastAsia="fr-FR"/>
        </w:rPr>
        <w:t>here]</w:t>
      </w:r>
    </w:p>
    <w:p w14:paraId="13BA34F8" w14:textId="4AD452E5" w:rsidR="003838A3" w:rsidRPr="00233992" w:rsidRDefault="00DB5BDB" w:rsidP="00694983">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EC10C3" w:rsidRPr="00233992">
        <w:rPr>
          <w:rFonts w:eastAsiaTheme="minorHAnsi"/>
          <w:sz w:val="22"/>
          <w:szCs w:val="22"/>
          <w:lang w:eastAsia="en-US"/>
        </w:rPr>
        <w:t>W</w:t>
      </w:r>
      <w:r w:rsidR="00691F05" w:rsidRPr="00233992">
        <w:rPr>
          <w:rFonts w:eastAsiaTheme="minorHAnsi"/>
          <w:sz w:val="22"/>
          <w:szCs w:val="22"/>
          <w:lang w:eastAsia="en-US"/>
        </w:rPr>
        <w:t xml:space="preserve">e </w:t>
      </w:r>
      <w:r w:rsidR="00EC10C3" w:rsidRPr="00233992">
        <w:rPr>
          <w:rFonts w:eastAsiaTheme="minorHAnsi"/>
          <w:sz w:val="22"/>
          <w:szCs w:val="22"/>
          <w:lang w:eastAsia="en-US"/>
        </w:rPr>
        <w:t xml:space="preserve">also </w:t>
      </w:r>
      <w:r w:rsidR="00691F05" w:rsidRPr="00233992">
        <w:rPr>
          <w:rFonts w:eastAsiaTheme="minorHAnsi"/>
          <w:sz w:val="22"/>
          <w:szCs w:val="22"/>
          <w:lang w:eastAsia="en-US"/>
        </w:rPr>
        <w:t xml:space="preserve">estimate a </w:t>
      </w:r>
      <w:r w:rsidR="00281706" w:rsidRPr="00233992">
        <w:rPr>
          <w:rFonts w:eastAsiaTheme="minorHAnsi"/>
          <w:sz w:val="22"/>
          <w:szCs w:val="22"/>
          <w:lang w:eastAsia="en-US"/>
        </w:rPr>
        <w:t xml:space="preserve">regression </w:t>
      </w:r>
      <w:r w:rsidR="00691F05" w:rsidRPr="00233992">
        <w:rPr>
          <w:rFonts w:eastAsiaTheme="minorHAnsi"/>
          <w:sz w:val="22"/>
          <w:szCs w:val="22"/>
          <w:lang w:eastAsia="en-US"/>
        </w:rPr>
        <w:t xml:space="preserve">model </w:t>
      </w:r>
      <w:r w:rsidR="009C1484" w:rsidRPr="00233992">
        <w:rPr>
          <w:rFonts w:eastAsiaTheme="minorHAnsi"/>
          <w:sz w:val="22"/>
          <w:szCs w:val="22"/>
          <w:lang w:eastAsia="en-US"/>
        </w:rPr>
        <w:t>to</w:t>
      </w:r>
      <w:r w:rsidR="00691F05" w:rsidRPr="00233992">
        <w:rPr>
          <w:rFonts w:eastAsiaTheme="minorHAnsi"/>
          <w:sz w:val="22"/>
          <w:szCs w:val="22"/>
          <w:lang w:eastAsia="en-US"/>
        </w:rPr>
        <w:t xml:space="preserve"> test </w:t>
      </w:r>
      <w:r w:rsidR="00EC10C3" w:rsidRPr="00233992">
        <w:rPr>
          <w:rFonts w:eastAsiaTheme="minorHAnsi"/>
          <w:sz w:val="22"/>
          <w:szCs w:val="22"/>
          <w:lang w:eastAsia="en-US"/>
        </w:rPr>
        <w:t xml:space="preserve">whether </w:t>
      </w:r>
      <w:r w:rsidR="00691F05" w:rsidRPr="00233992">
        <w:rPr>
          <w:rFonts w:eastAsiaTheme="minorHAnsi"/>
          <w:sz w:val="22"/>
          <w:szCs w:val="22"/>
          <w:lang w:eastAsia="en-US"/>
        </w:rPr>
        <w:t xml:space="preserve">there is any trend in </w:t>
      </w:r>
      <w:r w:rsidR="008430D1" w:rsidRPr="00233992">
        <w:rPr>
          <w:rFonts w:eastAsiaTheme="minorHAnsi"/>
          <w:sz w:val="22"/>
          <w:szCs w:val="22"/>
          <w:lang w:eastAsia="en-US"/>
        </w:rPr>
        <w:t>corporate investment</w:t>
      </w:r>
      <w:r w:rsidR="00691F05" w:rsidRPr="00233992">
        <w:rPr>
          <w:rFonts w:eastAsiaTheme="minorHAnsi"/>
          <w:sz w:val="22"/>
          <w:szCs w:val="22"/>
          <w:lang w:eastAsia="en-US"/>
        </w:rPr>
        <w:t xml:space="preserve"> and whether there is </w:t>
      </w:r>
      <w:r w:rsidR="009C1484" w:rsidRPr="00233992">
        <w:rPr>
          <w:rFonts w:eastAsiaTheme="minorHAnsi"/>
          <w:sz w:val="22"/>
          <w:szCs w:val="22"/>
          <w:lang w:eastAsia="en-US"/>
        </w:rPr>
        <w:t>any discontinuity</w:t>
      </w:r>
      <w:r w:rsidR="00691F05" w:rsidRPr="00233992">
        <w:rPr>
          <w:rFonts w:eastAsiaTheme="minorHAnsi"/>
          <w:sz w:val="22"/>
          <w:szCs w:val="22"/>
          <w:lang w:eastAsia="en-US"/>
        </w:rPr>
        <w:t xml:space="preserve"> from this trend. We </w:t>
      </w:r>
      <w:r w:rsidR="008430D1" w:rsidRPr="00233992">
        <w:rPr>
          <w:rFonts w:eastAsiaTheme="minorHAnsi"/>
          <w:sz w:val="22"/>
          <w:szCs w:val="22"/>
          <w:lang w:eastAsia="en-US"/>
        </w:rPr>
        <w:t>add</w:t>
      </w:r>
      <w:r w:rsidR="00691F05" w:rsidRPr="00233992">
        <w:rPr>
          <w:rFonts w:eastAsiaTheme="minorHAnsi"/>
          <w:sz w:val="22"/>
          <w:szCs w:val="22"/>
          <w:lang w:eastAsia="en-US"/>
        </w:rPr>
        <w:t xml:space="preserve"> </w:t>
      </w:r>
      <w:r w:rsidR="00522D9C" w:rsidRPr="00233992">
        <w:rPr>
          <w:rFonts w:eastAsiaTheme="minorHAnsi"/>
          <w:sz w:val="22"/>
          <w:szCs w:val="22"/>
          <w:lang w:eastAsia="en-US"/>
        </w:rPr>
        <w:t xml:space="preserve">several </w:t>
      </w:r>
      <w:r w:rsidR="00691F05" w:rsidRPr="00233992">
        <w:rPr>
          <w:rFonts w:eastAsiaTheme="minorHAnsi"/>
          <w:sz w:val="22"/>
          <w:szCs w:val="22"/>
          <w:lang w:eastAsia="en-US"/>
        </w:rPr>
        <w:t xml:space="preserve">time variables capturing the effects </w:t>
      </w:r>
      <w:r w:rsidR="008430D1" w:rsidRPr="00233992">
        <w:rPr>
          <w:rFonts w:eastAsiaTheme="minorHAnsi"/>
          <w:sz w:val="22"/>
          <w:szCs w:val="22"/>
          <w:lang w:eastAsia="en-US"/>
        </w:rPr>
        <w:t>around</w:t>
      </w:r>
      <w:r w:rsidR="00691F05" w:rsidRPr="00233992">
        <w:rPr>
          <w:rFonts w:eastAsiaTheme="minorHAnsi"/>
          <w:sz w:val="22"/>
          <w:szCs w:val="22"/>
          <w:lang w:eastAsia="en-US"/>
        </w:rPr>
        <w:t xml:space="preserve"> the shock. </w:t>
      </w:r>
      <w:r w:rsidR="00281706" w:rsidRPr="00233992">
        <w:rPr>
          <w:rFonts w:eastAsiaTheme="minorHAnsi"/>
          <w:sz w:val="22"/>
          <w:szCs w:val="22"/>
          <w:lang w:eastAsia="en-US"/>
        </w:rPr>
        <w:t>More precisely, w</w:t>
      </w:r>
      <w:r w:rsidR="00691F05" w:rsidRPr="00233992">
        <w:rPr>
          <w:rFonts w:eastAsiaTheme="minorHAnsi"/>
          <w:sz w:val="22"/>
          <w:szCs w:val="22"/>
          <w:lang w:eastAsia="en-US"/>
        </w:rPr>
        <w:t>e include</w:t>
      </w:r>
      <w:r w:rsidR="00CB71A2" w:rsidRPr="00233992">
        <w:rPr>
          <w:rFonts w:eastAsiaTheme="minorHAnsi"/>
          <w:sz w:val="22"/>
          <w:szCs w:val="22"/>
          <w:lang w:eastAsia="en-US"/>
        </w:rPr>
        <w:t xml:space="preserve"> </w:t>
      </w:r>
      <w:r w:rsidR="00691F05" w:rsidRPr="00233992">
        <w:rPr>
          <w:rFonts w:eastAsiaTheme="minorHAnsi"/>
          <w:sz w:val="22"/>
          <w:szCs w:val="22"/>
          <w:lang w:eastAsia="en-US"/>
        </w:rPr>
        <w:t>indic</w:t>
      </w:r>
      <w:r w:rsidR="00547C07">
        <w:rPr>
          <w:rFonts w:eastAsiaTheme="minorHAnsi"/>
          <w:sz w:val="22"/>
          <w:szCs w:val="22"/>
          <w:lang w:eastAsia="en-US"/>
        </w:rPr>
        <w:t>a</w:t>
      </w:r>
      <w:r w:rsidR="00691F05" w:rsidRPr="00233992">
        <w:rPr>
          <w:rFonts w:eastAsiaTheme="minorHAnsi"/>
          <w:sz w:val="22"/>
          <w:szCs w:val="22"/>
          <w:lang w:eastAsia="en-US"/>
        </w:rPr>
        <w:t xml:space="preserve">tor </w:t>
      </w:r>
      <w:r w:rsidRPr="00233992">
        <w:rPr>
          <w:rFonts w:eastAsiaTheme="minorHAnsi"/>
          <w:sz w:val="22"/>
          <w:szCs w:val="22"/>
          <w:lang w:eastAsia="en-US"/>
        </w:rPr>
        <w:t xml:space="preserve">time </w:t>
      </w:r>
      <w:r w:rsidR="00691F05" w:rsidRPr="00233992">
        <w:rPr>
          <w:rFonts w:eastAsiaTheme="minorHAnsi"/>
          <w:sz w:val="22"/>
          <w:szCs w:val="22"/>
          <w:lang w:eastAsia="en-US"/>
        </w:rPr>
        <w:t xml:space="preserve">variables </w:t>
      </w:r>
      <w:r w:rsidR="00281706" w:rsidRPr="00233992">
        <w:rPr>
          <w:rFonts w:eastAsiaTheme="minorHAnsi"/>
          <w:sz w:val="22"/>
          <w:szCs w:val="22"/>
          <w:lang w:eastAsia="en-US"/>
        </w:rPr>
        <w:t>that capture the effects in the single year</w:t>
      </w:r>
      <w:r w:rsidRPr="00233992">
        <w:rPr>
          <w:rFonts w:eastAsiaTheme="minorHAnsi"/>
          <w:sz w:val="22"/>
          <w:szCs w:val="22"/>
          <w:lang w:eastAsia="en-US"/>
        </w:rPr>
        <w:t>s</w:t>
      </w:r>
      <w:r w:rsidR="00281706" w:rsidRPr="00233992">
        <w:rPr>
          <w:rFonts w:eastAsiaTheme="minorHAnsi"/>
          <w:sz w:val="22"/>
          <w:szCs w:val="22"/>
          <w:lang w:eastAsia="en-US"/>
        </w:rPr>
        <w:t xml:space="preserve"> before</w:t>
      </w:r>
      <w:r w:rsidR="000457E4" w:rsidRPr="00233992">
        <w:rPr>
          <w:rFonts w:eastAsiaTheme="minorHAnsi"/>
          <w:sz w:val="22"/>
          <w:szCs w:val="22"/>
          <w:lang w:eastAsia="en-US"/>
        </w:rPr>
        <w:t xml:space="preserve"> (</w:t>
      </w:r>
      <w:r w:rsidR="000457E4" w:rsidRPr="00233992">
        <w:rPr>
          <w:rFonts w:eastAsiaTheme="minorHAnsi"/>
          <w:iCs/>
          <w:sz w:val="22"/>
          <w:szCs w:val="22"/>
          <w:lang w:eastAsia="en-US"/>
        </w:rPr>
        <w:t>t-3</w:t>
      </w:r>
      <w:r w:rsidR="000457E4" w:rsidRPr="00233992">
        <w:rPr>
          <w:rFonts w:eastAsiaTheme="minorHAnsi"/>
          <w:sz w:val="22"/>
          <w:szCs w:val="22"/>
          <w:lang w:eastAsia="en-US"/>
        </w:rPr>
        <w:t xml:space="preserve">, </w:t>
      </w:r>
      <w:r w:rsidR="000457E4" w:rsidRPr="00233992">
        <w:rPr>
          <w:rFonts w:eastAsiaTheme="minorHAnsi"/>
          <w:iCs/>
          <w:sz w:val="22"/>
          <w:szCs w:val="22"/>
          <w:lang w:eastAsia="en-US"/>
        </w:rPr>
        <w:t>t-2</w:t>
      </w:r>
      <w:r w:rsidR="000457E4" w:rsidRPr="00233992">
        <w:rPr>
          <w:rFonts w:eastAsiaTheme="minorHAnsi"/>
          <w:sz w:val="22"/>
          <w:szCs w:val="22"/>
          <w:lang w:eastAsia="en-US"/>
        </w:rPr>
        <w:t xml:space="preserve">, </w:t>
      </w:r>
      <w:r w:rsidR="000457E4" w:rsidRPr="00233992">
        <w:rPr>
          <w:rFonts w:eastAsiaTheme="minorHAnsi"/>
          <w:iCs/>
          <w:sz w:val="22"/>
          <w:szCs w:val="22"/>
          <w:lang w:eastAsia="en-US"/>
        </w:rPr>
        <w:t>t-1</w:t>
      </w:r>
      <w:r w:rsidR="000457E4" w:rsidRPr="00233992">
        <w:rPr>
          <w:rFonts w:eastAsiaTheme="minorHAnsi"/>
          <w:sz w:val="22"/>
          <w:szCs w:val="22"/>
          <w:lang w:eastAsia="en-US"/>
        </w:rPr>
        <w:t>)</w:t>
      </w:r>
      <w:r w:rsidR="00281706" w:rsidRPr="00233992">
        <w:rPr>
          <w:rFonts w:eastAsiaTheme="minorHAnsi"/>
          <w:sz w:val="22"/>
          <w:szCs w:val="22"/>
          <w:lang w:eastAsia="en-US"/>
        </w:rPr>
        <w:t>, and after</w:t>
      </w:r>
      <w:r w:rsidR="00691F05" w:rsidRPr="00233992">
        <w:rPr>
          <w:rFonts w:eastAsiaTheme="minorHAnsi"/>
          <w:sz w:val="22"/>
          <w:szCs w:val="22"/>
          <w:lang w:eastAsia="en-US"/>
        </w:rPr>
        <w:t xml:space="preserve"> the shock</w:t>
      </w:r>
      <w:r w:rsidR="000457E4" w:rsidRPr="00233992">
        <w:rPr>
          <w:rFonts w:eastAsiaTheme="minorHAnsi"/>
          <w:sz w:val="22"/>
          <w:szCs w:val="22"/>
          <w:lang w:eastAsia="en-US"/>
        </w:rPr>
        <w:t xml:space="preserve"> (</w:t>
      </w:r>
      <w:r w:rsidR="000457E4" w:rsidRPr="00233992">
        <w:rPr>
          <w:rFonts w:eastAsiaTheme="minorHAnsi"/>
          <w:iCs/>
          <w:sz w:val="22"/>
          <w:szCs w:val="22"/>
          <w:lang w:eastAsia="en-US"/>
        </w:rPr>
        <w:t>t+1</w:t>
      </w:r>
      <w:r w:rsidR="000457E4" w:rsidRPr="00233992">
        <w:rPr>
          <w:rFonts w:eastAsiaTheme="minorHAnsi"/>
          <w:sz w:val="22"/>
          <w:szCs w:val="22"/>
          <w:lang w:eastAsia="en-US"/>
        </w:rPr>
        <w:t xml:space="preserve">, </w:t>
      </w:r>
      <w:r w:rsidR="000457E4" w:rsidRPr="00233992">
        <w:rPr>
          <w:rFonts w:eastAsiaTheme="minorHAnsi"/>
          <w:iCs/>
          <w:sz w:val="22"/>
          <w:szCs w:val="22"/>
          <w:lang w:eastAsia="en-US"/>
        </w:rPr>
        <w:t>t+2</w:t>
      </w:r>
      <w:r w:rsidR="000457E4" w:rsidRPr="00233992">
        <w:rPr>
          <w:rFonts w:eastAsiaTheme="minorHAnsi"/>
          <w:sz w:val="22"/>
          <w:szCs w:val="22"/>
          <w:lang w:eastAsia="en-US"/>
        </w:rPr>
        <w:t xml:space="preserve">, </w:t>
      </w:r>
      <w:r w:rsidR="000457E4" w:rsidRPr="00233992">
        <w:rPr>
          <w:rFonts w:eastAsiaTheme="minorHAnsi"/>
          <w:iCs/>
          <w:sz w:val="22"/>
          <w:szCs w:val="22"/>
          <w:lang w:eastAsia="en-US"/>
        </w:rPr>
        <w:t>t+3</w:t>
      </w:r>
      <w:r w:rsidR="000457E4" w:rsidRPr="00233992">
        <w:rPr>
          <w:rFonts w:eastAsiaTheme="minorHAnsi"/>
          <w:sz w:val="22"/>
          <w:szCs w:val="22"/>
          <w:lang w:eastAsia="en-US"/>
        </w:rPr>
        <w:t>)</w:t>
      </w:r>
      <w:r w:rsidR="00691F05" w:rsidRPr="00233992">
        <w:rPr>
          <w:rFonts w:eastAsiaTheme="minorHAnsi"/>
          <w:sz w:val="22"/>
          <w:szCs w:val="22"/>
          <w:lang w:eastAsia="en-US"/>
        </w:rPr>
        <w:t xml:space="preserve">, while </w:t>
      </w:r>
      <w:r w:rsidR="000457E4" w:rsidRPr="00233992">
        <w:rPr>
          <w:rFonts w:eastAsiaTheme="minorHAnsi"/>
          <w:sz w:val="22"/>
          <w:szCs w:val="22"/>
          <w:lang w:eastAsia="en-US"/>
        </w:rPr>
        <w:t>remaining</w:t>
      </w:r>
      <w:r w:rsidR="00EC10C3" w:rsidRPr="00233992">
        <w:rPr>
          <w:rFonts w:eastAsiaTheme="minorHAnsi"/>
          <w:sz w:val="22"/>
          <w:szCs w:val="22"/>
          <w:lang w:eastAsia="en-US"/>
        </w:rPr>
        <w:t xml:space="preserve"> </w:t>
      </w:r>
      <w:r w:rsidR="00691F05" w:rsidRPr="00233992">
        <w:rPr>
          <w:rFonts w:eastAsiaTheme="minorHAnsi"/>
          <w:sz w:val="22"/>
          <w:szCs w:val="22"/>
          <w:lang w:eastAsia="en-US"/>
        </w:rPr>
        <w:t xml:space="preserve">years serve as benchmark in the regression model. We tabulate our results in Table </w:t>
      </w:r>
      <w:r w:rsidR="00A665A3">
        <w:rPr>
          <w:rFonts w:eastAsiaTheme="minorHAnsi"/>
          <w:color w:val="000000" w:themeColor="text1"/>
          <w:sz w:val="22"/>
          <w:szCs w:val="22"/>
          <w:lang w:eastAsia="en-US"/>
        </w:rPr>
        <w:t>6</w:t>
      </w:r>
      <w:r w:rsidR="00691F05" w:rsidRPr="00233992">
        <w:rPr>
          <w:rFonts w:eastAsiaTheme="minorHAnsi"/>
          <w:sz w:val="22"/>
          <w:szCs w:val="22"/>
          <w:lang w:eastAsia="en-US"/>
        </w:rPr>
        <w:t>.</w:t>
      </w:r>
      <w:r w:rsidR="00694983">
        <w:rPr>
          <w:rFonts w:eastAsiaTheme="minorHAnsi"/>
          <w:sz w:val="22"/>
          <w:szCs w:val="22"/>
          <w:lang w:eastAsia="en-US"/>
        </w:rPr>
        <w:t xml:space="preserve"> </w:t>
      </w:r>
      <w:r w:rsidR="00694983" w:rsidRPr="00EB7789">
        <w:rPr>
          <w:rFonts w:eastAsiaTheme="minorHAnsi"/>
          <w:sz w:val="22"/>
          <w:szCs w:val="22"/>
          <w:lang w:eastAsia="en-US"/>
        </w:rPr>
        <w:t>Control variables are included but not tabulated for parsimony.</w:t>
      </w:r>
    </w:p>
    <w:p w14:paraId="105C816F" w14:textId="62A403C5" w:rsidR="003838A3" w:rsidRPr="00233992" w:rsidRDefault="003838A3" w:rsidP="00233992">
      <w:pPr>
        <w:pStyle w:val="Normal2"/>
        <w:jc w:val="center"/>
        <w:rPr>
          <w:sz w:val="22"/>
          <w:szCs w:val="22"/>
        </w:rPr>
      </w:pPr>
      <w:r w:rsidRPr="00233992">
        <w:rPr>
          <w:sz w:val="22"/>
          <w:szCs w:val="22"/>
          <w:lang w:eastAsia="fr-FR"/>
        </w:rPr>
        <w:t xml:space="preserve">[Insert Table </w:t>
      </w:r>
      <w:r w:rsidR="00EB3F4A">
        <w:rPr>
          <w:rFonts w:eastAsiaTheme="minorHAnsi"/>
          <w:color w:val="000000" w:themeColor="text1"/>
          <w:sz w:val="22"/>
          <w:szCs w:val="22"/>
          <w:lang w:eastAsia="en-US"/>
        </w:rPr>
        <w:t>6</w:t>
      </w:r>
      <w:r w:rsidRPr="00233992">
        <w:rPr>
          <w:sz w:val="22"/>
          <w:szCs w:val="22"/>
          <w:lang w:eastAsia="fr-FR"/>
        </w:rPr>
        <w:t xml:space="preserve"> here]</w:t>
      </w:r>
    </w:p>
    <w:p w14:paraId="3C9314A3" w14:textId="3B590E2F" w:rsidR="00477213" w:rsidRPr="00233992" w:rsidRDefault="00DB5BDB"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lastRenderedPageBreak/>
        <w:tab/>
      </w:r>
      <w:r w:rsidR="00691F05" w:rsidRPr="00233992">
        <w:rPr>
          <w:rFonts w:eastAsiaTheme="minorHAnsi"/>
          <w:sz w:val="22"/>
          <w:szCs w:val="22"/>
          <w:lang w:eastAsia="en-US"/>
        </w:rPr>
        <w:t>The coefficients on the indicator time variables</w:t>
      </w:r>
      <w:r w:rsidR="006344F7" w:rsidRPr="00233992">
        <w:rPr>
          <w:rFonts w:eastAsiaTheme="minorHAnsi"/>
          <w:sz w:val="22"/>
          <w:szCs w:val="22"/>
          <w:lang w:eastAsia="en-US"/>
        </w:rPr>
        <w:t xml:space="preserve"> </w:t>
      </w:r>
      <w:r w:rsidR="00691F05" w:rsidRPr="00233992">
        <w:rPr>
          <w:rFonts w:eastAsiaTheme="minorHAnsi"/>
          <w:sz w:val="22"/>
          <w:szCs w:val="22"/>
          <w:lang w:eastAsia="en-US"/>
        </w:rPr>
        <w:t xml:space="preserve">in the period before the </w:t>
      </w:r>
      <w:r w:rsidR="000C2232" w:rsidRPr="00233992">
        <w:rPr>
          <w:rFonts w:eastAsiaTheme="minorHAnsi"/>
          <w:sz w:val="22"/>
          <w:szCs w:val="22"/>
          <w:lang w:eastAsia="en-US"/>
        </w:rPr>
        <w:t>shock</w:t>
      </w:r>
      <w:r w:rsidR="00691F05" w:rsidRPr="00233992">
        <w:rPr>
          <w:rFonts w:eastAsiaTheme="minorHAnsi"/>
          <w:sz w:val="22"/>
          <w:szCs w:val="22"/>
          <w:lang w:eastAsia="en-US"/>
        </w:rPr>
        <w:t xml:space="preserve"> </w:t>
      </w:r>
      <w:r w:rsidR="000C2232" w:rsidRPr="00233992">
        <w:rPr>
          <w:rFonts w:eastAsiaTheme="minorHAnsi"/>
          <w:sz w:val="22"/>
          <w:szCs w:val="22"/>
          <w:lang w:eastAsia="en-US"/>
        </w:rPr>
        <w:t>(</w:t>
      </w:r>
      <w:r w:rsidR="000C2232" w:rsidRPr="00233992">
        <w:rPr>
          <w:rFonts w:eastAsiaTheme="minorHAnsi"/>
          <w:iCs/>
          <w:sz w:val="22"/>
          <w:szCs w:val="22"/>
          <w:lang w:eastAsia="en-US"/>
        </w:rPr>
        <w:t>t-3</w:t>
      </w:r>
      <w:r w:rsidR="000C2232" w:rsidRPr="00233992">
        <w:rPr>
          <w:rFonts w:eastAsiaTheme="minorHAnsi"/>
          <w:sz w:val="22"/>
          <w:szCs w:val="22"/>
          <w:lang w:eastAsia="en-US"/>
        </w:rPr>
        <w:t xml:space="preserve">, </w:t>
      </w:r>
      <w:r w:rsidR="000C2232" w:rsidRPr="00233992">
        <w:rPr>
          <w:rFonts w:eastAsiaTheme="minorHAnsi"/>
          <w:iCs/>
          <w:sz w:val="22"/>
          <w:szCs w:val="22"/>
          <w:lang w:eastAsia="en-US"/>
        </w:rPr>
        <w:t>t-2</w:t>
      </w:r>
      <w:r w:rsidR="000C2232" w:rsidRPr="00233992">
        <w:rPr>
          <w:rFonts w:eastAsiaTheme="minorHAnsi"/>
          <w:sz w:val="22"/>
          <w:szCs w:val="22"/>
          <w:lang w:eastAsia="en-US"/>
        </w:rPr>
        <w:t xml:space="preserve">, and </w:t>
      </w:r>
      <w:r w:rsidR="000C2232" w:rsidRPr="00233992">
        <w:rPr>
          <w:rFonts w:eastAsiaTheme="minorHAnsi"/>
          <w:iCs/>
          <w:sz w:val="22"/>
          <w:szCs w:val="22"/>
          <w:lang w:eastAsia="en-US"/>
        </w:rPr>
        <w:t>t-1</w:t>
      </w:r>
      <w:r w:rsidR="000C2232" w:rsidRPr="00233992">
        <w:rPr>
          <w:rFonts w:eastAsiaTheme="minorHAnsi"/>
          <w:sz w:val="22"/>
          <w:szCs w:val="22"/>
          <w:lang w:eastAsia="en-US"/>
        </w:rPr>
        <w:t xml:space="preserve">) </w:t>
      </w:r>
      <w:r w:rsidR="00691F05" w:rsidRPr="00233992">
        <w:rPr>
          <w:rFonts w:eastAsiaTheme="minorHAnsi"/>
          <w:sz w:val="22"/>
          <w:szCs w:val="22"/>
          <w:lang w:eastAsia="en-US"/>
        </w:rPr>
        <w:t xml:space="preserve">are statistically </w:t>
      </w:r>
      <w:r w:rsidR="00EC10C3" w:rsidRPr="00233992">
        <w:rPr>
          <w:rFonts w:eastAsiaTheme="minorHAnsi"/>
          <w:sz w:val="22"/>
          <w:szCs w:val="22"/>
          <w:lang w:eastAsia="en-US"/>
        </w:rPr>
        <w:t>in</w:t>
      </w:r>
      <w:r w:rsidR="00691F05" w:rsidRPr="00233992">
        <w:rPr>
          <w:rFonts w:eastAsiaTheme="minorHAnsi"/>
          <w:sz w:val="22"/>
          <w:szCs w:val="22"/>
          <w:lang w:eastAsia="en-US"/>
        </w:rPr>
        <w:t>significant</w:t>
      </w:r>
      <w:r w:rsidR="00EB3F4A">
        <w:rPr>
          <w:rFonts w:eastAsiaTheme="minorHAnsi"/>
          <w:sz w:val="22"/>
          <w:szCs w:val="22"/>
          <w:lang w:eastAsia="en-US"/>
        </w:rPr>
        <w:t xml:space="preserve"> (c</w:t>
      </w:r>
      <w:r w:rsidR="00E27206">
        <w:rPr>
          <w:rFonts w:eastAsiaTheme="minorHAnsi"/>
          <w:sz w:val="22"/>
          <w:szCs w:val="22"/>
          <w:lang w:eastAsia="en-US"/>
        </w:rPr>
        <w:t>olumn</w:t>
      </w:r>
      <w:r w:rsidR="00BA5C7C" w:rsidRPr="00233992">
        <w:rPr>
          <w:rFonts w:eastAsiaTheme="minorHAnsi"/>
          <w:sz w:val="22"/>
          <w:szCs w:val="22"/>
          <w:lang w:eastAsia="en-US"/>
        </w:rPr>
        <w:t xml:space="preserve"> 1)</w:t>
      </w:r>
      <w:r w:rsidR="00691F05" w:rsidRPr="00233992">
        <w:rPr>
          <w:rFonts w:eastAsiaTheme="minorHAnsi"/>
          <w:sz w:val="22"/>
          <w:szCs w:val="22"/>
          <w:lang w:eastAsia="en-US"/>
        </w:rPr>
        <w:t>.</w:t>
      </w:r>
      <w:r w:rsidR="009F11FD" w:rsidRPr="00233992">
        <w:rPr>
          <w:rFonts w:eastAsiaTheme="minorHAnsi"/>
          <w:sz w:val="22"/>
          <w:szCs w:val="22"/>
          <w:lang w:eastAsia="en-US"/>
        </w:rPr>
        <w:t xml:space="preserve"> </w:t>
      </w:r>
      <w:r w:rsidRPr="00233992">
        <w:rPr>
          <w:rFonts w:eastAsiaTheme="minorHAnsi"/>
          <w:sz w:val="22"/>
          <w:szCs w:val="22"/>
          <w:lang w:eastAsia="en-US"/>
        </w:rPr>
        <w:t xml:space="preserve">We </w:t>
      </w:r>
      <w:r w:rsidR="00522D9C" w:rsidRPr="00233992">
        <w:rPr>
          <w:rFonts w:eastAsiaTheme="minorHAnsi"/>
          <w:sz w:val="22"/>
          <w:szCs w:val="22"/>
          <w:lang w:eastAsia="en-US"/>
        </w:rPr>
        <w:t xml:space="preserve">also </w:t>
      </w:r>
      <w:r w:rsidRPr="00233992">
        <w:rPr>
          <w:rFonts w:eastAsiaTheme="minorHAnsi"/>
          <w:sz w:val="22"/>
          <w:szCs w:val="22"/>
          <w:lang w:eastAsia="en-US"/>
        </w:rPr>
        <w:t xml:space="preserve">plot </w:t>
      </w:r>
      <w:r w:rsidR="00547C07">
        <w:rPr>
          <w:rFonts w:eastAsiaTheme="minorHAnsi"/>
          <w:sz w:val="22"/>
          <w:szCs w:val="22"/>
          <w:lang w:eastAsia="en-US"/>
        </w:rPr>
        <w:t>such</w:t>
      </w:r>
      <w:r w:rsidR="009F11FD" w:rsidRPr="00233992">
        <w:rPr>
          <w:rFonts w:eastAsiaTheme="minorHAnsi"/>
          <w:sz w:val="22"/>
          <w:szCs w:val="22"/>
          <w:lang w:eastAsia="en-US"/>
        </w:rPr>
        <w:t xml:space="preserve"> coefficients separately in a graph</w:t>
      </w:r>
      <w:r w:rsidR="00E95BBD" w:rsidRPr="00233992">
        <w:rPr>
          <w:rFonts w:eastAsiaTheme="minorHAnsi"/>
          <w:sz w:val="22"/>
          <w:szCs w:val="22"/>
          <w:lang w:eastAsia="en-US"/>
        </w:rPr>
        <w:t xml:space="preserve"> (</w:t>
      </w:r>
      <w:r w:rsidR="00173005" w:rsidRPr="00233992">
        <w:rPr>
          <w:rFonts w:eastAsiaTheme="minorHAnsi"/>
          <w:sz w:val="22"/>
          <w:szCs w:val="22"/>
          <w:lang w:eastAsia="en-US"/>
        </w:rPr>
        <w:t>Figure 2</w:t>
      </w:r>
      <w:r w:rsidR="00E95BBD" w:rsidRPr="00233992">
        <w:rPr>
          <w:rFonts w:eastAsiaTheme="minorHAnsi"/>
          <w:sz w:val="22"/>
          <w:szCs w:val="22"/>
          <w:lang w:eastAsia="en-US"/>
        </w:rPr>
        <w:t>)</w:t>
      </w:r>
      <w:r w:rsidR="009F11FD" w:rsidRPr="00233992">
        <w:rPr>
          <w:rFonts w:eastAsiaTheme="minorHAnsi"/>
          <w:sz w:val="22"/>
          <w:szCs w:val="22"/>
          <w:lang w:eastAsia="en-US"/>
        </w:rPr>
        <w:t xml:space="preserve">. </w:t>
      </w:r>
      <w:r w:rsidR="00CB71A2" w:rsidRPr="00233992">
        <w:rPr>
          <w:rFonts w:eastAsiaTheme="minorHAnsi"/>
          <w:sz w:val="22"/>
          <w:szCs w:val="22"/>
          <w:lang w:eastAsia="en-US"/>
        </w:rPr>
        <w:t xml:space="preserve">Our findings </w:t>
      </w:r>
      <w:r w:rsidRPr="00233992">
        <w:rPr>
          <w:rFonts w:eastAsiaTheme="minorHAnsi"/>
          <w:sz w:val="22"/>
          <w:szCs w:val="22"/>
          <w:lang w:eastAsia="en-US"/>
        </w:rPr>
        <w:t>indicate</w:t>
      </w:r>
      <w:r w:rsidR="00CB71A2" w:rsidRPr="00233992">
        <w:rPr>
          <w:rFonts w:eastAsiaTheme="minorHAnsi"/>
          <w:sz w:val="22"/>
          <w:szCs w:val="22"/>
          <w:lang w:eastAsia="en-US"/>
        </w:rPr>
        <w:t xml:space="preserve"> that </w:t>
      </w:r>
      <w:r w:rsidR="009C1484" w:rsidRPr="00233992">
        <w:rPr>
          <w:rFonts w:eastAsiaTheme="minorHAnsi"/>
          <w:sz w:val="22"/>
          <w:szCs w:val="22"/>
          <w:lang w:eastAsia="en-US"/>
        </w:rPr>
        <w:t xml:space="preserve">the </w:t>
      </w:r>
      <w:r w:rsidR="00691F05" w:rsidRPr="00233992">
        <w:rPr>
          <w:rFonts w:eastAsiaTheme="minorHAnsi"/>
          <w:sz w:val="22"/>
          <w:szCs w:val="22"/>
          <w:lang w:eastAsia="en-US"/>
        </w:rPr>
        <w:t>parallel trends assumption</w:t>
      </w:r>
      <w:r w:rsidR="00EC10C3" w:rsidRPr="00233992">
        <w:rPr>
          <w:rFonts w:eastAsiaTheme="minorHAnsi"/>
          <w:sz w:val="22"/>
          <w:szCs w:val="22"/>
          <w:lang w:eastAsia="en-US"/>
        </w:rPr>
        <w:t xml:space="preserve"> holds</w:t>
      </w:r>
      <w:r w:rsidR="00691F05" w:rsidRPr="00233992">
        <w:rPr>
          <w:rFonts w:eastAsiaTheme="minorHAnsi"/>
          <w:sz w:val="22"/>
          <w:szCs w:val="22"/>
          <w:lang w:eastAsia="en-US"/>
        </w:rPr>
        <w:t xml:space="preserve">. </w:t>
      </w:r>
    </w:p>
    <w:p w14:paraId="357A0FE0" w14:textId="2A4EB3F7" w:rsidR="000C2232" w:rsidRPr="00233992" w:rsidRDefault="000C2232" w:rsidP="00233992">
      <w:pPr>
        <w:pStyle w:val="Normal2"/>
        <w:jc w:val="center"/>
        <w:rPr>
          <w:sz w:val="22"/>
          <w:szCs w:val="22"/>
          <w:lang w:eastAsia="fr-FR"/>
        </w:rPr>
      </w:pPr>
      <w:r w:rsidRPr="00233992">
        <w:rPr>
          <w:sz w:val="22"/>
          <w:szCs w:val="22"/>
          <w:lang w:eastAsia="fr-FR"/>
        </w:rPr>
        <w:t>[Insert Figure 2]</w:t>
      </w:r>
    </w:p>
    <w:p w14:paraId="3816B1D3" w14:textId="0B92D3A9" w:rsidR="00C16E74" w:rsidRPr="00F35BA9" w:rsidRDefault="00DB5BDB" w:rsidP="00233992">
      <w:pPr>
        <w:spacing w:line="480" w:lineRule="auto"/>
        <w:jc w:val="both"/>
        <w:rPr>
          <w:rFonts w:eastAsiaTheme="minorHAnsi"/>
          <w:color w:val="000000" w:themeColor="text1"/>
          <w:sz w:val="22"/>
          <w:szCs w:val="22"/>
          <w:lang w:eastAsia="en-US"/>
        </w:rPr>
      </w:pPr>
      <w:r w:rsidRPr="00233992">
        <w:rPr>
          <w:rFonts w:eastAsiaTheme="minorHAnsi"/>
          <w:color w:val="000000" w:themeColor="text1"/>
          <w:sz w:val="22"/>
          <w:szCs w:val="22"/>
          <w:lang w:eastAsia="en-US"/>
        </w:rPr>
        <w:tab/>
      </w:r>
      <w:r w:rsidR="0040314D" w:rsidRPr="00233992">
        <w:rPr>
          <w:rFonts w:eastAsiaTheme="minorHAnsi"/>
          <w:color w:val="000000" w:themeColor="text1"/>
          <w:sz w:val="22"/>
          <w:szCs w:val="22"/>
          <w:lang w:eastAsia="en-US"/>
        </w:rPr>
        <w:t xml:space="preserve">Since </w:t>
      </w:r>
      <w:r w:rsidR="00522D9C" w:rsidRPr="00233992">
        <w:rPr>
          <w:rFonts w:eastAsiaTheme="minorHAnsi"/>
          <w:color w:val="000000" w:themeColor="text1"/>
          <w:sz w:val="22"/>
          <w:szCs w:val="22"/>
          <w:lang w:eastAsia="en-US"/>
        </w:rPr>
        <w:t>the</w:t>
      </w:r>
      <w:r w:rsidR="0040314D" w:rsidRPr="00233992">
        <w:rPr>
          <w:rFonts w:eastAsiaTheme="minorHAnsi"/>
          <w:color w:val="000000" w:themeColor="text1"/>
          <w:sz w:val="22"/>
          <w:szCs w:val="22"/>
          <w:lang w:eastAsia="en-US"/>
        </w:rPr>
        <w:t xml:space="preserve"> coefficient </w:t>
      </w:r>
      <w:r w:rsidR="006D4675">
        <w:rPr>
          <w:rFonts w:eastAsiaTheme="minorHAnsi"/>
          <w:color w:val="000000" w:themeColor="text1"/>
          <w:sz w:val="22"/>
          <w:szCs w:val="22"/>
          <w:lang w:eastAsia="en-US"/>
        </w:rPr>
        <w:t xml:space="preserve">on CFIUS Block </w:t>
      </w:r>
      <w:r w:rsidR="0040314D" w:rsidRPr="00233992">
        <w:rPr>
          <w:rFonts w:eastAsiaTheme="minorHAnsi"/>
          <w:color w:val="000000" w:themeColor="text1"/>
          <w:sz w:val="22"/>
          <w:szCs w:val="22"/>
          <w:lang w:eastAsia="en-US"/>
        </w:rPr>
        <w:t xml:space="preserve">is </w:t>
      </w:r>
      <w:r w:rsidR="00D543EB" w:rsidRPr="00233992">
        <w:rPr>
          <w:rFonts w:eastAsiaTheme="minorHAnsi"/>
          <w:color w:val="000000" w:themeColor="text1"/>
          <w:sz w:val="22"/>
          <w:szCs w:val="22"/>
          <w:lang w:eastAsia="en-US"/>
        </w:rPr>
        <w:t>the</w:t>
      </w:r>
      <w:r w:rsidR="0040314D" w:rsidRPr="00233992">
        <w:rPr>
          <w:rFonts w:eastAsiaTheme="minorHAnsi"/>
          <w:color w:val="000000" w:themeColor="text1"/>
          <w:sz w:val="22"/>
          <w:szCs w:val="22"/>
          <w:lang w:eastAsia="en-US"/>
        </w:rPr>
        <w:t xml:space="preserve"> weighted average of different treatment effects, this identification design </w:t>
      </w:r>
      <w:r w:rsidR="00C60302" w:rsidRPr="00233992">
        <w:rPr>
          <w:rFonts w:eastAsiaTheme="minorHAnsi"/>
          <w:color w:val="000000" w:themeColor="text1"/>
          <w:sz w:val="22"/>
          <w:szCs w:val="22"/>
          <w:lang w:eastAsia="en-US"/>
        </w:rPr>
        <w:t>could</w:t>
      </w:r>
      <w:r w:rsidR="006F299A" w:rsidRPr="00233992">
        <w:rPr>
          <w:rFonts w:eastAsiaTheme="minorHAnsi"/>
          <w:color w:val="000000" w:themeColor="text1"/>
          <w:sz w:val="22"/>
          <w:szCs w:val="22"/>
          <w:lang w:eastAsia="en-US"/>
        </w:rPr>
        <w:t xml:space="preserve"> yield biased estimates of the true</w:t>
      </w:r>
      <w:r w:rsidR="0040314D" w:rsidRPr="00233992">
        <w:rPr>
          <w:rFonts w:eastAsiaTheme="minorHAnsi"/>
          <w:color w:val="000000" w:themeColor="text1"/>
          <w:sz w:val="22"/>
          <w:szCs w:val="22"/>
          <w:lang w:eastAsia="en-US"/>
        </w:rPr>
        <w:t xml:space="preserve"> average treatment effect (Callaway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40314D" w:rsidRPr="00233992">
        <w:rPr>
          <w:rFonts w:eastAsiaTheme="minorHAnsi"/>
          <w:color w:val="000000" w:themeColor="text1"/>
          <w:sz w:val="22"/>
          <w:szCs w:val="22"/>
          <w:lang w:eastAsia="en-US"/>
        </w:rPr>
        <w:t>Sant’Anna</w:t>
      </w:r>
      <w:r w:rsidR="0014184E" w:rsidRPr="00233992">
        <w:rPr>
          <w:rFonts w:eastAsiaTheme="minorHAnsi"/>
          <w:color w:val="000000" w:themeColor="text1"/>
          <w:sz w:val="22"/>
          <w:szCs w:val="22"/>
          <w:lang w:eastAsia="en-US"/>
        </w:rPr>
        <w:t>,</w:t>
      </w:r>
      <w:r w:rsidR="0040314D" w:rsidRPr="00233992">
        <w:rPr>
          <w:rFonts w:eastAsiaTheme="minorHAnsi"/>
          <w:color w:val="000000" w:themeColor="text1"/>
          <w:sz w:val="22"/>
          <w:szCs w:val="22"/>
          <w:lang w:eastAsia="en-US"/>
        </w:rPr>
        <w:t xml:space="preserve"> 2021</w:t>
      </w:r>
      <w:r w:rsidR="0014184E" w:rsidRPr="00233992">
        <w:rPr>
          <w:rFonts w:eastAsiaTheme="minorHAnsi"/>
          <w:color w:val="000000" w:themeColor="text1"/>
          <w:sz w:val="22"/>
          <w:szCs w:val="22"/>
          <w:lang w:eastAsia="en-US"/>
        </w:rPr>
        <w:t>;</w:t>
      </w:r>
      <w:r w:rsidR="0040314D" w:rsidRPr="00233992">
        <w:rPr>
          <w:rFonts w:eastAsiaTheme="minorHAnsi"/>
          <w:color w:val="000000" w:themeColor="text1"/>
          <w:sz w:val="22"/>
          <w:szCs w:val="22"/>
          <w:lang w:eastAsia="en-US"/>
        </w:rPr>
        <w:t xml:space="preserve"> Goodman-Bacon</w:t>
      </w:r>
      <w:r w:rsidR="0014184E" w:rsidRPr="00233992">
        <w:rPr>
          <w:rFonts w:eastAsiaTheme="minorHAnsi"/>
          <w:color w:val="000000" w:themeColor="text1"/>
          <w:sz w:val="22"/>
          <w:szCs w:val="22"/>
          <w:lang w:eastAsia="en-US"/>
        </w:rPr>
        <w:t>,</w:t>
      </w:r>
      <w:r w:rsidR="00F35BA9">
        <w:rPr>
          <w:rFonts w:eastAsiaTheme="minorHAnsi"/>
          <w:color w:val="000000" w:themeColor="text1"/>
          <w:sz w:val="22"/>
          <w:szCs w:val="22"/>
          <w:lang w:eastAsia="en-US"/>
        </w:rPr>
        <w:t xml:space="preserve"> 2021). </w:t>
      </w:r>
      <w:r w:rsidR="00BA5C7C" w:rsidRPr="00233992">
        <w:rPr>
          <w:rFonts w:eastAsiaTheme="minorHAnsi"/>
          <w:color w:val="000000" w:themeColor="text1"/>
          <w:sz w:val="22"/>
          <w:szCs w:val="22"/>
          <w:lang w:eastAsia="en-US"/>
        </w:rPr>
        <w:t>To further validate our findings, w</w:t>
      </w:r>
      <w:r w:rsidR="00C16E74" w:rsidRPr="00233992">
        <w:rPr>
          <w:rFonts w:eastAsiaTheme="minorHAnsi"/>
          <w:color w:val="000000" w:themeColor="text1"/>
          <w:sz w:val="22"/>
          <w:szCs w:val="22"/>
          <w:lang w:eastAsia="en-US"/>
        </w:rPr>
        <w:t>e</w:t>
      </w:r>
      <w:r w:rsidR="00D00087" w:rsidRPr="00233992">
        <w:rPr>
          <w:rFonts w:eastAsiaTheme="minorHAnsi"/>
          <w:color w:val="000000" w:themeColor="text1"/>
          <w:sz w:val="22"/>
          <w:szCs w:val="22"/>
          <w:lang w:eastAsia="en-US"/>
        </w:rPr>
        <w:t xml:space="preserve"> adopt an</w:t>
      </w:r>
      <w:r w:rsidR="00BA5C7C" w:rsidRPr="00233992">
        <w:rPr>
          <w:rFonts w:eastAsiaTheme="minorHAnsi"/>
          <w:color w:val="000000" w:themeColor="text1"/>
          <w:sz w:val="22"/>
          <w:szCs w:val="22"/>
          <w:lang w:eastAsia="en-US"/>
        </w:rPr>
        <w:t>other</w:t>
      </w:r>
      <w:r w:rsidR="00D00087" w:rsidRPr="00233992">
        <w:rPr>
          <w:rFonts w:eastAsiaTheme="minorHAnsi"/>
          <w:color w:val="000000" w:themeColor="text1"/>
          <w:sz w:val="22"/>
          <w:szCs w:val="22"/>
          <w:lang w:eastAsia="en-US"/>
        </w:rPr>
        <w:t xml:space="preserve"> empirical approach that directly takes into account </w:t>
      </w:r>
      <w:r w:rsidR="00511730" w:rsidRPr="00233992">
        <w:rPr>
          <w:rFonts w:eastAsiaTheme="minorHAnsi"/>
          <w:color w:val="000000" w:themeColor="text1"/>
          <w:sz w:val="22"/>
          <w:szCs w:val="22"/>
          <w:lang w:eastAsia="en-US"/>
        </w:rPr>
        <w:t>concerns that treated units could act as comparison units</w:t>
      </w:r>
      <w:r w:rsidR="00D00087" w:rsidRPr="00233992">
        <w:rPr>
          <w:rFonts w:eastAsiaTheme="minorHAnsi"/>
          <w:color w:val="000000" w:themeColor="text1"/>
          <w:sz w:val="22"/>
          <w:szCs w:val="22"/>
          <w:lang w:eastAsia="en-US"/>
        </w:rPr>
        <w:t xml:space="preserve">. </w:t>
      </w:r>
      <w:r w:rsidR="00BA5C7C" w:rsidRPr="00233992">
        <w:rPr>
          <w:rFonts w:eastAsiaTheme="minorHAnsi"/>
          <w:color w:val="000000" w:themeColor="text1"/>
          <w:sz w:val="22"/>
          <w:szCs w:val="22"/>
          <w:lang w:eastAsia="en-US"/>
        </w:rPr>
        <w:t xml:space="preserve">We </w:t>
      </w:r>
      <w:r w:rsidR="003D4A21" w:rsidRPr="00233992">
        <w:rPr>
          <w:rFonts w:eastAsiaTheme="minorHAnsi"/>
          <w:color w:val="000000" w:themeColor="text1"/>
          <w:sz w:val="22"/>
          <w:szCs w:val="22"/>
          <w:lang w:eastAsia="en-US"/>
        </w:rPr>
        <w:t xml:space="preserve">follow </w:t>
      </w:r>
      <w:r w:rsidR="009A375C" w:rsidRPr="00233992">
        <w:rPr>
          <w:rFonts w:eastAsiaTheme="minorHAnsi"/>
          <w:color w:val="000000" w:themeColor="text1"/>
          <w:sz w:val="22"/>
          <w:szCs w:val="22"/>
          <w:lang w:eastAsia="en-US"/>
        </w:rPr>
        <w:t xml:space="preserve">the methodology of </w:t>
      </w:r>
      <w:r w:rsidR="00D00087" w:rsidRPr="00233992">
        <w:rPr>
          <w:sz w:val="22"/>
          <w:szCs w:val="22"/>
        </w:rPr>
        <w:t>Sun and Abraham (2021)</w:t>
      </w:r>
      <w:r w:rsidR="003D4A21" w:rsidRPr="00233992">
        <w:rPr>
          <w:sz w:val="22"/>
          <w:szCs w:val="22"/>
        </w:rPr>
        <w:t xml:space="preserve"> whose </w:t>
      </w:r>
      <w:r w:rsidR="00511730" w:rsidRPr="00233992">
        <w:rPr>
          <w:sz w:val="22"/>
          <w:szCs w:val="22"/>
        </w:rPr>
        <w:t>estimates</w:t>
      </w:r>
      <w:r w:rsidR="00D00087" w:rsidRPr="00233992">
        <w:rPr>
          <w:sz w:val="22"/>
          <w:szCs w:val="22"/>
        </w:rPr>
        <w:t xml:space="preserve"> are not contaminated by </w:t>
      </w:r>
      <w:r w:rsidR="00667FC0" w:rsidRPr="00233992">
        <w:rPr>
          <w:sz w:val="22"/>
          <w:szCs w:val="22"/>
        </w:rPr>
        <w:t xml:space="preserve">the </w:t>
      </w:r>
      <w:r w:rsidR="00D00087" w:rsidRPr="00233992">
        <w:rPr>
          <w:sz w:val="22"/>
          <w:szCs w:val="22"/>
        </w:rPr>
        <w:t xml:space="preserve">effects </w:t>
      </w:r>
      <w:r w:rsidR="003D4A21" w:rsidRPr="00233992">
        <w:rPr>
          <w:sz w:val="22"/>
          <w:szCs w:val="22"/>
        </w:rPr>
        <w:t>of</w:t>
      </w:r>
      <w:r w:rsidR="00D00087" w:rsidRPr="00233992">
        <w:rPr>
          <w:sz w:val="22"/>
          <w:szCs w:val="22"/>
        </w:rPr>
        <w:t xml:space="preserve"> other periods</w:t>
      </w:r>
      <w:r w:rsidR="00DC748B" w:rsidRPr="00233992">
        <w:rPr>
          <w:sz w:val="22"/>
          <w:szCs w:val="22"/>
        </w:rPr>
        <w:t xml:space="preserve">. We present the results in </w:t>
      </w:r>
      <w:r w:rsidR="00EB3F4A">
        <w:rPr>
          <w:sz w:val="22"/>
          <w:szCs w:val="22"/>
        </w:rPr>
        <w:t>c</w:t>
      </w:r>
      <w:r w:rsidR="00664043">
        <w:rPr>
          <w:sz w:val="22"/>
          <w:szCs w:val="22"/>
        </w:rPr>
        <w:t>olumn 2</w:t>
      </w:r>
      <w:r w:rsidR="00DC748B" w:rsidRPr="00233992">
        <w:rPr>
          <w:sz w:val="22"/>
          <w:szCs w:val="22"/>
        </w:rPr>
        <w:t xml:space="preserve"> of Table </w:t>
      </w:r>
      <w:r w:rsidR="00EB3F4A">
        <w:rPr>
          <w:rFonts w:eastAsiaTheme="minorHAnsi"/>
          <w:color w:val="000000" w:themeColor="text1"/>
          <w:sz w:val="22"/>
          <w:szCs w:val="22"/>
          <w:lang w:eastAsia="en-US"/>
        </w:rPr>
        <w:t>6</w:t>
      </w:r>
      <w:r w:rsidR="00DC748B" w:rsidRPr="00233992">
        <w:rPr>
          <w:sz w:val="22"/>
          <w:szCs w:val="22"/>
        </w:rPr>
        <w:t xml:space="preserve">. </w:t>
      </w:r>
      <w:r w:rsidR="00984D1D" w:rsidRPr="00233992">
        <w:rPr>
          <w:sz w:val="22"/>
          <w:szCs w:val="22"/>
        </w:rPr>
        <w:t>The coefficients on the indicator time variables in the period before the shock (</w:t>
      </w:r>
      <w:r w:rsidR="00984D1D" w:rsidRPr="00233992">
        <w:rPr>
          <w:iCs/>
          <w:sz w:val="22"/>
          <w:szCs w:val="22"/>
        </w:rPr>
        <w:t>t-3</w:t>
      </w:r>
      <w:r w:rsidR="00984D1D" w:rsidRPr="00233992">
        <w:rPr>
          <w:sz w:val="22"/>
          <w:szCs w:val="22"/>
        </w:rPr>
        <w:t xml:space="preserve">, </w:t>
      </w:r>
      <w:r w:rsidR="00984D1D" w:rsidRPr="00233992">
        <w:rPr>
          <w:iCs/>
          <w:sz w:val="22"/>
          <w:szCs w:val="22"/>
        </w:rPr>
        <w:t>t-2</w:t>
      </w:r>
      <w:r w:rsidR="00984D1D" w:rsidRPr="00233992">
        <w:rPr>
          <w:sz w:val="22"/>
          <w:szCs w:val="22"/>
        </w:rPr>
        <w:t xml:space="preserve">, and </w:t>
      </w:r>
      <w:r w:rsidR="00984D1D" w:rsidRPr="00233992">
        <w:rPr>
          <w:iCs/>
          <w:sz w:val="22"/>
          <w:szCs w:val="22"/>
        </w:rPr>
        <w:t>t-1</w:t>
      </w:r>
      <w:r w:rsidR="00984D1D" w:rsidRPr="00233992">
        <w:rPr>
          <w:sz w:val="22"/>
          <w:szCs w:val="22"/>
        </w:rPr>
        <w:t>) are statistically insignificant</w:t>
      </w:r>
      <w:r w:rsidR="00EB3F4A">
        <w:rPr>
          <w:sz w:val="22"/>
          <w:szCs w:val="22"/>
        </w:rPr>
        <w:t xml:space="preserve"> (c</w:t>
      </w:r>
      <w:r w:rsidR="00664043">
        <w:rPr>
          <w:sz w:val="22"/>
          <w:szCs w:val="22"/>
        </w:rPr>
        <w:t>olumn 2</w:t>
      </w:r>
      <w:r w:rsidR="00BA5C7C" w:rsidRPr="00233992">
        <w:rPr>
          <w:sz w:val="22"/>
          <w:szCs w:val="22"/>
        </w:rPr>
        <w:t>)</w:t>
      </w:r>
      <w:r w:rsidR="00984D1D" w:rsidRPr="00233992">
        <w:rPr>
          <w:sz w:val="22"/>
          <w:szCs w:val="22"/>
        </w:rPr>
        <w:t>. The coefficients in the period after the shock (</w:t>
      </w:r>
      <w:r w:rsidR="00984D1D" w:rsidRPr="00233992">
        <w:rPr>
          <w:iCs/>
          <w:sz w:val="22"/>
          <w:szCs w:val="22"/>
        </w:rPr>
        <w:t>t+1</w:t>
      </w:r>
      <w:r w:rsidR="00984D1D" w:rsidRPr="00233992">
        <w:rPr>
          <w:sz w:val="22"/>
          <w:szCs w:val="22"/>
        </w:rPr>
        <w:t xml:space="preserve"> and </w:t>
      </w:r>
      <w:r w:rsidR="00984D1D" w:rsidRPr="00233992">
        <w:rPr>
          <w:iCs/>
          <w:sz w:val="22"/>
          <w:szCs w:val="22"/>
        </w:rPr>
        <w:t>t+2</w:t>
      </w:r>
      <w:r w:rsidR="00984D1D" w:rsidRPr="00233992">
        <w:rPr>
          <w:sz w:val="22"/>
          <w:szCs w:val="22"/>
        </w:rPr>
        <w:t xml:space="preserve">) </w:t>
      </w:r>
      <w:r w:rsidR="004A3764" w:rsidRPr="00233992">
        <w:rPr>
          <w:sz w:val="22"/>
          <w:szCs w:val="22"/>
        </w:rPr>
        <w:t>are</w:t>
      </w:r>
      <w:r w:rsidR="00984D1D" w:rsidRPr="00233992">
        <w:rPr>
          <w:sz w:val="22"/>
          <w:szCs w:val="22"/>
        </w:rPr>
        <w:t xml:space="preserve"> negative and statistically significant. </w:t>
      </w:r>
      <w:r w:rsidR="004A3764" w:rsidRPr="00233992">
        <w:rPr>
          <w:sz w:val="22"/>
          <w:szCs w:val="22"/>
        </w:rPr>
        <w:t xml:space="preserve">In sum, </w:t>
      </w:r>
      <w:r w:rsidR="00511730" w:rsidRPr="00233992">
        <w:rPr>
          <w:sz w:val="22"/>
          <w:szCs w:val="22"/>
        </w:rPr>
        <w:t>this</w:t>
      </w:r>
      <w:r w:rsidR="004A3764" w:rsidRPr="00233992">
        <w:rPr>
          <w:sz w:val="22"/>
          <w:szCs w:val="22"/>
        </w:rPr>
        <w:t xml:space="preserve"> empirical approach</w:t>
      </w:r>
      <w:r w:rsidR="009C1484" w:rsidRPr="00233992">
        <w:rPr>
          <w:sz w:val="22"/>
          <w:szCs w:val="22"/>
        </w:rPr>
        <w:t xml:space="preserve"> </w:t>
      </w:r>
      <w:r w:rsidR="00667FC0" w:rsidRPr="00233992">
        <w:rPr>
          <w:sz w:val="22"/>
          <w:szCs w:val="22"/>
        </w:rPr>
        <w:t>confirm</w:t>
      </w:r>
      <w:r w:rsidR="009C1484" w:rsidRPr="00233992">
        <w:rPr>
          <w:sz w:val="22"/>
          <w:szCs w:val="22"/>
        </w:rPr>
        <w:t>s</w:t>
      </w:r>
      <w:r w:rsidR="004A3764" w:rsidRPr="00233992">
        <w:rPr>
          <w:sz w:val="22"/>
          <w:szCs w:val="22"/>
        </w:rPr>
        <w:t xml:space="preserve"> our findings</w:t>
      </w:r>
      <w:r w:rsidR="00800456" w:rsidRPr="00233992">
        <w:rPr>
          <w:rFonts w:eastAsiaTheme="minorHAnsi"/>
          <w:sz w:val="22"/>
          <w:szCs w:val="22"/>
          <w:lang w:eastAsia="en-US"/>
        </w:rPr>
        <w:t>.</w:t>
      </w:r>
    </w:p>
    <w:p w14:paraId="0D4957A2" w14:textId="2854E0E0" w:rsidR="004C0706" w:rsidRDefault="00F35BA9" w:rsidP="004C0706">
      <w:pPr>
        <w:pStyle w:val="Normal2"/>
        <w:ind w:firstLine="360"/>
      </w:pPr>
      <w:r w:rsidRPr="00233992">
        <w:rPr>
          <w:rFonts w:eastAsiaTheme="minorHAnsi"/>
          <w:color w:val="000000" w:themeColor="text1"/>
          <w:sz w:val="22"/>
          <w:szCs w:val="22"/>
          <w:lang w:eastAsia="en-US"/>
        </w:rPr>
        <w:tab/>
      </w:r>
      <w:r w:rsidR="004C0706">
        <w:rPr>
          <w:sz w:val="22"/>
          <w:szCs w:val="22"/>
        </w:rPr>
        <w:t>On the one hand, the</w:t>
      </w:r>
      <w:r w:rsidR="004C0706" w:rsidRPr="003B4BA4">
        <w:rPr>
          <w:sz w:val="22"/>
          <w:szCs w:val="22"/>
        </w:rPr>
        <w:t xml:space="preserve"> staggered occurrence of </w:t>
      </w:r>
      <w:r w:rsidR="004C0706">
        <w:rPr>
          <w:sz w:val="22"/>
          <w:szCs w:val="22"/>
        </w:rPr>
        <w:t>CFIUS interventions</w:t>
      </w:r>
      <w:r w:rsidR="004C0706" w:rsidRPr="003B4BA4">
        <w:rPr>
          <w:sz w:val="22"/>
          <w:szCs w:val="22"/>
        </w:rPr>
        <w:t xml:space="preserve"> mitigates concern</w:t>
      </w:r>
      <w:r w:rsidR="004C0706">
        <w:rPr>
          <w:sz w:val="22"/>
          <w:szCs w:val="22"/>
        </w:rPr>
        <w:t>s</w:t>
      </w:r>
      <w:r w:rsidR="004C0706" w:rsidRPr="003B4BA4">
        <w:rPr>
          <w:sz w:val="22"/>
          <w:szCs w:val="22"/>
        </w:rPr>
        <w:t xml:space="preserve"> </w:t>
      </w:r>
      <w:r w:rsidR="004C0706">
        <w:rPr>
          <w:sz w:val="22"/>
          <w:szCs w:val="22"/>
        </w:rPr>
        <w:t>regarding</w:t>
      </w:r>
      <w:r w:rsidR="004C0706" w:rsidRPr="003B4BA4">
        <w:rPr>
          <w:sz w:val="22"/>
          <w:szCs w:val="22"/>
        </w:rPr>
        <w:t xml:space="preserve"> confounding events.</w:t>
      </w:r>
      <w:r w:rsidR="004C0706">
        <w:rPr>
          <w:sz w:val="22"/>
          <w:szCs w:val="22"/>
        </w:rPr>
        <w:t xml:space="preserve"> On the other hand, r</w:t>
      </w:r>
      <w:r w:rsidR="004C0706" w:rsidRPr="003B4BA4">
        <w:rPr>
          <w:sz w:val="22"/>
          <w:szCs w:val="22"/>
        </w:rPr>
        <w:t>ecent works in econometrics document that the staggered difference-and-differences design renders more difficult the interpretation of the average treatment effect (</w:t>
      </w:r>
      <w:r w:rsidR="004C0706">
        <w:rPr>
          <w:sz w:val="22"/>
          <w:szCs w:val="22"/>
        </w:rPr>
        <w:t xml:space="preserve">Baker </w:t>
      </w:r>
      <w:r w:rsidR="004C0706" w:rsidRPr="000137AC">
        <w:rPr>
          <w:rFonts w:eastAsiaTheme="minorHAnsi"/>
          <w:color w:val="000000" w:themeColor="text1"/>
          <w:sz w:val="22"/>
          <w:szCs w:val="22"/>
          <w:lang w:eastAsia="en-US"/>
        </w:rPr>
        <w:t>et al</w:t>
      </w:r>
      <w:r w:rsidR="004C0706" w:rsidRPr="000137AC">
        <w:rPr>
          <w:sz w:val="22"/>
          <w:szCs w:val="22"/>
        </w:rPr>
        <w:t>.</w:t>
      </w:r>
      <w:r w:rsidR="004C0706">
        <w:rPr>
          <w:sz w:val="22"/>
          <w:szCs w:val="22"/>
        </w:rPr>
        <w:t xml:space="preserve">, </w:t>
      </w:r>
      <w:r w:rsidR="004C0706" w:rsidRPr="003B4BA4">
        <w:rPr>
          <w:sz w:val="22"/>
          <w:szCs w:val="22"/>
        </w:rPr>
        <w:t>2022).</w:t>
      </w:r>
      <w:r w:rsidR="004C0706" w:rsidRPr="008A7B44">
        <w:t xml:space="preserve"> </w:t>
      </w:r>
      <w:r w:rsidR="004C0706" w:rsidRPr="008A7B44">
        <w:rPr>
          <w:sz w:val="22"/>
          <w:szCs w:val="22"/>
        </w:rPr>
        <w:t xml:space="preserve">Our results are less likely to suffer from </w:t>
      </w:r>
      <w:r w:rsidR="00E27206">
        <w:rPr>
          <w:sz w:val="22"/>
          <w:szCs w:val="22"/>
        </w:rPr>
        <w:t>such concerns</w:t>
      </w:r>
      <w:r w:rsidR="004C0706" w:rsidRPr="008A7B44">
        <w:rPr>
          <w:sz w:val="22"/>
          <w:szCs w:val="22"/>
        </w:rPr>
        <w:t xml:space="preserve">. </w:t>
      </w:r>
      <w:r w:rsidR="004C0706">
        <w:rPr>
          <w:rFonts w:eastAsiaTheme="minorHAnsi"/>
          <w:color w:val="000000" w:themeColor="text1"/>
          <w:sz w:val="22"/>
          <w:szCs w:val="22"/>
          <w:lang w:eastAsia="en-US"/>
        </w:rPr>
        <w:t>M</w:t>
      </w:r>
      <w:r w:rsidR="004C0706" w:rsidRPr="00F35BA9">
        <w:rPr>
          <w:rFonts w:eastAsiaTheme="minorHAnsi"/>
          <w:color w:val="000000" w:themeColor="text1"/>
          <w:sz w:val="22"/>
          <w:szCs w:val="22"/>
          <w:lang w:eastAsia="en-US"/>
        </w:rPr>
        <w:t xml:space="preserve">any CFIUS interventions can be traced to the Trump administration. More precisely, 19 out of the </w:t>
      </w:r>
      <w:r w:rsidR="006F49F9">
        <w:rPr>
          <w:rFonts w:eastAsiaTheme="minorHAnsi"/>
          <w:color w:val="000000" w:themeColor="text1"/>
          <w:sz w:val="22"/>
          <w:szCs w:val="22"/>
          <w:lang w:eastAsia="en-US"/>
        </w:rPr>
        <w:t>23</w:t>
      </w:r>
      <w:r w:rsidR="004C0706" w:rsidRPr="00F35BA9">
        <w:rPr>
          <w:rFonts w:eastAsiaTheme="minorHAnsi"/>
          <w:color w:val="000000" w:themeColor="text1"/>
          <w:sz w:val="22"/>
          <w:szCs w:val="22"/>
          <w:lang w:eastAsia="en-US"/>
        </w:rPr>
        <w:t xml:space="preserve"> CFIUS interventions occurred from the 2016 U</w:t>
      </w:r>
      <w:r w:rsidR="008A3E91">
        <w:rPr>
          <w:rFonts w:eastAsiaTheme="minorHAnsi"/>
          <w:color w:val="000000" w:themeColor="text1"/>
          <w:sz w:val="22"/>
          <w:szCs w:val="22"/>
          <w:lang w:eastAsia="en-US"/>
        </w:rPr>
        <w:t>.</w:t>
      </w:r>
      <w:r w:rsidR="004C0706" w:rsidRPr="00F35BA9">
        <w:rPr>
          <w:rFonts w:eastAsiaTheme="minorHAnsi"/>
          <w:color w:val="000000" w:themeColor="text1"/>
          <w:sz w:val="22"/>
          <w:szCs w:val="22"/>
          <w:lang w:eastAsia="en-US"/>
        </w:rPr>
        <w:t>S</w:t>
      </w:r>
      <w:r w:rsidR="008A3E91">
        <w:rPr>
          <w:rFonts w:eastAsiaTheme="minorHAnsi"/>
          <w:color w:val="000000" w:themeColor="text1"/>
          <w:sz w:val="22"/>
          <w:szCs w:val="22"/>
          <w:lang w:eastAsia="en-US"/>
        </w:rPr>
        <w:t>.</w:t>
      </w:r>
      <w:r w:rsidR="004C0706" w:rsidRPr="00F35BA9">
        <w:rPr>
          <w:rFonts w:eastAsiaTheme="minorHAnsi"/>
          <w:color w:val="000000" w:themeColor="text1"/>
          <w:sz w:val="22"/>
          <w:szCs w:val="22"/>
          <w:lang w:eastAsia="en-US"/>
        </w:rPr>
        <w:t xml:space="preserve"> presidential campaign, thus alleviating concerns that treated units could act as comparison units.</w:t>
      </w:r>
      <w:r w:rsidR="004C0706">
        <w:rPr>
          <w:rFonts w:eastAsiaTheme="minorHAnsi"/>
          <w:color w:val="000000" w:themeColor="text1"/>
          <w:sz w:val="22"/>
          <w:szCs w:val="22"/>
          <w:lang w:eastAsia="en-US"/>
        </w:rPr>
        <w:t xml:space="preserve"> </w:t>
      </w:r>
    </w:p>
    <w:p w14:paraId="3D0196E2" w14:textId="4D12D949" w:rsidR="00160D3E" w:rsidRDefault="004C0706" w:rsidP="004C0706">
      <w:pPr>
        <w:pStyle w:val="Normal2"/>
        <w:rPr>
          <w:sz w:val="22"/>
          <w:szCs w:val="22"/>
        </w:rPr>
      </w:pPr>
      <w:r>
        <w:rPr>
          <w:sz w:val="22"/>
          <w:szCs w:val="22"/>
        </w:rPr>
        <w:t xml:space="preserve">Baker </w:t>
      </w:r>
      <w:r w:rsidRPr="000137AC">
        <w:rPr>
          <w:sz w:val="22"/>
          <w:szCs w:val="22"/>
        </w:rPr>
        <w:t>et al.</w:t>
      </w:r>
      <w:r>
        <w:rPr>
          <w:sz w:val="22"/>
          <w:szCs w:val="22"/>
        </w:rPr>
        <w:t xml:space="preserve"> </w:t>
      </w:r>
      <w:r w:rsidRPr="008B0B44">
        <w:rPr>
          <w:sz w:val="22"/>
          <w:szCs w:val="22"/>
        </w:rPr>
        <w:t>(2022, p. 371) show that</w:t>
      </w:r>
      <w:r w:rsidRPr="003B4BA4">
        <w:rPr>
          <w:sz w:val="22"/>
          <w:szCs w:val="22"/>
        </w:rPr>
        <w:t xml:space="preserve"> difference-and-differences estimates are unbiased in settings with a single treatment period even in the presence of different treatment effects.</w:t>
      </w:r>
      <w:r>
        <w:rPr>
          <w:sz w:val="22"/>
          <w:szCs w:val="22"/>
        </w:rPr>
        <w:t xml:space="preserve"> We</w:t>
      </w:r>
      <w:r w:rsidRPr="003B4BA4">
        <w:rPr>
          <w:sz w:val="22"/>
          <w:szCs w:val="22"/>
        </w:rPr>
        <w:t xml:space="preserve"> </w:t>
      </w:r>
      <w:r>
        <w:rPr>
          <w:sz w:val="22"/>
          <w:szCs w:val="22"/>
        </w:rPr>
        <w:t>therefore use</w:t>
      </w:r>
      <w:r w:rsidRPr="003B4BA4">
        <w:rPr>
          <w:sz w:val="22"/>
          <w:szCs w:val="22"/>
        </w:rPr>
        <w:t xml:space="preserve"> the </w:t>
      </w:r>
      <w:r w:rsidRPr="002B6995">
        <w:rPr>
          <w:sz w:val="22"/>
          <w:szCs w:val="22"/>
        </w:rPr>
        <w:t xml:space="preserve">election of Trump </w:t>
      </w:r>
      <w:r>
        <w:rPr>
          <w:sz w:val="22"/>
          <w:szCs w:val="22"/>
        </w:rPr>
        <w:t>in 2016</w:t>
      </w:r>
      <w:r w:rsidRPr="003B4BA4">
        <w:rPr>
          <w:sz w:val="22"/>
          <w:szCs w:val="22"/>
        </w:rPr>
        <w:t xml:space="preserve"> </w:t>
      </w:r>
      <w:r w:rsidRPr="00AA31B8">
        <w:rPr>
          <w:sz w:val="22"/>
          <w:szCs w:val="22"/>
        </w:rPr>
        <w:t xml:space="preserve">as a shock to the probability of CFIUS denials </w:t>
      </w:r>
      <w:r w:rsidR="00E27206">
        <w:rPr>
          <w:sz w:val="22"/>
          <w:szCs w:val="22"/>
        </w:rPr>
        <w:t xml:space="preserve">of regulatory approval </w:t>
      </w:r>
      <w:r w:rsidRPr="00AA31B8">
        <w:rPr>
          <w:sz w:val="22"/>
          <w:szCs w:val="22"/>
        </w:rPr>
        <w:t>in affected industries.</w:t>
      </w:r>
      <w:r w:rsidRPr="003B4BA4">
        <w:rPr>
          <w:sz w:val="22"/>
          <w:szCs w:val="22"/>
        </w:rPr>
        <w:t xml:space="preserve"> </w:t>
      </w:r>
      <w:r w:rsidRPr="00CF52CA">
        <w:rPr>
          <w:sz w:val="22"/>
          <w:szCs w:val="22"/>
        </w:rPr>
        <w:t xml:space="preserve">The outcome of the 2016 </w:t>
      </w:r>
      <w:r>
        <w:rPr>
          <w:sz w:val="22"/>
          <w:szCs w:val="22"/>
        </w:rPr>
        <w:t>U</w:t>
      </w:r>
      <w:r w:rsidR="008A3E91">
        <w:rPr>
          <w:sz w:val="22"/>
          <w:szCs w:val="22"/>
        </w:rPr>
        <w:t>.</w:t>
      </w:r>
      <w:r>
        <w:rPr>
          <w:sz w:val="22"/>
          <w:szCs w:val="22"/>
        </w:rPr>
        <w:t>S</w:t>
      </w:r>
      <w:r w:rsidR="008A3E91">
        <w:rPr>
          <w:sz w:val="22"/>
          <w:szCs w:val="22"/>
        </w:rPr>
        <w:t>.</w:t>
      </w:r>
      <w:r>
        <w:rPr>
          <w:sz w:val="22"/>
          <w:szCs w:val="22"/>
        </w:rPr>
        <w:t xml:space="preserve"> </w:t>
      </w:r>
      <w:r w:rsidRPr="00CF52CA">
        <w:rPr>
          <w:sz w:val="22"/>
          <w:szCs w:val="22"/>
        </w:rPr>
        <w:t>presidential election was a surprise—many polls predicted a low chance of a Trump victory</w:t>
      </w:r>
      <w:r w:rsidRPr="003B4BA4">
        <w:rPr>
          <w:sz w:val="22"/>
          <w:szCs w:val="22"/>
        </w:rPr>
        <w:t>.</w:t>
      </w:r>
      <w:r>
        <w:rPr>
          <w:sz w:val="22"/>
          <w:szCs w:val="22"/>
        </w:rPr>
        <w:t xml:space="preserve"> We</w:t>
      </w:r>
      <w:r w:rsidRPr="003B4BA4">
        <w:rPr>
          <w:sz w:val="22"/>
          <w:szCs w:val="22"/>
        </w:rPr>
        <w:t xml:space="preserve"> create the variable </w:t>
      </w:r>
      <w:r w:rsidRPr="00E27206">
        <w:rPr>
          <w:iCs/>
          <w:sz w:val="22"/>
          <w:szCs w:val="22"/>
        </w:rPr>
        <w:t>CFIUS Trump</w:t>
      </w:r>
      <w:r w:rsidRPr="003B4BA4">
        <w:rPr>
          <w:i/>
          <w:iCs/>
          <w:sz w:val="22"/>
          <w:szCs w:val="22"/>
        </w:rPr>
        <w:t xml:space="preserve"> </w:t>
      </w:r>
      <w:r w:rsidRPr="003B4BA4">
        <w:rPr>
          <w:sz w:val="22"/>
          <w:szCs w:val="22"/>
        </w:rPr>
        <w:t xml:space="preserve">equals one for </w:t>
      </w:r>
      <w:r>
        <w:rPr>
          <w:sz w:val="22"/>
          <w:szCs w:val="22"/>
        </w:rPr>
        <w:t>the treatment group</w:t>
      </w:r>
      <w:r w:rsidRPr="003B4BA4">
        <w:rPr>
          <w:sz w:val="22"/>
          <w:szCs w:val="22"/>
        </w:rPr>
        <w:t xml:space="preserve"> after the 2016 </w:t>
      </w:r>
      <w:r>
        <w:rPr>
          <w:sz w:val="22"/>
          <w:szCs w:val="22"/>
        </w:rPr>
        <w:t>U</w:t>
      </w:r>
      <w:r w:rsidR="008A3E91">
        <w:rPr>
          <w:sz w:val="22"/>
          <w:szCs w:val="22"/>
        </w:rPr>
        <w:t>.</w:t>
      </w:r>
      <w:r>
        <w:rPr>
          <w:sz w:val="22"/>
          <w:szCs w:val="22"/>
        </w:rPr>
        <w:t>S</w:t>
      </w:r>
      <w:r w:rsidR="008A3E91">
        <w:rPr>
          <w:sz w:val="22"/>
          <w:szCs w:val="22"/>
        </w:rPr>
        <w:t>.</w:t>
      </w:r>
      <w:r>
        <w:rPr>
          <w:sz w:val="22"/>
          <w:szCs w:val="22"/>
        </w:rPr>
        <w:t xml:space="preserve"> </w:t>
      </w:r>
      <w:r w:rsidRPr="003B4BA4">
        <w:rPr>
          <w:sz w:val="22"/>
          <w:szCs w:val="22"/>
        </w:rPr>
        <w:t>presidential election (</w:t>
      </w:r>
      <w:r w:rsidRPr="005A4E3A">
        <w:rPr>
          <w:rFonts w:eastAsiaTheme="minorHAnsi"/>
          <w:sz w:val="22"/>
          <w:szCs w:val="22"/>
          <w:lang w:eastAsia="en-US"/>
        </w:rPr>
        <w:t xml:space="preserve">post </w:t>
      </w:r>
      <w:r>
        <w:rPr>
          <w:rFonts w:eastAsiaTheme="minorHAnsi"/>
          <w:sz w:val="22"/>
          <w:szCs w:val="22"/>
          <w:lang w:eastAsia="en-US"/>
        </w:rPr>
        <w:t>2016 U</w:t>
      </w:r>
      <w:r w:rsidR="008A3E91">
        <w:rPr>
          <w:rFonts w:eastAsiaTheme="minorHAnsi"/>
          <w:sz w:val="22"/>
          <w:szCs w:val="22"/>
          <w:lang w:eastAsia="en-US"/>
        </w:rPr>
        <w:t>.</w:t>
      </w:r>
      <w:r>
        <w:rPr>
          <w:rFonts w:eastAsiaTheme="minorHAnsi"/>
          <w:sz w:val="22"/>
          <w:szCs w:val="22"/>
          <w:lang w:eastAsia="en-US"/>
        </w:rPr>
        <w:t>S</w:t>
      </w:r>
      <w:r w:rsidR="008A3E91">
        <w:rPr>
          <w:rFonts w:eastAsiaTheme="minorHAnsi"/>
          <w:sz w:val="22"/>
          <w:szCs w:val="22"/>
          <w:lang w:eastAsia="en-US"/>
        </w:rPr>
        <w:t>.</w:t>
      </w:r>
      <w:r>
        <w:rPr>
          <w:rFonts w:eastAsiaTheme="minorHAnsi"/>
          <w:sz w:val="22"/>
          <w:szCs w:val="22"/>
          <w:lang w:eastAsia="en-US"/>
        </w:rPr>
        <w:t xml:space="preserve"> presidential election </w:t>
      </w:r>
      <w:r w:rsidRPr="008A7B44">
        <w:rPr>
          <w:rFonts w:eastAsiaTheme="minorHAnsi"/>
          <w:sz w:val="22"/>
          <w:szCs w:val="22"/>
          <w:lang w:eastAsia="en-US"/>
        </w:rPr>
        <w:t xml:space="preserve"># </w:t>
      </w:r>
      <w:r w:rsidRPr="008A7B44">
        <w:rPr>
          <w:rFonts w:eastAsiaTheme="minorHAnsi"/>
          <w:sz w:val="22"/>
          <w:szCs w:val="22"/>
          <w:lang w:eastAsia="en-US"/>
        </w:rPr>
        <w:lastRenderedPageBreak/>
        <w:t>treatment group</w:t>
      </w:r>
      <w:r w:rsidRPr="003B4BA4">
        <w:rPr>
          <w:sz w:val="22"/>
          <w:szCs w:val="22"/>
        </w:rPr>
        <w:t>)</w:t>
      </w:r>
      <w:r>
        <w:rPr>
          <w:sz w:val="22"/>
          <w:szCs w:val="22"/>
        </w:rPr>
        <w:t>, and zero otherwise</w:t>
      </w:r>
      <w:r w:rsidRPr="003B4BA4">
        <w:rPr>
          <w:sz w:val="22"/>
          <w:szCs w:val="22"/>
        </w:rPr>
        <w:t>.</w:t>
      </w:r>
      <w:r w:rsidR="00421ADA" w:rsidRPr="00233992">
        <w:rPr>
          <w:rStyle w:val="Appelnotedebasdep"/>
          <w:rFonts w:eastAsiaTheme="minorHAnsi"/>
          <w:color w:val="000000" w:themeColor="text1"/>
          <w:sz w:val="22"/>
          <w:szCs w:val="22"/>
          <w:lang w:eastAsia="en-US"/>
        </w:rPr>
        <w:footnoteReference w:id="15"/>
      </w:r>
      <w:r w:rsidR="00421ADA">
        <w:rPr>
          <w:sz w:val="22"/>
          <w:szCs w:val="22"/>
        </w:rPr>
        <w:t xml:space="preserve"> T</w:t>
      </w:r>
      <w:r w:rsidRPr="003B4BA4">
        <w:rPr>
          <w:sz w:val="22"/>
          <w:szCs w:val="22"/>
        </w:rPr>
        <w:t xml:space="preserve">his </w:t>
      </w:r>
      <w:r>
        <w:rPr>
          <w:sz w:val="22"/>
          <w:szCs w:val="22"/>
        </w:rPr>
        <w:t>empirical approach is the</w:t>
      </w:r>
      <w:r w:rsidRPr="00702AAB">
        <w:rPr>
          <w:sz w:val="22"/>
          <w:szCs w:val="22"/>
        </w:rPr>
        <w:t xml:space="preserve"> difference-and-differences </w:t>
      </w:r>
      <w:r>
        <w:rPr>
          <w:sz w:val="22"/>
          <w:szCs w:val="22"/>
        </w:rPr>
        <w:t xml:space="preserve">design </w:t>
      </w:r>
      <w:r w:rsidRPr="00702AAB">
        <w:rPr>
          <w:sz w:val="22"/>
          <w:szCs w:val="22"/>
        </w:rPr>
        <w:t xml:space="preserve">with a single treatment period </w:t>
      </w:r>
      <w:r>
        <w:rPr>
          <w:sz w:val="22"/>
          <w:szCs w:val="22"/>
        </w:rPr>
        <w:t xml:space="preserve">and </w:t>
      </w:r>
      <w:r w:rsidRPr="00702AAB">
        <w:rPr>
          <w:sz w:val="22"/>
          <w:szCs w:val="22"/>
        </w:rPr>
        <w:t>different treatment effects, which yi</w:t>
      </w:r>
      <w:r>
        <w:rPr>
          <w:sz w:val="22"/>
          <w:szCs w:val="22"/>
        </w:rPr>
        <w:t xml:space="preserve">elds unbiased estimates (Baker </w:t>
      </w:r>
      <w:r w:rsidRPr="000137AC">
        <w:rPr>
          <w:sz w:val="22"/>
          <w:szCs w:val="22"/>
        </w:rPr>
        <w:t>et al.</w:t>
      </w:r>
      <w:r w:rsidR="000137AC">
        <w:rPr>
          <w:sz w:val="22"/>
          <w:szCs w:val="22"/>
        </w:rPr>
        <w:t>,</w:t>
      </w:r>
      <w:r>
        <w:rPr>
          <w:sz w:val="22"/>
          <w:szCs w:val="22"/>
        </w:rPr>
        <w:t xml:space="preserve"> </w:t>
      </w:r>
      <w:r w:rsidRPr="00702AAB">
        <w:rPr>
          <w:sz w:val="22"/>
          <w:szCs w:val="22"/>
        </w:rPr>
        <w:t>2022</w:t>
      </w:r>
      <w:r>
        <w:rPr>
          <w:sz w:val="22"/>
          <w:szCs w:val="22"/>
        </w:rPr>
        <w:t>).</w:t>
      </w:r>
      <w:r>
        <w:rPr>
          <w:i/>
          <w:iCs/>
          <w:sz w:val="22"/>
          <w:szCs w:val="22"/>
        </w:rPr>
        <w:t xml:space="preserve"> </w:t>
      </w:r>
      <w:r>
        <w:rPr>
          <w:sz w:val="22"/>
          <w:szCs w:val="22"/>
        </w:rPr>
        <w:t>We</w:t>
      </w:r>
      <w:r w:rsidRPr="003B4BA4">
        <w:rPr>
          <w:sz w:val="22"/>
          <w:szCs w:val="22"/>
        </w:rPr>
        <w:t xml:space="preserve"> </w:t>
      </w:r>
      <w:r>
        <w:rPr>
          <w:sz w:val="22"/>
          <w:szCs w:val="22"/>
        </w:rPr>
        <w:t>present</w:t>
      </w:r>
      <w:r w:rsidRPr="003B4BA4">
        <w:rPr>
          <w:sz w:val="22"/>
          <w:szCs w:val="22"/>
        </w:rPr>
        <w:t xml:space="preserve"> the results in Table </w:t>
      </w:r>
      <w:r w:rsidR="00EB3F4A">
        <w:rPr>
          <w:sz w:val="22"/>
          <w:szCs w:val="22"/>
        </w:rPr>
        <w:t>7</w:t>
      </w:r>
      <w:r w:rsidRPr="003B4BA4">
        <w:rPr>
          <w:sz w:val="22"/>
          <w:szCs w:val="22"/>
        </w:rPr>
        <w:t xml:space="preserve">. </w:t>
      </w:r>
      <w:r w:rsidRPr="00F43F4E">
        <w:rPr>
          <w:sz w:val="22"/>
          <w:szCs w:val="22"/>
        </w:rPr>
        <w:t xml:space="preserve">The coefficient on </w:t>
      </w:r>
      <w:r w:rsidRPr="00E27206">
        <w:rPr>
          <w:iCs/>
          <w:sz w:val="22"/>
          <w:szCs w:val="22"/>
        </w:rPr>
        <w:t>CFIUS Trump</w:t>
      </w:r>
      <w:r w:rsidRPr="00F43F4E">
        <w:rPr>
          <w:i/>
          <w:iCs/>
          <w:sz w:val="22"/>
          <w:szCs w:val="22"/>
        </w:rPr>
        <w:t xml:space="preserve"> </w:t>
      </w:r>
      <w:r w:rsidRPr="00F43F4E">
        <w:rPr>
          <w:sz w:val="22"/>
          <w:szCs w:val="22"/>
        </w:rPr>
        <w:t xml:space="preserve">is </w:t>
      </w:r>
      <w:r w:rsidR="00160D3E">
        <w:rPr>
          <w:sz w:val="22"/>
          <w:szCs w:val="22"/>
        </w:rPr>
        <w:t>negative</w:t>
      </w:r>
      <w:r>
        <w:rPr>
          <w:sz w:val="22"/>
          <w:szCs w:val="22"/>
        </w:rPr>
        <w:t xml:space="preserve"> and </w:t>
      </w:r>
      <w:r w:rsidRPr="00F43F4E">
        <w:rPr>
          <w:sz w:val="22"/>
          <w:szCs w:val="22"/>
        </w:rPr>
        <w:t xml:space="preserve">statistically </w:t>
      </w:r>
      <w:r>
        <w:rPr>
          <w:sz w:val="22"/>
          <w:szCs w:val="22"/>
        </w:rPr>
        <w:t>significant across the models (</w:t>
      </w:r>
      <w:r w:rsidR="00EB3F4A">
        <w:rPr>
          <w:sz w:val="22"/>
          <w:szCs w:val="22"/>
        </w:rPr>
        <w:t>c</w:t>
      </w:r>
      <w:r w:rsidRPr="00F43F4E">
        <w:rPr>
          <w:sz w:val="22"/>
          <w:szCs w:val="22"/>
        </w:rPr>
        <w:t>olumns 1</w:t>
      </w:r>
      <w:r>
        <w:rPr>
          <w:rFonts w:eastAsiaTheme="minorHAnsi"/>
          <w:lang w:eastAsia="en-US"/>
        </w:rPr>
        <w:t xml:space="preserve"> and 2</w:t>
      </w:r>
      <w:r w:rsidRPr="00F43F4E">
        <w:rPr>
          <w:sz w:val="22"/>
          <w:szCs w:val="22"/>
        </w:rPr>
        <w:t>)</w:t>
      </w:r>
      <w:r w:rsidR="00E27206">
        <w:rPr>
          <w:sz w:val="22"/>
          <w:szCs w:val="22"/>
        </w:rPr>
        <w:t>, thus</w:t>
      </w:r>
      <w:r w:rsidRPr="00702AAB">
        <w:rPr>
          <w:sz w:val="22"/>
          <w:szCs w:val="22"/>
        </w:rPr>
        <w:t xml:space="preserve"> </w:t>
      </w:r>
      <w:r w:rsidR="00E27206">
        <w:rPr>
          <w:sz w:val="22"/>
          <w:szCs w:val="22"/>
        </w:rPr>
        <w:t>confirming</w:t>
      </w:r>
      <w:r w:rsidRPr="00702AAB">
        <w:rPr>
          <w:sz w:val="22"/>
          <w:szCs w:val="22"/>
        </w:rPr>
        <w:t xml:space="preserve"> our </w:t>
      </w:r>
      <w:r w:rsidR="00E27206">
        <w:rPr>
          <w:sz w:val="22"/>
          <w:szCs w:val="22"/>
        </w:rPr>
        <w:t>results</w:t>
      </w:r>
      <w:r w:rsidRPr="00702AAB">
        <w:rPr>
          <w:sz w:val="22"/>
          <w:szCs w:val="22"/>
        </w:rPr>
        <w:t>.</w:t>
      </w:r>
      <w:r w:rsidR="00160D3E">
        <w:rPr>
          <w:sz w:val="22"/>
          <w:szCs w:val="22"/>
        </w:rPr>
        <w:t xml:space="preserve"> </w:t>
      </w:r>
      <w:r w:rsidR="00160D3E">
        <w:rPr>
          <w:rFonts w:eastAsiaTheme="minorHAnsi"/>
          <w:sz w:val="22"/>
          <w:szCs w:val="22"/>
          <w:lang w:eastAsia="en-US"/>
        </w:rPr>
        <w:t>W</w:t>
      </w:r>
      <w:r w:rsidR="00160D3E" w:rsidRPr="00233992">
        <w:rPr>
          <w:rFonts w:eastAsiaTheme="minorHAnsi"/>
          <w:sz w:val="22"/>
          <w:szCs w:val="22"/>
          <w:lang w:eastAsia="en-US"/>
        </w:rPr>
        <w:t xml:space="preserve">e perform </w:t>
      </w:r>
      <w:r w:rsidR="00160D3E">
        <w:rPr>
          <w:rFonts w:eastAsiaTheme="minorHAnsi"/>
          <w:sz w:val="22"/>
          <w:szCs w:val="22"/>
          <w:lang w:eastAsia="en-US"/>
        </w:rPr>
        <w:t>the</w:t>
      </w:r>
      <w:r w:rsidR="00160D3E" w:rsidRPr="00233992">
        <w:rPr>
          <w:rFonts w:eastAsiaTheme="minorHAnsi"/>
          <w:sz w:val="22"/>
          <w:szCs w:val="22"/>
          <w:lang w:eastAsia="en-US"/>
        </w:rPr>
        <w:t xml:space="preserve"> battery of endogeneity tests</w:t>
      </w:r>
      <w:r w:rsidR="00160D3E">
        <w:rPr>
          <w:rFonts w:eastAsiaTheme="minorHAnsi"/>
          <w:sz w:val="22"/>
          <w:szCs w:val="22"/>
          <w:lang w:eastAsia="en-US"/>
        </w:rPr>
        <w:t xml:space="preserve"> (see previous paragraphs for more details) and </w:t>
      </w:r>
      <w:r w:rsidR="00224445">
        <w:rPr>
          <w:rFonts w:eastAsiaTheme="minorHAnsi"/>
          <w:sz w:val="22"/>
          <w:szCs w:val="22"/>
          <w:lang w:eastAsia="en-US"/>
        </w:rPr>
        <w:t xml:space="preserve">find that the </w:t>
      </w:r>
      <w:r w:rsidR="00224445" w:rsidRPr="00224445">
        <w:rPr>
          <w:rFonts w:eastAsiaTheme="minorHAnsi"/>
          <w:sz w:val="22"/>
          <w:szCs w:val="22"/>
          <w:lang w:eastAsia="en-US"/>
        </w:rPr>
        <w:t>parallel trends assumption holds</w:t>
      </w:r>
      <w:r w:rsidR="00224445">
        <w:rPr>
          <w:rFonts w:eastAsiaTheme="minorHAnsi"/>
          <w:sz w:val="22"/>
          <w:szCs w:val="22"/>
          <w:lang w:eastAsia="en-US"/>
        </w:rPr>
        <w:t xml:space="preserve"> also for the 2016 U</w:t>
      </w:r>
      <w:r w:rsidR="008A3E91">
        <w:rPr>
          <w:rFonts w:eastAsiaTheme="minorHAnsi"/>
          <w:sz w:val="22"/>
          <w:szCs w:val="22"/>
          <w:lang w:eastAsia="en-US"/>
        </w:rPr>
        <w:t>.</w:t>
      </w:r>
      <w:r w:rsidR="00224445">
        <w:rPr>
          <w:rFonts w:eastAsiaTheme="minorHAnsi"/>
          <w:sz w:val="22"/>
          <w:szCs w:val="22"/>
          <w:lang w:eastAsia="en-US"/>
        </w:rPr>
        <w:t>S</w:t>
      </w:r>
      <w:r w:rsidR="008A3E91">
        <w:rPr>
          <w:rFonts w:eastAsiaTheme="minorHAnsi"/>
          <w:sz w:val="22"/>
          <w:szCs w:val="22"/>
          <w:lang w:eastAsia="en-US"/>
        </w:rPr>
        <w:t>.</w:t>
      </w:r>
      <w:r w:rsidR="00224445">
        <w:rPr>
          <w:rFonts w:eastAsiaTheme="minorHAnsi"/>
          <w:sz w:val="22"/>
          <w:szCs w:val="22"/>
          <w:lang w:eastAsia="en-US"/>
        </w:rPr>
        <w:t xml:space="preserve"> presidential election</w:t>
      </w:r>
      <w:r w:rsidR="00160D3E">
        <w:rPr>
          <w:rFonts w:eastAsiaTheme="minorHAnsi"/>
          <w:sz w:val="22"/>
          <w:szCs w:val="22"/>
          <w:lang w:eastAsia="en-US"/>
        </w:rPr>
        <w:t xml:space="preserve">. </w:t>
      </w:r>
      <w:r w:rsidR="00224445">
        <w:rPr>
          <w:rFonts w:eastAsiaTheme="minorHAnsi"/>
          <w:sz w:val="22"/>
          <w:szCs w:val="22"/>
          <w:lang w:eastAsia="en-US"/>
        </w:rPr>
        <w:t>R</w:t>
      </w:r>
      <w:r w:rsidR="00160D3E">
        <w:rPr>
          <w:rFonts w:eastAsiaTheme="minorHAnsi"/>
          <w:sz w:val="22"/>
          <w:szCs w:val="22"/>
          <w:lang w:eastAsia="en-US"/>
        </w:rPr>
        <w:t>esults are not tabulated for parsimony.</w:t>
      </w:r>
    </w:p>
    <w:p w14:paraId="606D62E5" w14:textId="742024D5" w:rsidR="00F35BA9" w:rsidRPr="00F35BA9" w:rsidRDefault="004C0706" w:rsidP="004C0706">
      <w:pPr>
        <w:pStyle w:val="Normal2"/>
        <w:jc w:val="center"/>
        <w:rPr>
          <w:sz w:val="22"/>
          <w:szCs w:val="22"/>
        </w:rPr>
      </w:pPr>
      <w:r w:rsidRPr="00233992">
        <w:rPr>
          <w:sz w:val="22"/>
          <w:szCs w:val="22"/>
          <w:lang w:eastAsia="fr-FR"/>
        </w:rPr>
        <w:t xml:space="preserve">[Insert Table </w:t>
      </w:r>
      <w:r w:rsidR="00EB3F4A">
        <w:rPr>
          <w:rFonts w:eastAsiaTheme="minorHAnsi"/>
          <w:color w:val="000000" w:themeColor="text1"/>
          <w:sz w:val="22"/>
          <w:szCs w:val="22"/>
          <w:lang w:eastAsia="en-US"/>
        </w:rPr>
        <w:t>7</w:t>
      </w:r>
      <w:r w:rsidRPr="00233992">
        <w:rPr>
          <w:sz w:val="22"/>
          <w:szCs w:val="22"/>
          <w:lang w:eastAsia="fr-FR"/>
        </w:rPr>
        <w:t xml:space="preserve"> here]</w:t>
      </w:r>
    </w:p>
    <w:p w14:paraId="50210D45" w14:textId="267D74BD" w:rsidR="003C6FF0" w:rsidRPr="00233992" w:rsidRDefault="00642D41" w:rsidP="00233992">
      <w:pPr>
        <w:spacing w:line="480" w:lineRule="auto"/>
        <w:jc w:val="both"/>
        <w:rPr>
          <w:rFonts w:eastAsiaTheme="minorHAnsi"/>
          <w:color w:val="000000" w:themeColor="text1"/>
          <w:sz w:val="22"/>
          <w:szCs w:val="22"/>
          <w:lang w:eastAsia="en-US"/>
        </w:rPr>
      </w:pPr>
      <w:r w:rsidRPr="00233992">
        <w:rPr>
          <w:rFonts w:eastAsiaTheme="minorHAnsi"/>
          <w:color w:val="000000" w:themeColor="text1"/>
          <w:sz w:val="22"/>
          <w:szCs w:val="22"/>
          <w:lang w:eastAsia="en-US"/>
        </w:rPr>
        <w:tab/>
      </w:r>
      <w:r w:rsidR="00E16E87">
        <w:rPr>
          <w:rFonts w:eastAsiaTheme="minorHAnsi"/>
          <w:color w:val="000000" w:themeColor="text1"/>
          <w:sz w:val="22"/>
          <w:szCs w:val="22"/>
          <w:lang w:eastAsia="en-US"/>
        </w:rPr>
        <w:t>We</w:t>
      </w:r>
      <w:r w:rsidR="005D06CA" w:rsidRPr="00233992">
        <w:rPr>
          <w:rFonts w:eastAsiaTheme="minorHAnsi"/>
          <w:color w:val="000000" w:themeColor="text1"/>
          <w:sz w:val="22"/>
          <w:szCs w:val="22"/>
          <w:lang w:eastAsia="en-US"/>
        </w:rPr>
        <w:t xml:space="preserve"> </w:t>
      </w:r>
      <w:r w:rsidR="00E16E87">
        <w:rPr>
          <w:rFonts w:eastAsiaTheme="minorHAnsi"/>
          <w:color w:val="000000" w:themeColor="text1"/>
          <w:sz w:val="22"/>
          <w:szCs w:val="22"/>
          <w:lang w:eastAsia="en-US"/>
        </w:rPr>
        <w:t xml:space="preserve">also </w:t>
      </w:r>
      <w:r w:rsidR="005D06CA" w:rsidRPr="00233992">
        <w:rPr>
          <w:rFonts w:eastAsiaTheme="minorHAnsi"/>
          <w:color w:val="000000" w:themeColor="text1"/>
          <w:sz w:val="22"/>
          <w:szCs w:val="22"/>
          <w:lang w:eastAsia="en-US"/>
        </w:rPr>
        <w:t xml:space="preserve">examine whether and how FINSA affects corporate investment. </w:t>
      </w:r>
      <w:r w:rsidR="003C6FF0" w:rsidRPr="00233992">
        <w:rPr>
          <w:rFonts w:eastAsiaTheme="minorHAnsi"/>
          <w:color w:val="000000" w:themeColor="text1"/>
          <w:sz w:val="22"/>
          <w:szCs w:val="22"/>
          <w:lang w:eastAsia="en-US"/>
        </w:rPr>
        <w:t xml:space="preserve">FINSA </w:t>
      </w:r>
      <w:r w:rsidR="00077697" w:rsidRPr="00233992">
        <w:rPr>
          <w:rFonts w:eastAsiaTheme="minorHAnsi"/>
          <w:color w:val="000000" w:themeColor="text1"/>
          <w:sz w:val="22"/>
          <w:szCs w:val="22"/>
          <w:lang w:eastAsia="en-US"/>
        </w:rPr>
        <w:t>and its final regulations were adopted in November 2008</w:t>
      </w:r>
      <w:r w:rsidR="003744EC">
        <w:rPr>
          <w:rFonts w:eastAsiaTheme="minorHAnsi"/>
          <w:color w:val="000000" w:themeColor="text1"/>
          <w:sz w:val="22"/>
          <w:szCs w:val="22"/>
          <w:lang w:eastAsia="en-US"/>
        </w:rPr>
        <w:t xml:space="preserve"> and contained </w:t>
      </w:r>
      <w:r w:rsidR="003C6FF0" w:rsidRPr="00233992">
        <w:rPr>
          <w:rFonts w:eastAsiaTheme="minorHAnsi"/>
          <w:color w:val="000000" w:themeColor="text1"/>
          <w:sz w:val="22"/>
          <w:szCs w:val="22"/>
          <w:lang w:eastAsia="en-US"/>
        </w:rPr>
        <w:t xml:space="preserve">a list of </w:t>
      </w:r>
      <w:r w:rsidR="003D4A21" w:rsidRPr="00233992">
        <w:rPr>
          <w:rFonts w:eastAsiaTheme="minorHAnsi"/>
          <w:color w:val="000000" w:themeColor="text1"/>
          <w:sz w:val="22"/>
          <w:szCs w:val="22"/>
          <w:lang w:eastAsia="en-US"/>
        </w:rPr>
        <w:t>critical industries</w:t>
      </w:r>
      <w:r w:rsidR="003C6FF0" w:rsidRPr="00233992">
        <w:rPr>
          <w:rFonts w:eastAsiaTheme="minorHAnsi"/>
          <w:color w:val="000000" w:themeColor="text1"/>
          <w:sz w:val="22"/>
          <w:szCs w:val="22"/>
          <w:lang w:eastAsia="en-US"/>
        </w:rPr>
        <w:t xml:space="preserve">. </w:t>
      </w:r>
      <w:r w:rsidR="008454AA" w:rsidRPr="00233992">
        <w:rPr>
          <w:rFonts w:eastAsiaTheme="minorHAnsi"/>
          <w:color w:val="000000" w:themeColor="text1"/>
          <w:sz w:val="22"/>
          <w:szCs w:val="22"/>
          <w:lang w:eastAsia="en-US"/>
        </w:rPr>
        <w:t xml:space="preserve">We provide the detailed list in Appendix B. </w:t>
      </w:r>
      <w:r w:rsidR="00C77805" w:rsidRPr="00233992">
        <w:rPr>
          <w:rFonts w:eastAsiaTheme="minorHAnsi"/>
          <w:color w:val="000000" w:themeColor="text1"/>
          <w:sz w:val="22"/>
          <w:szCs w:val="22"/>
          <w:lang w:eastAsia="en-US"/>
        </w:rPr>
        <w:t>Despite the limited overlap between this list and our treatment group</w:t>
      </w:r>
      <w:r w:rsidR="00BA5C7C" w:rsidRPr="00233992">
        <w:rPr>
          <w:rFonts w:eastAsiaTheme="minorHAnsi"/>
          <w:color w:val="000000" w:themeColor="text1"/>
          <w:sz w:val="22"/>
          <w:szCs w:val="22"/>
          <w:lang w:eastAsia="en-US"/>
        </w:rPr>
        <w:t>, i</w:t>
      </w:r>
      <w:r w:rsidR="003C6FF0" w:rsidRPr="00233992">
        <w:rPr>
          <w:rFonts w:eastAsiaTheme="minorHAnsi"/>
          <w:color w:val="000000" w:themeColor="text1"/>
          <w:sz w:val="22"/>
          <w:szCs w:val="22"/>
          <w:lang w:eastAsia="en-US"/>
        </w:rPr>
        <w:t xml:space="preserve">t could be argued that CFIUS interventions do not cause the changes in </w:t>
      </w:r>
      <w:r w:rsidR="005D06CA" w:rsidRPr="00233992">
        <w:rPr>
          <w:rFonts w:eastAsiaTheme="minorHAnsi"/>
          <w:color w:val="000000" w:themeColor="text1"/>
          <w:sz w:val="22"/>
          <w:szCs w:val="22"/>
          <w:lang w:eastAsia="en-US"/>
        </w:rPr>
        <w:t>corporate investment</w:t>
      </w:r>
      <w:r w:rsidR="009A3B29">
        <w:rPr>
          <w:rFonts w:eastAsiaTheme="minorHAnsi"/>
          <w:color w:val="000000" w:themeColor="text1"/>
          <w:sz w:val="22"/>
          <w:szCs w:val="22"/>
          <w:lang w:eastAsia="en-US"/>
        </w:rPr>
        <w:t xml:space="preserve"> but are rather jointly determined by </w:t>
      </w:r>
      <w:r w:rsidR="003C6FF0" w:rsidRPr="00233992">
        <w:rPr>
          <w:rFonts w:eastAsiaTheme="minorHAnsi"/>
          <w:color w:val="000000" w:themeColor="text1"/>
          <w:sz w:val="22"/>
          <w:szCs w:val="22"/>
          <w:lang w:eastAsia="en-US"/>
        </w:rPr>
        <w:t xml:space="preserve">the adoption of FINSA. To test for this potential </w:t>
      </w:r>
      <w:r w:rsidR="00B50716" w:rsidRPr="00233992">
        <w:rPr>
          <w:rFonts w:eastAsiaTheme="minorHAnsi"/>
          <w:color w:val="000000" w:themeColor="text1"/>
          <w:sz w:val="22"/>
          <w:szCs w:val="22"/>
          <w:lang w:eastAsia="en-US"/>
        </w:rPr>
        <w:t>concern</w:t>
      </w:r>
      <w:r w:rsidR="003C6FF0" w:rsidRPr="00233992">
        <w:rPr>
          <w:rFonts w:eastAsiaTheme="minorHAnsi"/>
          <w:color w:val="000000" w:themeColor="text1"/>
          <w:sz w:val="22"/>
          <w:szCs w:val="22"/>
          <w:lang w:eastAsia="en-US"/>
        </w:rPr>
        <w:t xml:space="preserve">, we </w:t>
      </w:r>
      <w:r w:rsidR="00BA5C7C" w:rsidRPr="00233992">
        <w:rPr>
          <w:rFonts w:eastAsiaTheme="minorHAnsi"/>
          <w:color w:val="000000" w:themeColor="text1"/>
          <w:sz w:val="22"/>
          <w:szCs w:val="22"/>
          <w:lang w:eastAsia="en-US"/>
        </w:rPr>
        <w:t>take a closer look at</w:t>
      </w:r>
      <w:r w:rsidR="003C6FF0" w:rsidRPr="00233992">
        <w:rPr>
          <w:rFonts w:eastAsiaTheme="minorHAnsi"/>
          <w:color w:val="000000" w:themeColor="text1"/>
          <w:sz w:val="22"/>
          <w:szCs w:val="22"/>
          <w:lang w:eastAsia="en-US"/>
        </w:rPr>
        <w:t xml:space="preserve"> FINSA. </w:t>
      </w:r>
    </w:p>
    <w:p w14:paraId="7A173BB2" w14:textId="0539D777" w:rsidR="003C6FF0" w:rsidRPr="00233992" w:rsidRDefault="00B50716" w:rsidP="00233992">
      <w:pPr>
        <w:spacing w:line="480" w:lineRule="auto"/>
        <w:jc w:val="both"/>
        <w:rPr>
          <w:rFonts w:eastAsiaTheme="minorHAnsi"/>
          <w:color w:val="000000" w:themeColor="text1"/>
          <w:sz w:val="22"/>
          <w:szCs w:val="22"/>
          <w:lang w:eastAsia="en-US"/>
        </w:rPr>
      </w:pPr>
      <w:r w:rsidRPr="00233992">
        <w:rPr>
          <w:rFonts w:eastAsiaTheme="minorHAnsi"/>
          <w:color w:val="000000" w:themeColor="text1"/>
          <w:sz w:val="22"/>
          <w:szCs w:val="22"/>
          <w:lang w:eastAsia="en-US"/>
        </w:rPr>
        <w:tab/>
        <w:t>In this analysis, t</w:t>
      </w:r>
      <w:r w:rsidR="003C6FF0" w:rsidRPr="00233992">
        <w:rPr>
          <w:rFonts w:eastAsiaTheme="minorHAnsi"/>
          <w:color w:val="000000" w:themeColor="text1"/>
          <w:sz w:val="22"/>
          <w:szCs w:val="22"/>
          <w:lang w:eastAsia="en-US"/>
        </w:rPr>
        <w:t xml:space="preserve">he treatment group comprises firms belonging to </w:t>
      </w:r>
      <w:r w:rsidR="00672F37">
        <w:rPr>
          <w:rFonts w:eastAsiaTheme="minorHAnsi"/>
          <w:color w:val="000000" w:themeColor="text1"/>
          <w:sz w:val="22"/>
          <w:szCs w:val="22"/>
          <w:lang w:eastAsia="en-US"/>
        </w:rPr>
        <w:t>such</w:t>
      </w:r>
      <w:r w:rsidR="00464A36" w:rsidRPr="00233992">
        <w:rPr>
          <w:rFonts w:eastAsiaTheme="minorHAnsi"/>
          <w:color w:val="000000" w:themeColor="text1"/>
          <w:sz w:val="22"/>
          <w:szCs w:val="22"/>
          <w:lang w:eastAsia="en-US"/>
        </w:rPr>
        <w:t xml:space="preserve"> list of </w:t>
      </w:r>
      <w:r w:rsidR="000A2704" w:rsidRPr="00233992">
        <w:rPr>
          <w:rFonts w:eastAsiaTheme="minorHAnsi"/>
          <w:color w:val="000000" w:themeColor="text1"/>
          <w:sz w:val="22"/>
          <w:szCs w:val="22"/>
          <w:lang w:eastAsia="en-US"/>
        </w:rPr>
        <w:t>critical industries</w:t>
      </w:r>
      <w:r w:rsidR="003C6FF0" w:rsidRPr="00233992">
        <w:rPr>
          <w:rFonts w:eastAsiaTheme="minorHAnsi"/>
          <w:color w:val="000000" w:themeColor="text1"/>
          <w:sz w:val="22"/>
          <w:szCs w:val="22"/>
          <w:lang w:eastAsia="en-US"/>
        </w:rPr>
        <w:t>. We test both the SIC four-digit code and three-digit code classifications.</w:t>
      </w:r>
      <w:r w:rsidR="00077697" w:rsidRPr="00233992">
        <w:rPr>
          <w:rFonts w:eastAsiaTheme="minorHAnsi"/>
          <w:color w:val="000000" w:themeColor="text1"/>
          <w:sz w:val="22"/>
          <w:szCs w:val="22"/>
          <w:lang w:eastAsia="en-US"/>
        </w:rPr>
        <w:t xml:space="preserve"> </w:t>
      </w:r>
      <w:r w:rsidR="003C6FF0" w:rsidRPr="00233992">
        <w:rPr>
          <w:rFonts w:eastAsiaTheme="minorHAnsi"/>
          <w:color w:val="000000" w:themeColor="text1"/>
          <w:sz w:val="22"/>
          <w:szCs w:val="22"/>
          <w:lang w:eastAsia="en-US"/>
        </w:rPr>
        <w:t xml:space="preserve">The length of the treatment effect is equal to </w:t>
      </w:r>
      <w:r w:rsidR="00CF3FBC" w:rsidRPr="00233992">
        <w:rPr>
          <w:rFonts w:eastAsiaTheme="minorHAnsi"/>
          <w:color w:val="000000" w:themeColor="text1"/>
          <w:sz w:val="22"/>
          <w:szCs w:val="22"/>
          <w:lang w:eastAsia="en-US"/>
        </w:rPr>
        <w:t>the period</w:t>
      </w:r>
      <w:r w:rsidR="003C6FF0" w:rsidRPr="00233992">
        <w:rPr>
          <w:rFonts w:eastAsiaTheme="minorHAnsi"/>
          <w:color w:val="000000" w:themeColor="text1"/>
          <w:sz w:val="22"/>
          <w:szCs w:val="22"/>
          <w:lang w:eastAsia="en-US"/>
        </w:rPr>
        <w:t xml:space="preserve"> </w:t>
      </w:r>
      <w:r w:rsidR="004D05D8">
        <w:rPr>
          <w:rFonts w:eastAsiaTheme="minorHAnsi"/>
          <w:color w:val="000000" w:themeColor="text1"/>
          <w:sz w:val="22"/>
          <w:szCs w:val="22"/>
          <w:lang w:eastAsia="en-US"/>
        </w:rPr>
        <w:t>in</w:t>
      </w:r>
      <w:r w:rsidR="003C6FF0" w:rsidRPr="00233992">
        <w:rPr>
          <w:rFonts w:eastAsiaTheme="minorHAnsi"/>
          <w:color w:val="000000" w:themeColor="text1"/>
          <w:sz w:val="22"/>
          <w:szCs w:val="22"/>
          <w:lang w:eastAsia="en-US"/>
        </w:rPr>
        <w:t xml:space="preserve"> which FINSA was in place. </w:t>
      </w:r>
      <w:r w:rsidR="003C6FF0" w:rsidRPr="00233992">
        <w:rPr>
          <w:rFonts w:eastAsiaTheme="minorHAnsi"/>
          <w:iCs/>
          <w:color w:val="000000" w:themeColor="text1"/>
          <w:sz w:val="22"/>
          <w:szCs w:val="22"/>
          <w:lang w:eastAsia="en-US"/>
        </w:rPr>
        <w:t>FINSA</w:t>
      </w:r>
      <w:r w:rsidR="003C6FF0" w:rsidRPr="00233992">
        <w:rPr>
          <w:rFonts w:eastAsiaTheme="minorHAnsi"/>
          <w:color w:val="000000" w:themeColor="text1"/>
          <w:sz w:val="22"/>
          <w:szCs w:val="22"/>
          <w:lang w:eastAsia="en-US"/>
        </w:rPr>
        <w:t xml:space="preserve"> is the interaction term and equals one for </w:t>
      </w:r>
      <w:r w:rsidR="000A2704" w:rsidRPr="00233992">
        <w:rPr>
          <w:rFonts w:eastAsiaTheme="minorHAnsi"/>
          <w:color w:val="000000" w:themeColor="text1"/>
          <w:sz w:val="22"/>
          <w:szCs w:val="22"/>
          <w:lang w:eastAsia="en-US"/>
        </w:rPr>
        <w:t>critical industries</w:t>
      </w:r>
      <w:r w:rsidR="003C6FF0" w:rsidRPr="00233992">
        <w:rPr>
          <w:rFonts w:eastAsiaTheme="minorHAnsi"/>
          <w:color w:val="000000" w:themeColor="text1"/>
          <w:sz w:val="22"/>
          <w:szCs w:val="22"/>
          <w:lang w:eastAsia="en-US"/>
        </w:rPr>
        <w:t xml:space="preserve"> after its adoption (</w:t>
      </w:r>
      <w:r w:rsidR="005D06CA" w:rsidRPr="00233992">
        <w:rPr>
          <w:sz w:val="22"/>
          <w:szCs w:val="22"/>
        </w:rPr>
        <w:t>post FINSA adoption # treatment group</w:t>
      </w:r>
      <w:r w:rsidR="003C6FF0" w:rsidRPr="00233992">
        <w:rPr>
          <w:rFonts w:eastAsiaTheme="minorHAnsi"/>
          <w:color w:val="000000" w:themeColor="text1"/>
          <w:sz w:val="22"/>
          <w:szCs w:val="22"/>
          <w:lang w:eastAsia="en-US"/>
        </w:rPr>
        <w:t>). We retain only U</w:t>
      </w:r>
      <w:r w:rsidR="008A3E91">
        <w:rPr>
          <w:rFonts w:eastAsiaTheme="minorHAnsi"/>
          <w:color w:val="000000" w:themeColor="text1"/>
          <w:sz w:val="22"/>
          <w:szCs w:val="22"/>
          <w:lang w:eastAsia="en-US"/>
        </w:rPr>
        <w:t>.</w:t>
      </w:r>
      <w:r w:rsidR="003C6FF0" w:rsidRPr="00233992">
        <w:rPr>
          <w:rFonts w:eastAsiaTheme="minorHAnsi"/>
          <w:color w:val="000000" w:themeColor="text1"/>
          <w:sz w:val="22"/>
          <w:szCs w:val="22"/>
          <w:lang w:eastAsia="en-US"/>
        </w:rPr>
        <w:t>S</w:t>
      </w:r>
      <w:r w:rsidR="008A3E91">
        <w:rPr>
          <w:rFonts w:eastAsiaTheme="minorHAnsi"/>
          <w:color w:val="000000" w:themeColor="text1"/>
          <w:sz w:val="22"/>
          <w:szCs w:val="22"/>
          <w:lang w:eastAsia="en-US"/>
        </w:rPr>
        <w:t>.</w:t>
      </w:r>
      <w:r w:rsidR="003C6FF0" w:rsidRPr="00233992">
        <w:rPr>
          <w:rFonts w:eastAsiaTheme="minorHAnsi"/>
          <w:color w:val="000000" w:themeColor="text1"/>
          <w:sz w:val="22"/>
          <w:szCs w:val="22"/>
          <w:lang w:eastAsia="en-US"/>
        </w:rPr>
        <w:t xml:space="preserve"> incorporate</w:t>
      </w:r>
      <w:r w:rsidR="00EE1EF2" w:rsidRPr="00233992">
        <w:rPr>
          <w:rFonts w:eastAsiaTheme="minorHAnsi"/>
          <w:color w:val="000000" w:themeColor="text1"/>
          <w:sz w:val="22"/>
          <w:szCs w:val="22"/>
          <w:lang w:eastAsia="en-US"/>
        </w:rPr>
        <w:t>d</w:t>
      </w:r>
      <w:r w:rsidR="003C6FF0" w:rsidRPr="00233992">
        <w:rPr>
          <w:rFonts w:eastAsiaTheme="minorHAnsi"/>
          <w:color w:val="000000" w:themeColor="text1"/>
          <w:sz w:val="22"/>
          <w:szCs w:val="22"/>
          <w:lang w:eastAsia="en-US"/>
        </w:rPr>
        <w:t xml:space="preserve"> listed </w:t>
      </w:r>
      <w:r w:rsidR="00672F37" w:rsidRPr="00AD55AA">
        <w:rPr>
          <w:sz w:val="22"/>
          <w:szCs w:val="22"/>
        </w:rPr>
        <w:t xml:space="preserve">nonfinancial </w:t>
      </w:r>
      <w:r w:rsidR="003C6FF0" w:rsidRPr="00233992">
        <w:rPr>
          <w:rFonts w:eastAsiaTheme="minorHAnsi"/>
          <w:color w:val="000000" w:themeColor="text1"/>
          <w:sz w:val="22"/>
          <w:szCs w:val="22"/>
          <w:lang w:eastAsia="en-US"/>
        </w:rPr>
        <w:t xml:space="preserve">firms and include the non-missing variable filter. This process yields a sample of </w:t>
      </w:r>
      <w:r w:rsidR="0092234E" w:rsidRPr="00233992">
        <w:rPr>
          <w:rFonts w:eastAsiaTheme="minorHAnsi"/>
          <w:color w:val="000000" w:themeColor="text1"/>
          <w:sz w:val="22"/>
          <w:szCs w:val="22"/>
          <w:lang w:eastAsia="en-US"/>
        </w:rPr>
        <w:t xml:space="preserve">80,686 </w:t>
      </w:r>
      <w:r w:rsidR="003C6FF0" w:rsidRPr="00233992">
        <w:rPr>
          <w:rFonts w:eastAsiaTheme="minorHAnsi"/>
          <w:color w:val="000000" w:themeColor="text1"/>
          <w:sz w:val="22"/>
          <w:szCs w:val="22"/>
          <w:lang w:eastAsia="en-US"/>
        </w:rPr>
        <w:t>firm-year observations (</w:t>
      </w:r>
      <w:r w:rsidR="0092234E" w:rsidRPr="00233992">
        <w:rPr>
          <w:rFonts w:eastAsiaTheme="minorHAnsi"/>
          <w:color w:val="000000" w:themeColor="text1"/>
          <w:sz w:val="22"/>
          <w:szCs w:val="22"/>
          <w:lang w:eastAsia="en-US"/>
        </w:rPr>
        <w:t xml:space="preserve">9,952 </w:t>
      </w:r>
      <w:r w:rsidR="003C6FF0" w:rsidRPr="00233992">
        <w:rPr>
          <w:rFonts w:eastAsiaTheme="minorHAnsi"/>
          <w:color w:val="000000" w:themeColor="text1"/>
          <w:sz w:val="22"/>
          <w:szCs w:val="22"/>
          <w:lang w:eastAsia="en-US"/>
        </w:rPr>
        <w:t>U</w:t>
      </w:r>
      <w:r w:rsidR="008A3E91">
        <w:rPr>
          <w:rFonts w:eastAsiaTheme="minorHAnsi"/>
          <w:color w:val="000000" w:themeColor="text1"/>
          <w:sz w:val="22"/>
          <w:szCs w:val="22"/>
          <w:lang w:eastAsia="en-US"/>
        </w:rPr>
        <w:t>.</w:t>
      </w:r>
      <w:r w:rsidR="003C6FF0" w:rsidRPr="00233992">
        <w:rPr>
          <w:rFonts w:eastAsiaTheme="minorHAnsi"/>
          <w:color w:val="000000" w:themeColor="text1"/>
          <w:sz w:val="22"/>
          <w:szCs w:val="22"/>
          <w:lang w:eastAsia="en-US"/>
        </w:rPr>
        <w:t>S</w:t>
      </w:r>
      <w:r w:rsidR="008A3E91">
        <w:rPr>
          <w:rFonts w:eastAsiaTheme="minorHAnsi"/>
          <w:color w:val="000000" w:themeColor="text1"/>
          <w:sz w:val="22"/>
          <w:szCs w:val="22"/>
          <w:lang w:eastAsia="en-US"/>
        </w:rPr>
        <w:t>.</w:t>
      </w:r>
      <w:r w:rsidR="003C6FF0" w:rsidRPr="00233992">
        <w:rPr>
          <w:rFonts w:eastAsiaTheme="minorHAnsi"/>
          <w:color w:val="000000" w:themeColor="text1"/>
          <w:sz w:val="22"/>
          <w:szCs w:val="22"/>
          <w:lang w:eastAsia="en-US"/>
        </w:rPr>
        <w:t xml:space="preserve"> incorporated listed firms) </w:t>
      </w:r>
      <w:r w:rsidR="000B7433">
        <w:rPr>
          <w:rFonts w:eastAsiaTheme="minorHAnsi"/>
          <w:color w:val="000000" w:themeColor="text1"/>
          <w:sz w:val="22"/>
          <w:szCs w:val="22"/>
          <w:lang w:eastAsia="en-US"/>
        </w:rPr>
        <w:t>in</w:t>
      </w:r>
      <w:r w:rsidR="003C6FF0" w:rsidRPr="00233992">
        <w:rPr>
          <w:rFonts w:eastAsiaTheme="minorHAnsi"/>
          <w:color w:val="000000" w:themeColor="text1"/>
          <w:sz w:val="22"/>
          <w:szCs w:val="22"/>
          <w:lang w:eastAsia="en-US"/>
        </w:rPr>
        <w:t xml:space="preserve"> the 2000–2019 period. We present the results in Table </w:t>
      </w:r>
      <w:r w:rsidR="00EB3F4A">
        <w:rPr>
          <w:rFonts w:eastAsiaTheme="minorHAnsi"/>
          <w:color w:val="000000" w:themeColor="text1"/>
          <w:sz w:val="22"/>
          <w:szCs w:val="22"/>
          <w:lang w:eastAsia="en-US"/>
        </w:rPr>
        <w:t>8</w:t>
      </w:r>
      <w:r w:rsidR="003C6FF0" w:rsidRPr="00233992">
        <w:rPr>
          <w:rFonts w:eastAsiaTheme="minorHAnsi"/>
          <w:color w:val="000000" w:themeColor="text1"/>
          <w:sz w:val="22"/>
          <w:szCs w:val="22"/>
          <w:lang w:eastAsia="en-US"/>
        </w:rPr>
        <w:t xml:space="preserve">. The coefficient on </w:t>
      </w:r>
      <w:r w:rsidR="003C6FF0" w:rsidRPr="00233992">
        <w:rPr>
          <w:rFonts w:eastAsiaTheme="minorHAnsi"/>
          <w:iCs/>
          <w:color w:val="000000" w:themeColor="text1"/>
          <w:sz w:val="22"/>
          <w:szCs w:val="22"/>
          <w:lang w:eastAsia="en-US"/>
        </w:rPr>
        <w:t>FINSA</w:t>
      </w:r>
      <w:r w:rsidR="003C6FF0" w:rsidRPr="00233992">
        <w:rPr>
          <w:rFonts w:eastAsiaTheme="minorHAnsi"/>
          <w:color w:val="000000" w:themeColor="text1"/>
          <w:sz w:val="22"/>
          <w:szCs w:val="22"/>
          <w:lang w:eastAsia="en-US"/>
        </w:rPr>
        <w:t xml:space="preserve"> is statistically </w:t>
      </w:r>
      <w:r w:rsidR="008454AA" w:rsidRPr="00233992">
        <w:rPr>
          <w:rFonts w:eastAsiaTheme="minorHAnsi"/>
          <w:color w:val="000000" w:themeColor="text1"/>
          <w:sz w:val="22"/>
          <w:szCs w:val="22"/>
          <w:lang w:eastAsia="en-US"/>
        </w:rPr>
        <w:t>in</w:t>
      </w:r>
      <w:r w:rsidR="003C6FF0" w:rsidRPr="00233992">
        <w:rPr>
          <w:rFonts w:eastAsiaTheme="minorHAnsi"/>
          <w:color w:val="000000" w:themeColor="text1"/>
          <w:sz w:val="22"/>
          <w:szCs w:val="22"/>
          <w:lang w:eastAsia="en-US"/>
        </w:rPr>
        <w:t>significant</w:t>
      </w:r>
      <w:r w:rsidR="00BA5C7C" w:rsidRPr="00233992">
        <w:rPr>
          <w:rFonts w:eastAsiaTheme="minorHAnsi"/>
          <w:color w:val="000000" w:themeColor="text1"/>
          <w:sz w:val="22"/>
          <w:szCs w:val="22"/>
          <w:lang w:eastAsia="en-US"/>
        </w:rPr>
        <w:t xml:space="preserve"> across the mod</w:t>
      </w:r>
      <w:r w:rsidR="00EB3F4A">
        <w:rPr>
          <w:rFonts w:eastAsiaTheme="minorHAnsi"/>
          <w:color w:val="000000" w:themeColor="text1"/>
          <w:sz w:val="22"/>
          <w:szCs w:val="22"/>
          <w:lang w:eastAsia="en-US"/>
        </w:rPr>
        <w:t>els (c</w:t>
      </w:r>
      <w:r w:rsidR="00BA5C7C" w:rsidRPr="00233992">
        <w:rPr>
          <w:rFonts w:eastAsiaTheme="minorHAnsi"/>
          <w:color w:val="000000" w:themeColor="text1"/>
          <w:sz w:val="22"/>
          <w:szCs w:val="22"/>
          <w:lang w:eastAsia="en-US"/>
        </w:rPr>
        <w:t>olumns 1 and 2)</w:t>
      </w:r>
      <w:r w:rsidR="003C6FF0" w:rsidRPr="00233992">
        <w:rPr>
          <w:rFonts w:eastAsiaTheme="minorHAnsi"/>
          <w:color w:val="000000" w:themeColor="text1"/>
          <w:sz w:val="22"/>
          <w:szCs w:val="22"/>
          <w:lang w:eastAsia="en-US"/>
        </w:rPr>
        <w:t xml:space="preserve">. </w:t>
      </w:r>
      <w:r w:rsidR="00667FC0" w:rsidRPr="00233992">
        <w:rPr>
          <w:rFonts w:eastAsiaTheme="minorHAnsi"/>
          <w:color w:val="000000" w:themeColor="text1"/>
          <w:sz w:val="22"/>
          <w:szCs w:val="22"/>
          <w:lang w:eastAsia="en-US"/>
        </w:rPr>
        <w:t xml:space="preserve">In sum, </w:t>
      </w:r>
      <w:r w:rsidR="00796EFC">
        <w:rPr>
          <w:rFonts w:eastAsiaTheme="minorHAnsi"/>
          <w:color w:val="000000" w:themeColor="text1"/>
          <w:sz w:val="22"/>
          <w:szCs w:val="22"/>
          <w:lang w:eastAsia="en-US"/>
        </w:rPr>
        <w:t>our findings indicate</w:t>
      </w:r>
      <w:r w:rsidR="003C6FF0" w:rsidRPr="00233992">
        <w:rPr>
          <w:rFonts w:eastAsiaTheme="minorHAnsi"/>
          <w:color w:val="000000" w:themeColor="text1"/>
          <w:sz w:val="22"/>
          <w:szCs w:val="22"/>
          <w:lang w:eastAsia="en-US"/>
        </w:rPr>
        <w:t xml:space="preserve"> that </w:t>
      </w:r>
      <w:r w:rsidR="00C27406" w:rsidRPr="00233992">
        <w:rPr>
          <w:rFonts w:eastAsiaTheme="minorHAnsi"/>
          <w:sz w:val="22"/>
          <w:szCs w:val="22"/>
          <w:lang w:eastAsia="en-US"/>
        </w:rPr>
        <w:t>the implementation of national security policies by CFIUS</w:t>
      </w:r>
      <w:r w:rsidR="003C6FF0" w:rsidRPr="00233992">
        <w:rPr>
          <w:rFonts w:eastAsiaTheme="minorHAnsi"/>
          <w:color w:val="000000" w:themeColor="text1"/>
          <w:sz w:val="22"/>
          <w:szCs w:val="22"/>
          <w:lang w:eastAsia="en-US"/>
        </w:rPr>
        <w:t xml:space="preserve"> </w:t>
      </w:r>
      <w:r w:rsidR="000B7433">
        <w:rPr>
          <w:rFonts w:eastAsiaTheme="minorHAnsi"/>
          <w:sz w:val="22"/>
          <w:szCs w:val="22"/>
          <w:lang w:eastAsia="en-US"/>
        </w:rPr>
        <w:t>rather than</w:t>
      </w:r>
      <w:r w:rsidR="003C6FF0" w:rsidRPr="00233992">
        <w:rPr>
          <w:rFonts w:eastAsiaTheme="minorHAnsi"/>
          <w:color w:val="000000" w:themeColor="text1"/>
          <w:sz w:val="22"/>
          <w:szCs w:val="22"/>
          <w:lang w:eastAsia="en-US"/>
        </w:rPr>
        <w:t xml:space="preserve"> the adoption of FINSA lead</w:t>
      </w:r>
      <w:r w:rsidR="00C27406" w:rsidRPr="00233992">
        <w:rPr>
          <w:rFonts w:eastAsiaTheme="minorHAnsi"/>
          <w:color w:val="000000" w:themeColor="text1"/>
          <w:sz w:val="22"/>
          <w:szCs w:val="22"/>
          <w:lang w:eastAsia="en-US"/>
        </w:rPr>
        <w:t>s</w:t>
      </w:r>
      <w:r w:rsidR="003C6FF0" w:rsidRPr="00233992">
        <w:rPr>
          <w:rFonts w:eastAsiaTheme="minorHAnsi"/>
          <w:color w:val="000000" w:themeColor="text1"/>
          <w:sz w:val="22"/>
          <w:szCs w:val="22"/>
          <w:lang w:eastAsia="en-US"/>
        </w:rPr>
        <w:t xml:space="preserve"> our </w:t>
      </w:r>
      <w:r w:rsidR="00CF3FBC" w:rsidRPr="00233992">
        <w:rPr>
          <w:rFonts w:eastAsiaTheme="minorHAnsi"/>
          <w:color w:val="000000" w:themeColor="text1"/>
          <w:sz w:val="22"/>
          <w:szCs w:val="22"/>
          <w:lang w:eastAsia="en-US"/>
        </w:rPr>
        <w:t>results</w:t>
      </w:r>
      <w:r w:rsidR="003C6FF0" w:rsidRPr="00233992">
        <w:rPr>
          <w:rFonts w:eastAsiaTheme="minorHAnsi"/>
          <w:color w:val="000000" w:themeColor="text1"/>
          <w:sz w:val="22"/>
          <w:szCs w:val="22"/>
          <w:lang w:eastAsia="en-US"/>
        </w:rPr>
        <w:t xml:space="preserve">, thus confirming the role of </w:t>
      </w:r>
      <w:r w:rsidR="003C6FF0" w:rsidRPr="00233992">
        <w:rPr>
          <w:rFonts w:eastAsiaTheme="minorHAnsi"/>
          <w:color w:val="000000" w:themeColor="text1"/>
          <w:sz w:val="22"/>
          <w:szCs w:val="22"/>
          <w:lang w:eastAsia="en-US"/>
        </w:rPr>
        <w:lastRenderedPageBreak/>
        <w:t xml:space="preserve">enforcement in the </w:t>
      </w:r>
      <w:r w:rsidR="008A3E91" w:rsidRPr="008A3E91">
        <w:rPr>
          <w:rFonts w:eastAsiaTheme="minorHAnsi"/>
          <w:color w:val="000000" w:themeColor="text1"/>
          <w:sz w:val="22"/>
          <w:szCs w:val="22"/>
          <w:lang w:eastAsia="en-US"/>
        </w:rPr>
        <w:t>United States</w:t>
      </w:r>
      <w:r w:rsidR="003C6FF0" w:rsidRPr="00233992">
        <w:rPr>
          <w:rFonts w:eastAsiaTheme="minorHAnsi"/>
          <w:color w:val="000000" w:themeColor="text1"/>
          <w:sz w:val="22"/>
          <w:szCs w:val="22"/>
          <w:lang w:eastAsia="en-US"/>
        </w:rPr>
        <w:t xml:space="preserve"> (</w:t>
      </w:r>
      <w:r w:rsidR="0014184E" w:rsidRPr="00233992">
        <w:rPr>
          <w:rFonts w:eastAsiaTheme="minorHAnsi"/>
          <w:color w:val="000000" w:themeColor="text1"/>
          <w:sz w:val="22"/>
          <w:szCs w:val="22"/>
          <w:lang w:eastAsia="en-US"/>
        </w:rPr>
        <w:t>La Porta</w:t>
      </w:r>
      <w:r w:rsidR="006D0242">
        <w:rPr>
          <w:rFonts w:eastAsiaTheme="minorHAnsi"/>
          <w:color w:val="000000" w:themeColor="text1"/>
          <w:sz w:val="22"/>
          <w:szCs w:val="22"/>
          <w:lang w:eastAsia="en-US"/>
        </w:rPr>
        <w:t>,</w:t>
      </w:r>
      <w:r w:rsidR="0014184E" w:rsidRPr="00233992">
        <w:rPr>
          <w:rFonts w:eastAsiaTheme="minorHAnsi"/>
          <w:color w:val="000000" w:themeColor="text1"/>
          <w:sz w:val="22"/>
          <w:szCs w:val="22"/>
          <w:lang w:eastAsia="en-US"/>
        </w:rPr>
        <w:t xml:space="preserve"> </w:t>
      </w:r>
      <w:r w:rsidR="006D0242" w:rsidRPr="006D0242">
        <w:rPr>
          <w:rFonts w:eastAsiaTheme="minorHAnsi"/>
          <w:color w:val="000000" w:themeColor="text1"/>
          <w:sz w:val="22"/>
          <w:szCs w:val="22"/>
          <w:lang w:eastAsia="en-US"/>
        </w:rPr>
        <w:t xml:space="preserve">Lopez-de-Silanes, Shleifer, </w:t>
      </w:r>
      <w:r w:rsidR="006D0242" w:rsidRPr="009E743F">
        <w:rPr>
          <w:rFonts w:eastAsiaTheme="minorHAnsi"/>
          <w:sz w:val="22"/>
          <w:szCs w:val="22"/>
          <w:lang w:eastAsia="en-US"/>
        </w:rPr>
        <w:t>&amp;</w:t>
      </w:r>
      <w:r w:rsidR="006D0242">
        <w:rPr>
          <w:rFonts w:eastAsiaTheme="minorHAnsi"/>
          <w:sz w:val="22"/>
          <w:szCs w:val="22"/>
          <w:lang w:eastAsia="en-US"/>
        </w:rPr>
        <w:t xml:space="preserve"> </w:t>
      </w:r>
      <w:r w:rsidR="006D0242" w:rsidRPr="006D0242">
        <w:rPr>
          <w:rFonts w:eastAsiaTheme="minorHAnsi"/>
          <w:color w:val="000000" w:themeColor="text1"/>
          <w:sz w:val="22"/>
          <w:szCs w:val="22"/>
          <w:lang w:eastAsia="en-US"/>
        </w:rPr>
        <w:t>Vishny</w:t>
      </w:r>
      <w:r w:rsidR="0014184E" w:rsidRPr="00233992">
        <w:rPr>
          <w:rFonts w:eastAsiaTheme="minorHAnsi"/>
          <w:color w:val="000000" w:themeColor="text1"/>
          <w:sz w:val="22"/>
          <w:szCs w:val="22"/>
          <w:lang w:eastAsia="en-US"/>
        </w:rPr>
        <w:t xml:space="preserve">, </w:t>
      </w:r>
      <w:r w:rsidR="00B8034E" w:rsidRPr="00233992">
        <w:rPr>
          <w:rFonts w:eastAsiaTheme="minorHAnsi"/>
          <w:color w:val="000000" w:themeColor="text1"/>
          <w:sz w:val="22"/>
          <w:szCs w:val="22"/>
          <w:lang w:eastAsia="en-US"/>
        </w:rPr>
        <w:t>1998</w:t>
      </w:r>
      <w:r w:rsidR="0014184E" w:rsidRPr="00233992">
        <w:rPr>
          <w:rFonts w:eastAsiaTheme="minorHAnsi"/>
          <w:color w:val="000000" w:themeColor="text1"/>
          <w:sz w:val="22"/>
          <w:szCs w:val="22"/>
          <w:lang w:eastAsia="en-US"/>
        </w:rPr>
        <w:t>;</w:t>
      </w:r>
      <w:r w:rsidR="00B8034E" w:rsidRPr="00233992">
        <w:rPr>
          <w:rFonts w:eastAsiaTheme="minorHAnsi"/>
          <w:color w:val="000000" w:themeColor="text1"/>
          <w:sz w:val="22"/>
          <w:szCs w:val="22"/>
          <w:lang w:eastAsia="en-US"/>
        </w:rPr>
        <w:t xml:space="preserve"> </w:t>
      </w:r>
      <w:r w:rsidR="0071348D" w:rsidRPr="00233992">
        <w:rPr>
          <w:rFonts w:eastAsiaTheme="minorHAnsi"/>
          <w:color w:val="000000" w:themeColor="text1"/>
          <w:sz w:val="22"/>
          <w:szCs w:val="22"/>
          <w:lang w:eastAsia="en-US"/>
        </w:rPr>
        <w:t xml:space="preserve">Christensen, Hail,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71348D" w:rsidRPr="00233992">
        <w:rPr>
          <w:rFonts w:eastAsiaTheme="minorHAnsi"/>
          <w:color w:val="000000" w:themeColor="text1"/>
          <w:sz w:val="22"/>
          <w:szCs w:val="22"/>
          <w:lang w:eastAsia="en-US"/>
        </w:rPr>
        <w:t>Leuz</w:t>
      </w:r>
      <w:r w:rsidR="0014184E" w:rsidRPr="00233992">
        <w:rPr>
          <w:rFonts w:eastAsiaTheme="minorHAnsi"/>
          <w:color w:val="000000" w:themeColor="text1"/>
          <w:sz w:val="22"/>
          <w:szCs w:val="22"/>
          <w:lang w:eastAsia="en-US"/>
        </w:rPr>
        <w:t xml:space="preserve">, </w:t>
      </w:r>
      <w:r w:rsidR="003C6FF0" w:rsidRPr="00233992">
        <w:rPr>
          <w:rFonts w:eastAsiaTheme="minorHAnsi"/>
          <w:color w:val="000000" w:themeColor="text1"/>
          <w:sz w:val="22"/>
          <w:szCs w:val="22"/>
          <w:lang w:eastAsia="en-US"/>
        </w:rPr>
        <w:t>2013).</w:t>
      </w:r>
    </w:p>
    <w:p w14:paraId="63F915C7" w14:textId="1F7CD003" w:rsidR="00984D1D" w:rsidRPr="00233992" w:rsidRDefault="00984D1D" w:rsidP="00233992">
      <w:pPr>
        <w:pStyle w:val="Normal2"/>
        <w:jc w:val="center"/>
        <w:rPr>
          <w:sz w:val="22"/>
          <w:szCs w:val="22"/>
        </w:rPr>
      </w:pPr>
      <w:r w:rsidRPr="00233992">
        <w:rPr>
          <w:sz w:val="22"/>
          <w:szCs w:val="22"/>
          <w:lang w:eastAsia="fr-FR"/>
        </w:rPr>
        <w:t xml:space="preserve">[Insert Table </w:t>
      </w:r>
      <w:r w:rsidR="00EB3F4A">
        <w:rPr>
          <w:rFonts w:eastAsiaTheme="minorHAnsi"/>
          <w:color w:val="000000" w:themeColor="text1"/>
          <w:sz w:val="22"/>
          <w:szCs w:val="22"/>
          <w:lang w:eastAsia="en-US"/>
        </w:rPr>
        <w:t>8</w:t>
      </w:r>
      <w:r w:rsidRPr="00233992">
        <w:rPr>
          <w:sz w:val="22"/>
          <w:szCs w:val="22"/>
          <w:lang w:eastAsia="fr-FR"/>
        </w:rPr>
        <w:t xml:space="preserve"> here]</w:t>
      </w:r>
    </w:p>
    <w:p w14:paraId="7C5F35E7" w14:textId="4E40E167" w:rsidR="002C5E42" w:rsidRPr="00233992" w:rsidRDefault="002C5E42" w:rsidP="00233992">
      <w:pPr>
        <w:spacing w:line="480" w:lineRule="auto"/>
        <w:jc w:val="both"/>
        <w:rPr>
          <w:rFonts w:eastAsiaTheme="minorHAnsi"/>
          <w:iCs/>
          <w:sz w:val="22"/>
          <w:szCs w:val="22"/>
          <w:lang w:eastAsia="en-US"/>
        </w:rPr>
      </w:pPr>
    </w:p>
    <w:p w14:paraId="48ECD72C" w14:textId="6505F370" w:rsidR="00245A4A" w:rsidRPr="00233992" w:rsidRDefault="00796EFC" w:rsidP="00233992">
      <w:pPr>
        <w:pStyle w:val="Paragraphedeliste"/>
        <w:numPr>
          <w:ilvl w:val="0"/>
          <w:numId w:val="5"/>
        </w:numPr>
        <w:spacing w:line="480" w:lineRule="auto"/>
        <w:jc w:val="both"/>
        <w:rPr>
          <w:rFonts w:eastAsiaTheme="minorHAnsi"/>
          <w:b/>
          <w:bCs/>
          <w:sz w:val="22"/>
          <w:szCs w:val="22"/>
          <w:lang w:eastAsia="en-US"/>
        </w:rPr>
      </w:pPr>
      <w:r>
        <w:rPr>
          <w:rFonts w:eastAsiaTheme="minorHAnsi"/>
          <w:b/>
          <w:bCs/>
          <w:sz w:val="22"/>
          <w:szCs w:val="22"/>
          <w:lang w:eastAsia="en-US"/>
        </w:rPr>
        <w:t>Financial c</w:t>
      </w:r>
      <w:r w:rsidR="00245A4A" w:rsidRPr="00233992">
        <w:rPr>
          <w:rFonts w:eastAsiaTheme="minorHAnsi"/>
          <w:b/>
          <w:bCs/>
          <w:sz w:val="22"/>
          <w:szCs w:val="22"/>
          <w:lang w:eastAsia="en-US"/>
        </w:rPr>
        <w:t>onstraint</w:t>
      </w:r>
      <w:r w:rsidR="00721085" w:rsidRPr="00233992">
        <w:rPr>
          <w:rFonts w:eastAsiaTheme="minorHAnsi"/>
          <w:b/>
          <w:bCs/>
          <w:sz w:val="22"/>
          <w:szCs w:val="22"/>
          <w:lang w:eastAsia="en-US"/>
        </w:rPr>
        <w:t>s</w:t>
      </w:r>
      <w:r>
        <w:rPr>
          <w:rFonts w:eastAsiaTheme="minorHAnsi"/>
          <w:b/>
          <w:bCs/>
          <w:sz w:val="22"/>
          <w:szCs w:val="22"/>
          <w:lang w:eastAsia="en-US"/>
        </w:rPr>
        <w:t xml:space="preserve"> analysis</w:t>
      </w:r>
    </w:p>
    <w:p w14:paraId="2080C0BC" w14:textId="73614655" w:rsidR="00042057" w:rsidRPr="00233992" w:rsidRDefault="00DB5BDB"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C517E9" w:rsidRPr="00233992">
        <w:rPr>
          <w:rFonts w:eastAsiaTheme="minorHAnsi"/>
          <w:sz w:val="22"/>
          <w:szCs w:val="22"/>
          <w:lang w:eastAsia="en-US"/>
        </w:rPr>
        <w:t>Campbell</w:t>
      </w:r>
      <w:r w:rsidR="00390A0B" w:rsidRPr="00233992">
        <w:rPr>
          <w:rFonts w:eastAsiaTheme="minorHAnsi"/>
          <w:sz w:val="22"/>
          <w:szCs w:val="22"/>
          <w:lang w:eastAsia="en-US"/>
        </w:rPr>
        <w:t xml:space="preserve"> </w:t>
      </w:r>
      <w:r w:rsidR="00390A0B" w:rsidRPr="000137AC">
        <w:rPr>
          <w:rFonts w:eastAsiaTheme="minorHAnsi"/>
          <w:sz w:val="22"/>
          <w:szCs w:val="22"/>
          <w:lang w:eastAsia="en-US"/>
        </w:rPr>
        <w:t>et al.</w:t>
      </w:r>
      <w:r w:rsidR="00C517E9" w:rsidRPr="00233992">
        <w:rPr>
          <w:rFonts w:eastAsiaTheme="minorHAnsi"/>
          <w:sz w:val="22"/>
          <w:szCs w:val="22"/>
          <w:lang w:eastAsia="en-US"/>
        </w:rPr>
        <w:t xml:space="preserve"> (2012</w:t>
      </w:r>
      <w:r w:rsidR="00E40DB6" w:rsidRPr="00233992">
        <w:rPr>
          <w:rFonts w:eastAsiaTheme="minorHAnsi"/>
          <w:sz w:val="22"/>
          <w:szCs w:val="22"/>
          <w:lang w:eastAsia="en-US"/>
        </w:rPr>
        <w:t xml:space="preserve">) </w:t>
      </w:r>
      <w:r w:rsidR="0064755F" w:rsidRPr="00233992">
        <w:rPr>
          <w:rFonts w:eastAsiaTheme="minorHAnsi"/>
          <w:sz w:val="22"/>
          <w:szCs w:val="22"/>
          <w:lang w:eastAsia="en-US"/>
        </w:rPr>
        <w:t>disentangle</w:t>
      </w:r>
      <w:r w:rsidR="00E40DB6" w:rsidRPr="00233992">
        <w:rPr>
          <w:rFonts w:eastAsiaTheme="minorHAnsi"/>
          <w:sz w:val="22"/>
          <w:szCs w:val="22"/>
          <w:lang w:eastAsia="en-US"/>
        </w:rPr>
        <w:t xml:space="preserve"> the </w:t>
      </w:r>
      <w:r w:rsidR="006049EA" w:rsidRPr="00233992">
        <w:rPr>
          <w:rFonts w:eastAsiaTheme="minorHAnsi"/>
          <w:sz w:val="22"/>
          <w:szCs w:val="22"/>
          <w:lang w:eastAsia="en-US"/>
        </w:rPr>
        <w:t xml:space="preserve">moderating </w:t>
      </w:r>
      <w:r w:rsidR="00E40DB6" w:rsidRPr="00233992">
        <w:rPr>
          <w:rFonts w:eastAsiaTheme="minorHAnsi"/>
          <w:sz w:val="22"/>
          <w:szCs w:val="22"/>
          <w:lang w:eastAsia="en-US"/>
        </w:rPr>
        <w:t>role of</w:t>
      </w:r>
      <w:r w:rsidR="00C517E9" w:rsidRPr="00233992">
        <w:rPr>
          <w:rFonts w:eastAsiaTheme="minorHAnsi"/>
          <w:sz w:val="22"/>
          <w:szCs w:val="22"/>
          <w:lang w:eastAsia="en-US"/>
        </w:rPr>
        <w:t xml:space="preserve"> financial constraints </w:t>
      </w:r>
      <w:r w:rsidR="0064755F" w:rsidRPr="00233992">
        <w:rPr>
          <w:rFonts w:eastAsiaTheme="minorHAnsi"/>
          <w:sz w:val="22"/>
          <w:szCs w:val="22"/>
          <w:lang w:eastAsia="en-US"/>
        </w:rPr>
        <w:t xml:space="preserve">as explanatory variable </w:t>
      </w:r>
      <w:r w:rsidR="00C517E9" w:rsidRPr="00233992">
        <w:rPr>
          <w:rFonts w:eastAsiaTheme="minorHAnsi"/>
          <w:sz w:val="22"/>
          <w:szCs w:val="22"/>
          <w:lang w:eastAsia="en-US"/>
        </w:rPr>
        <w:t xml:space="preserve">in the relation between cost of capital and corporate investment. </w:t>
      </w:r>
      <w:r w:rsidR="005B649A" w:rsidRPr="00233992">
        <w:rPr>
          <w:rFonts w:eastAsiaTheme="minorHAnsi"/>
          <w:sz w:val="22"/>
          <w:szCs w:val="22"/>
          <w:lang w:eastAsia="en-US"/>
        </w:rPr>
        <w:t>I</w:t>
      </w:r>
      <w:r w:rsidR="00631F5D" w:rsidRPr="00233992">
        <w:rPr>
          <w:rFonts w:eastAsiaTheme="minorHAnsi"/>
          <w:sz w:val="22"/>
          <w:szCs w:val="22"/>
          <w:lang w:eastAsia="en-US"/>
        </w:rPr>
        <w:t>ncreases in the cost of capital can turn a positive net present value project into a negative one, which consequently affect</w:t>
      </w:r>
      <w:r w:rsidR="000141AA" w:rsidRPr="00233992">
        <w:rPr>
          <w:rFonts w:eastAsiaTheme="minorHAnsi"/>
          <w:sz w:val="22"/>
          <w:szCs w:val="22"/>
          <w:lang w:eastAsia="en-US"/>
        </w:rPr>
        <w:t>s</w:t>
      </w:r>
      <w:r w:rsidR="00631F5D" w:rsidRPr="00233992">
        <w:rPr>
          <w:rFonts w:eastAsiaTheme="minorHAnsi"/>
          <w:sz w:val="22"/>
          <w:szCs w:val="22"/>
          <w:lang w:eastAsia="en-US"/>
        </w:rPr>
        <w:t xml:space="preserve"> firms’ investment decisions. Financial constraints amplify this impact because of increased difficulties in raising capital to fund </w:t>
      </w:r>
      <w:r w:rsidR="000141AA" w:rsidRPr="00233992">
        <w:rPr>
          <w:rFonts w:eastAsiaTheme="minorHAnsi"/>
          <w:sz w:val="22"/>
          <w:szCs w:val="22"/>
          <w:lang w:eastAsia="en-US"/>
        </w:rPr>
        <w:t xml:space="preserve">positive net present value </w:t>
      </w:r>
      <w:r w:rsidR="00631F5D" w:rsidRPr="00233992">
        <w:rPr>
          <w:rFonts w:eastAsiaTheme="minorHAnsi"/>
          <w:sz w:val="22"/>
          <w:szCs w:val="22"/>
          <w:lang w:eastAsia="en-US"/>
        </w:rPr>
        <w:t xml:space="preserve">projects. </w:t>
      </w:r>
      <w:r w:rsidR="00C517E9" w:rsidRPr="00233992">
        <w:rPr>
          <w:rFonts w:eastAsiaTheme="minorHAnsi"/>
          <w:sz w:val="22"/>
          <w:szCs w:val="22"/>
          <w:lang w:eastAsia="en-US"/>
        </w:rPr>
        <w:t xml:space="preserve">Building on </w:t>
      </w:r>
      <w:r w:rsidR="001B1B2B" w:rsidRPr="00233992">
        <w:rPr>
          <w:rFonts w:eastAsiaTheme="minorHAnsi"/>
          <w:sz w:val="22"/>
          <w:szCs w:val="22"/>
          <w:lang w:eastAsia="en-US"/>
        </w:rPr>
        <w:t>the existing literature</w:t>
      </w:r>
      <w:r w:rsidR="00BA5C7C" w:rsidRPr="00233992">
        <w:rPr>
          <w:rFonts w:eastAsiaTheme="minorHAnsi"/>
          <w:sz w:val="22"/>
          <w:szCs w:val="22"/>
          <w:lang w:eastAsia="en-US"/>
        </w:rPr>
        <w:t xml:space="preserve"> (Hoberg </w:t>
      </w:r>
      <w:r w:rsidR="000137AC" w:rsidRPr="009E743F">
        <w:rPr>
          <w:rFonts w:eastAsiaTheme="minorHAnsi"/>
          <w:sz w:val="22"/>
          <w:szCs w:val="22"/>
          <w:lang w:eastAsia="en-US"/>
        </w:rPr>
        <w:t>&amp;</w:t>
      </w:r>
      <w:r w:rsidR="000137AC">
        <w:rPr>
          <w:rFonts w:eastAsiaTheme="minorHAnsi"/>
          <w:sz w:val="22"/>
          <w:szCs w:val="22"/>
          <w:lang w:eastAsia="en-US"/>
        </w:rPr>
        <w:t xml:space="preserve"> </w:t>
      </w:r>
      <w:r w:rsidR="00BA5C7C" w:rsidRPr="00233992">
        <w:rPr>
          <w:rFonts w:eastAsiaTheme="minorHAnsi"/>
          <w:sz w:val="22"/>
          <w:szCs w:val="22"/>
          <w:lang w:eastAsia="en-US"/>
        </w:rPr>
        <w:t xml:space="preserve">Maksimovic, 2015; Alfaro </w:t>
      </w:r>
      <w:r w:rsidR="00BA5C7C" w:rsidRPr="000137AC">
        <w:rPr>
          <w:rFonts w:eastAsiaTheme="minorHAnsi"/>
          <w:sz w:val="22"/>
          <w:szCs w:val="22"/>
          <w:lang w:eastAsia="en-US"/>
        </w:rPr>
        <w:t>et al.,</w:t>
      </w:r>
      <w:r w:rsidR="00BA5C7C" w:rsidRPr="00233992">
        <w:rPr>
          <w:rFonts w:eastAsiaTheme="minorHAnsi"/>
          <w:sz w:val="22"/>
          <w:szCs w:val="22"/>
          <w:lang w:eastAsia="en-US"/>
        </w:rPr>
        <w:t xml:space="preserve"> 2017)</w:t>
      </w:r>
      <w:r w:rsidR="00C517E9" w:rsidRPr="00233992">
        <w:rPr>
          <w:rFonts w:eastAsiaTheme="minorHAnsi"/>
          <w:sz w:val="22"/>
          <w:szCs w:val="22"/>
          <w:lang w:eastAsia="en-US"/>
        </w:rPr>
        <w:t xml:space="preserve">, we predict that </w:t>
      </w:r>
      <w:r w:rsidR="000141AA" w:rsidRPr="00233992">
        <w:rPr>
          <w:rFonts w:eastAsiaTheme="minorHAnsi"/>
          <w:sz w:val="22"/>
          <w:szCs w:val="22"/>
          <w:lang w:eastAsia="en-US"/>
        </w:rPr>
        <w:t>t</w:t>
      </w:r>
      <w:r w:rsidR="00C517E9" w:rsidRPr="00233992">
        <w:rPr>
          <w:rFonts w:eastAsiaTheme="minorHAnsi"/>
          <w:sz w:val="22"/>
          <w:szCs w:val="22"/>
          <w:lang w:eastAsia="en-US"/>
        </w:rPr>
        <w:t>he effects we document</w:t>
      </w:r>
      <w:r w:rsidR="00245A4A" w:rsidRPr="00233992">
        <w:rPr>
          <w:rFonts w:eastAsiaTheme="minorHAnsi"/>
          <w:sz w:val="22"/>
          <w:szCs w:val="22"/>
          <w:lang w:eastAsia="en-US"/>
        </w:rPr>
        <w:t xml:space="preserve"> depend on </w:t>
      </w:r>
      <w:r w:rsidR="000141AA" w:rsidRPr="00233992">
        <w:rPr>
          <w:rFonts w:eastAsiaTheme="minorHAnsi"/>
          <w:sz w:val="22"/>
          <w:szCs w:val="22"/>
          <w:lang w:eastAsia="en-US"/>
        </w:rPr>
        <w:t>firms’</w:t>
      </w:r>
      <w:r w:rsidR="00245A4A" w:rsidRPr="00233992">
        <w:rPr>
          <w:rFonts w:eastAsiaTheme="minorHAnsi"/>
          <w:sz w:val="22"/>
          <w:szCs w:val="22"/>
          <w:lang w:eastAsia="en-US"/>
        </w:rPr>
        <w:t xml:space="preserve"> financial position, with firms that are more financially constrained potentially suffering the greatest reduction in </w:t>
      </w:r>
      <w:r w:rsidR="00E40DB6" w:rsidRPr="00233992">
        <w:rPr>
          <w:rFonts w:eastAsiaTheme="minorHAnsi"/>
          <w:sz w:val="22"/>
          <w:szCs w:val="22"/>
          <w:lang w:eastAsia="en-US"/>
        </w:rPr>
        <w:t>corporate investment</w:t>
      </w:r>
      <w:r w:rsidR="00245A4A" w:rsidRPr="00233992">
        <w:rPr>
          <w:rFonts w:eastAsiaTheme="minorHAnsi"/>
          <w:sz w:val="22"/>
          <w:szCs w:val="22"/>
          <w:lang w:eastAsia="en-US"/>
        </w:rPr>
        <w:t>, while the o</w:t>
      </w:r>
      <w:r w:rsidR="00C72BDE">
        <w:rPr>
          <w:rFonts w:eastAsiaTheme="minorHAnsi"/>
          <w:sz w:val="22"/>
          <w:szCs w:val="22"/>
          <w:lang w:eastAsia="en-US"/>
        </w:rPr>
        <w:t>nes with easy access to capital</w:t>
      </w:r>
      <w:r w:rsidR="00245A4A" w:rsidRPr="00233992">
        <w:rPr>
          <w:rFonts w:eastAsiaTheme="minorHAnsi"/>
          <w:sz w:val="22"/>
          <w:szCs w:val="22"/>
          <w:lang w:eastAsia="en-US"/>
        </w:rPr>
        <w:t xml:space="preserve"> likely not suffering </w:t>
      </w:r>
      <w:r w:rsidR="00CF3FBC" w:rsidRPr="00233992">
        <w:rPr>
          <w:rFonts w:eastAsiaTheme="minorHAnsi"/>
          <w:sz w:val="22"/>
          <w:szCs w:val="22"/>
          <w:lang w:eastAsia="en-US"/>
        </w:rPr>
        <w:t xml:space="preserve">major </w:t>
      </w:r>
      <w:r w:rsidR="00245A4A" w:rsidRPr="00233992">
        <w:rPr>
          <w:rFonts w:eastAsiaTheme="minorHAnsi"/>
          <w:sz w:val="22"/>
          <w:szCs w:val="22"/>
          <w:lang w:eastAsia="en-US"/>
        </w:rPr>
        <w:t>decrease</w:t>
      </w:r>
      <w:r w:rsidRPr="00233992">
        <w:rPr>
          <w:rFonts w:eastAsiaTheme="minorHAnsi"/>
          <w:sz w:val="22"/>
          <w:szCs w:val="22"/>
          <w:lang w:eastAsia="en-US"/>
        </w:rPr>
        <w:t>s</w:t>
      </w:r>
      <w:r w:rsidR="00245A4A" w:rsidRPr="00233992">
        <w:rPr>
          <w:rFonts w:eastAsiaTheme="minorHAnsi"/>
          <w:sz w:val="22"/>
          <w:szCs w:val="22"/>
          <w:lang w:eastAsia="en-US"/>
        </w:rPr>
        <w:t xml:space="preserve">. </w:t>
      </w:r>
    </w:p>
    <w:p w14:paraId="57DDC167" w14:textId="4E287201" w:rsidR="00245A4A" w:rsidRPr="00233992" w:rsidRDefault="00245A4A"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1E4623" w:rsidRPr="00233992">
        <w:rPr>
          <w:rFonts w:eastAsiaTheme="minorHAnsi"/>
          <w:color w:val="000000" w:themeColor="text1"/>
          <w:sz w:val="22"/>
          <w:szCs w:val="22"/>
          <w:lang w:eastAsia="en-US"/>
        </w:rPr>
        <w:t xml:space="preserve">Following </w:t>
      </w:r>
      <w:bookmarkStart w:id="8" w:name="_Hlk148280440"/>
      <w:r w:rsidR="001859CB" w:rsidRPr="00233992">
        <w:rPr>
          <w:rFonts w:eastAsiaTheme="minorHAnsi"/>
          <w:color w:val="000000" w:themeColor="text1"/>
          <w:sz w:val="22"/>
          <w:szCs w:val="22"/>
          <w:lang w:eastAsia="en-US"/>
        </w:rPr>
        <w:t>Almeida, Campello, and Weisbach</w:t>
      </w:r>
      <w:r w:rsidR="00390A0B" w:rsidRPr="00233992">
        <w:rPr>
          <w:rFonts w:eastAsiaTheme="minorHAnsi"/>
          <w:color w:val="000000" w:themeColor="text1"/>
          <w:sz w:val="22"/>
          <w:szCs w:val="22"/>
          <w:lang w:eastAsia="en-US"/>
        </w:rPr>
        <w:t xml:space="preserve"> </w:t>
      </w:r>
      <w:r w:rsidR="001E4623" w:rsidRPr="00233992">
        <w:rPr>
          <w:rFonts w:eastAsiaTheme="minorHAnsi"/>
          <w:color w:val="000000" w:themeColor="text1"/>
          <w:sz w:val="22"/>
          <w:szCs w:val="22"/>
          <w:lang w:eastAsia="en-US"/>
        </w:rPr>
        <w:t xml:space="preserve">(2004), Whited and Wu (2006), and </w:t>
      </w:r>
      <w:r w:rsidR="001859CB" w:rsidRPr="00233992">
        <w:rPr>
          <w:rFonts w:eastAsiaTheme="minorHAnsi"/>
          <w:color w:val="000000" w:themeColor="text1"/>
          <w:sz w:val="22"/>
          <w:szCs w:val="22"/>
          <w:lang w:eastAsia="en-US"/>
        </w:rPr>
        <w:t>Chaney, Sraer, and Thesmar</w:t>
      </w:r>
      <w:r w:rsidR="00390A0B" w:rsidRPr="00233992">
        <w:rPr>
          <w:rFonts w:eastAsiaTheme="minorHAnsi"/>
          <w:color w:val="000000" w:themeColor="text1"/>
          <w:sz w:val="22"/>
          <w:szCs w:val="22"/>
          <w:lang w:eastAsia="en-US"/>
        </w:rPr>
        <w:t xml:space="preserve"> </w:t>
      </w:r>
      <w:r w:rsidR="001E4623" w:rsidRPr="00233992">
        <w:rPr>
          <w:rFonts w:eastAsiaTheme="minorHAnsi"/>
          <w:color w:val="000000" w:themeColor="text1"/>
          <w:sz w:val="22"/>
          <w:szCs w:val="22"/>
          <w:lang w:eastAsia="en-US"/>
        </w:rPr>
        <w:t>(2012)</w:t>
      </w:r>
      <w:bookmarkEnd w:id="8"/>
      <w:r w:rsidR="001E4623" w:rsidRPr="00233992">
        <w:rPr>
          <w:rFonts w:eastAsiaTheme="minorHAnsi"/>
          <w:color w:val="000000" w:themeColor="text1"/>
          <w:sz w:val="22"/>
          <w:szCs w:val="22"/>
          <w:lang w:eastAsia="en-US"/>
        </w:rPr>
        <w:t xml:space="preserve">, we </w:t>
      </w:r>
      <w:r w:rsidR="00464A36" w:rsidRPr="00233992">
        <w:rPr>
          <w:rFonts w:eastAsiaTheme="minorHAnsi"/>
          <w:color w:val="000000" w:themeColor="text1"/>
          <w:sz w:val="22"/>
          <w:szCs w:val="22"/>
          <w:lang w:eastAsia="en-US"/>
        </w:rPr>
        <w:t>create</w:t>
      </w:r>
      <w:r w:rsidR="001E4623" w:rsidRPr="00233992">
        <w:rPr>
          <w:rFonts w:eastAsiaTheme="minorHAnsi"/>
          <w:color w:val="000000" w:themeColor="text1"/>
          <w:sz w:val="22"/>
          <w:szCs w:val="22"/>
          <w:lang w:eastAsia="en-US"/>
        </w:rPr>
        <w:t xml:space="preserve"> three measures of financial constraint</w:t>
      </w:r>
      <w:r w:rsidR="00721085" w:rsidRPr="00233992">
        <w:rPr>
          <w:rFonts w:eastAsiaTheme="minorHAnsi"/>
          <w:color w:val="000000" w:themeColor="text1"/>
          <w:sz w:val="22"/>
          <w:szCs w:val="22"/>
          <w:lang w:eastAsia="en-US"/>
        </w:rPr>
        <w:t>s</w:t>
      </w:r>
      <w:r w:rsidR="001E4623" w:rsidRPr="00233992">
        <w:rPr>
          <w:rFonts w:eastAsiaTheme="minorHAnsi"/>
          <w:color w:val="000000" w:themeColor="text1"/>
          <w:sz w:val="22"/>
          <w:szCs w:val="22"/>
          <w:lang w:eastAsia="en-US"/>
        </w:rPr>
        <w:t xml:space="preserve"> to identify constrained and unconstrained firms. We then test the difference in coefficients between the </w:t>
      </w:r>
      <w:r w:rsidR="00F379EC" w:rsidRPr="00233992">
        <w:rPr>
          <w:rFonts w:eastAsiaTheme="minorHAnsi"/>
          <w:color w:val="000000" w:themeColor="text1"/>
          <w:sz w:val="22"/>
          <w:szCs w:val="22"/>
          <w:lang w:eastAsia="en-US"/>
        </w:rPr>
        <w:t xml:space="preserve">two </w:t>
      </w:r>
      <w:r w:rsidR="001E4623" w:rsidRPr="00233992">
        <w:rPr>
          <w:rFonts w:eastAsiaTheme="minorHAnsi"/>
          <w:color w:val="000000" w:themeColor="text1"/>
          <w:sz w:val="22"/>
          <w:szCs w:val="22"/>
          <w:lang w:eastAsia="en-US"/>
        </w:rPr>
        <w:t>subsample</w:t>
      </w:r>
      <w:r w:rsidR="00F379EC" w:rsidRPr="00233992">
        <w:rPr>
          <w:rFonts w:eastAsiaTheme="minorHAnsi"/>
          <w:color w:val="000000" w:themeColor="text1"/>
          <w:sz w:val="22"/>
          <w:szCs w:val="22"/>
          <w:lang w:eastAsia="en-US"/>
        </w:rPr>
        <w:t>s</w:t>
      </w:r>
      <w:r w:rsidR="001E4623" w:rsidRPr="00233992">
        <w:rPr>
          <w:rFonts w:eastAsiaTheme="minorHAnsi"/>
          <w:color w:val="000000" w:themeColor="text1"/>
          <w:sz w:val="22"/>
          <w:szCs w:val="22"/>
          <w:lang w:eastAsia="en-US"/>
        </w:rPr>
        <w:t>.</w:t>
      </w:r>
    </w:p>
    <w:p w14:paraId="7151795C" w14:textId="5E3BE465" w:rsidR="00245A4A" w:rsidRPr="00233992" w:rsidRDefault="00245A4A"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Pr="00233992">
        <w:rPr>
          <w:rFonts w:eastAsiaTheme="minorHAnsi"/>
          <w:iCs/>
          <w:sz w:val="22"/>
          <w:szCs w:val="22"/>
          <w:lang w:eastAsia="en-US"/>
        </w:rPr>
        <w:t>Size</w:t>
      </w:r>
      <w:r w:rsidRPr="00233992">
        <w:rPr>
          <w:rFonts w:eastAsiaTheme="minorHAnsi"/>
          <w:sz w:val="22"/>
          <w:szCs w:val="22"/>
          <w:lang w:eastAsia="en-US"/>
        </w:rPr>
        <w:t xml:space="preserve"> is measured as th</w:t>
      </w:r>
      <w:r w:rsidR="001B1B2B" w:rsidRPr="00233992">
        <w:rPr>
          <w:rFonts w:eastAsiaTheme="minorHAnsi"/>
          <w:sz w:val="22"/>
          <w:szCs w:val="22"/>
          <w:lang w:eastAsia="en-US"/>
        </w:rPr>
        <w:t>e logarithm of total assets</w:t>
      </w:r>
      <w:r w:rsidRPr="00233992">
        <w:rPr>
          <w:rFonts w:eastAsiaTheme="minorHAnsi"/>
          <w:sz w:val="22"/>
          <w:szCs w:val="22"/>
          <w:lang w:eastAsia="en-US"/>
        </w:rPr>
        <w:t>. Bigger firms are less likely to be financially constrained</w:t>
      </w:r>
      <w:r w:rsidR="00722906" w:rsidRPr="00233992">
        <w:rPr>
          <w:rFonts w:eastAsiaTheme="minorHAnsi"/>
          <w:sz w:val="22"/>
          <w:szCs w:val="22"/>
          <w:lang w:eastAsia="en-US"/>
        </w:rPr>
        <w:t xml:space="preserve"> as they have </w:t>
      </w:r>
      <w:r w:rsidR="00867989" w:rsidRPr="00233992">
        <w:rPr>
          <w:rFonts w:eastAsiaTheme="minorHAnsi"/>
          <w:sz w:val="22"/>
          <w:szCs w:val="22"/>
          <w:lang w:eastAsia="en-US"/>
        </w:rPr>
        <w:t xml:space="preserve">greater </w:t>
      </w:r>
      <w:r w:rsidR="00A45DCF" w:rsidRPr="00233992">
        <w:rPr>
          <w:rFonts w:eastAsiaTheme="minorHAnsi"/>
          <w:sz w:val="22"/>
          <w:szCs w:val="22"/>
          <w:lang w:eastAsia="en-US"/>
        </w:rPr>
        <w:t xml:space="preserve">access to </w:t>
      </w:r>
      <w:r w:rsidR="00722906" w:rsidRPr="00233992">
        <w:rPr>
          <w:rFonts w:eastAsiaTheme="minorHAnsi"/>
          <w:sz w:val="22"/>
          <w:szCs w:val="22"/>
          <w:lang w:eastAsia="en-US"/>
        </w:rPr>
        <w:t>funding</w:t>
      </w:r>
      <w:r w:rsidRPr="00233992">
        <w:rPr>
          <w:rFonts w:eastAsiaTheme="minorHAnsi"/>
          <w:sz w:val="22"/>
          <w:szCs w:val="22"/>
          <w:lang w:eastAsia="en-US"/>
        </w:rPr>
        <w:t xml:space="preserve">. Firms belonging to the top and bottom three deciles of the annual size distribution </w:t>
      </w:r>
      <w:r w:rsidR="00867989" w:rsidRPr="00233992">
        <w:rPr>
          <w:rFonts w:eastAsiaTheme="minorHAnsi"/>
          <w:sz w:val="22"/>
          <w:szCs w:val="22"/>
          <w:lang w:eastAsia="en-US"/>
        </w:rPr>
        <w:t xml:space="preserve">are </w:t>
      </w:r>
      <w:r w:rsidR="000141AA" w:rsidRPr="00233992">
        <w:rPr>
          <w:rFonts w:eastAsiaTheme="minorHAnsi"/>
          <w:sz w:val="22"/>
          <w:szCs w:val="22"/>
          <w:lang w:eastAsia="en-US"/>
        </w:rPr>
        <w:t>assigned to</w:t>
      </w:r>
      <w:r w:rsidR="00867989" w:rsidRPr="00233992">
        <w:rPr>
          <w:rFonts w:eastAsiaTheme="minorHAnsi"/>
          <w:sz w:val="22"/>
          <w:szCs w:val="22"/>
          <w:lang w:eastAsia="en-US"/>
        </w:rPr>
        <w:t xml:space="preserve"> </w:t>
      </w:r>
      <w:r w:rsidR="00721085" w:rsidRPr="00233992">
        <w:rPr>
          <w:rFonts w:eastAsiaTheme="minorHAnsi"/>
          <w:sz w:val="22"/>
          <w:szCs w:val="22"/>
          <w:lang w:eastAsia="en-US"/>
        </w:rPr>
        <w:t xml:space="preserve">the </w:t>
      </w:r>
      <w:r w:rsidRPr="00233992">
        <w:rPr>
          <w:rFonts w:eastAsiaTheme="minorHAnsi"/>
          <w:sz w:val="22"/>
          <w:szCs w:val="22"/>
          <w:lang w:eastAsia="en-US"/>
        </w:rPr>
        <w:t xml:space="preserve">unconstrained and constrained </w:t>
      </w:r>
      <w:r w:rsidR="00500736" w:rsidRPr="00233992">
        <w:rPr>
          <w:rFonts w:eastAsiaTheme="minorHAnsi"/>
          <w:sz w:val="22"/>
          <w:szCs w:val="22"/>
          <w:lang w:eastAsia="en-US"/>
        </w:rPr>
        <w:t>subsample</w:t>
      </w:r>
      <w:r w:rsidR="00867989" w:rsidRPr="00233992">
        <w:rPr>
          <w:rFonts w:eastAsiaTheme="minorHAnsi"/>
          <w:sz w:val="22"/>
          <w:szCs w:val="22"/>
          <w:lang w:eastAsia="en-US"/>
        </w:rPr>
        <w:t>s respectively</w:t>
      </w:r>
      <w:r w:rsidRPr="00233992">
        <w:rPr>
          <w:rFonts w:eastAsiaTheme="minorHAnsi"/>
          <w:sz w:val="22"/>
          <w:szCs w:val="22"/>
          <w:lang w:eastAsia="en-US"/>
        </w:rPr>
        <w:t>.</w:t>
      </w:r>
      <w:r w:rsidR="00E365DC" w:rsidRPr="00233992">
        <w:rPr>
          <w:rFonts w:eastAsiaTheme="minorHAnsi"/>
          <w:sz w:val="22"/>
          <w:szCs w:val="22"/>
          <w:lang w:eastAsia="en-US"/>
        </w:rPr>
        <w:t xml:space="preserve"> </w:t>
      </w:r>
      <w:r w:rsidRPr="00233992">
        <w:rPr>
          <w:rFonts w:eastAsiaTheme="minorHAnsi"/>
          <w:iCs/>
          <w:sz w:val="22"/>
          <w:szCs w:val="22"/>
          <w:lang w:eastAsia="en-US"/>
        </w:rPr>
        <w:t>Payout</w:t>
      </w:r>
      <w:r w:rsidRPr="00233992">
        <w:rPr>
          <w:rFonts w:eastAsiaTheme="minorHAnsi"/>
          <w:i/>
          <w:iCs/>
          <w:sz w:val="22"/>
          <w:szCs w:val="22"/>
          <w:lang w:eastAsia="en-US"/>
        </w:rPr>
        <w:t xml:space="preserve"> </w:t>
      </w:r>
      <w:r w:rsidRPr="00233992">
        <w:rPr>
          <w:rFonts w:eastAsiaTheme="minorHAnsi"/>
          <w:sz w:val="22"/>
          <w:szCs w:val="22"/>
          <w:lang w:eastAsia="en-US"/>
        </w:rPr>
        <w:t xml:space="preserve">is measured as total distributions. Firms </w:t>
      </w:r>
      <w:r w:rsidR="000141AA" w:rsidRPr="00233992">
        <w:rPr>
          <w:rFonts w:eastAsiaTheme="minorHAnsi"/>
          <w:sz w:val="22"/>
          <w:szCs w:val="22"/>
          <w:lang w:eastAsia="en-US"/>
        </w:rPr>
        <w:t>distributing resources to shareholders</w:t>
      </w:r>
      <w:r w:rsidRPr="00233992">
        <w:rPr>
          <w:rFonts w:eastAsiaTheme="minorHAnsi"/>
          <w:sz w:val="22"/>
          <w:szCs w:val="22"/>
          <w:lang w:eastAsia="en-US"/>
        </w:rPr>
        <w:t xml:space="preserve"> are less likely to be financially constrained. Firms with </w:t>
      </w:r>
      <w:r w:rsidR="00C81D14" w:rsidRPr="00233992">
        <w:rPr>
          <w:rFonts w:eastAsiaTheme="minorHAnsi"/>
          <w:sz w:val="22"/>
          <w:szCs w:val="22"/>
          <w:lang w:eastAsia="en-US"/>
        </w:rPr>
        <w:t xml:space="preserve">and without </w:t>
      </w:r>
      <w:r w:rsidRPr="00233992">
        <w:rPr>
          <w:rFonts w:eastAsiaTheme="minorHAnsi"/>
          <w:sz w:val="22"/>
          <w:szCs w:val="22"/>
          <w:lang w:eastAsia="en-US"/>
        </w:rPr>
        <w:t xml:space="preserve">positive distributions </w:t>
      </w:r>
      <w:r w:rsidR="00C81D14" w:rsidRPr="00233992">
        <w:rPr>
          <w:rFonts w:eastAsiaTheme="minorHAnsi"/>
          <w:sz w:val="22"/>
          <w:szCs w:val="22"/>
          <w:lang w:eastAsia="en-US"/>
        </w:rPr>
        <w:t>belong respectively to</w:t>
      </w:r>
      <w:r w:rsidRPr="00233992">
        <w:rPr>
          <w:rFonts w:eastAsiaTheme="minorHAnsi"/>
          <w:sz w:val="22"/>
          <w:szCs w:val="22"/>
          <w:lang w:eastAsia="en-US"/>
        </w:rPr>
        <w:t xml:space="preserve"> </w:t>
      </w:r>
      <w:r w:rsidR="00CF3FBC" w:rsidRPr="00233992">
        <w:rPr>
          <w:rFonts w:eastAsiaTheme="minorHAnsi"/>
          <w:sz w:val="22"/>
          <w:szCs w:val="22"/>
          <w:lang w:eastAsia="en-US"/>
        </w:rPr>
        <w:t xml:space="preserve">the </w:t>
      </w:r>
      <w:r w:rsidRPr="00233992">
        <w:rPr>
          <w:rFonts w:eastAsiaTheme="minorHAnsi"/>
          <w:sz w:val="22"/>
          <w:szCs w:val="22"/>
          <w:lang w:eastAsia="en-US"/>
        </w:rPr>
        <w:t xml:space="preserve">unconstrained </w:t>
      </w:r>
      <w:r w:rsidR="00750D7B" w:rsidRPr="00233992">
        <w:rPr>
          <w:rFonts w:eastAsiaTheme="minorHAnsi"/>
          <w:sz w:val="22"/>
          <w:szCs w:val="22"/>
          <w:lang w:eastAsia="en-US"/>
        </w:rPr>
        <w:t xml:space="preserve">and </w:t>
      </w:r>
      <w:r w:rsidRPr="00233992">
        <w:rPr>
          <w:rFonts w:eastAsiaTheme="minorHAnsi"/>
          <w:sz w:val="22"/>
          <w:szCs w:val="22"/>
          <w:lang w:eastAsia="en-US"/>
        </w:rPr>
        <w:t xml:space="preserve">constrained </w:t>
      </w:r>
      <w:r w:rsidR="00722906" w:rsidRPr="00233992">
        <w:rPr>
          <w:rFonts w:eastAsiaTheme="minorHAnsi"/>
          <w:sz w:val="22"/>
          <w:szCs w:val="22"/>
          <w:lang w:eastAsia="en-US"/>
        </w:rPr>
        <w:t>sub</w:t>
      </w:r>
      <w:r w:rsidRPr="00233992">
        <w:rPr>
          <w:rFonts w:eastAsiaTheme="minorHAnsi"/>
          <w:sz w:val="22"/>
          <w:szCs w:val="22"/>
          <w:lang w:eastAsia="en-US"/>
        </w:rPr>
        <w:t>sample</w:t>
      </w:r>
      <w:r w:rsidR="00867989" w:rsidRPr="00233992">
        <w:rPr>
          <w:rFonts w:eastAsiaTheme="minorHAnsi"/>
          <w:sz w:val="22"/>
          <w:szCs w:val="22"/>
          <w:lang w:eastAsia="en-US"/>
        </w:rPr>
        <w:t>s</w:t>
      </w:r>
      <w:r w:rsidRPr="00233992">
        <w:rPr>
          <w:rFonts w:eastAsiaTheme="minorHAnsi"/>
          <w:sz w:val="22"/>
          <w:szCs w:val="22"/>
          <w:lang w:eastAsia="en-US"/>
        </w:rPr>
        <w:t>.</w:t>
      </w:r>
      <w:r w:rsidR="001E4623" w:rsidRPr="00233992">
        <w:rPr>
          <w:rFonts w:eastAsiaTheme="minorHAnsi"/>
          <w:sz w:val="22"/>
          <w:szCs w:val="22"/>
          <w:lang w:eastAsia="en-US"/>
        </w:rPr>
        <w:t xml:space="preserve"> Whited and Wu (2006) develop a composite index (</w:t>
      </w:r>
      <w:r w:rsidR="001E4623" w:rsidRPr="00233992">
        <w:rPr>
          <w:rFonts w:eastAsiaTheme="minorHAnsi"/>
          <w:iCs/>
          <w:sz w:val="22"/>
          <w:szCs w:val="22"/>
          <w:lang w:eastAsia="en-US"/>
        </w:rPr>
        <w:t xml:space="preserve">Whited-Wu </w:t>
      </w:r>
      <w:r w:rsidR="00E67ED0" w:rsidRPr="00233992">
        <w:rPr>
          <w:rFonts w:eastAsiaTheme="minorHAnsi"/>
          <w:iCs/>
          <w:sz w:val="22"/>
          <w:szCs w:val="22"/>
          <w:lang w:eastAsia="en-US"/>
        </w:rPr>
        <w:t>i</w:t>
      </w:r>
      <w:r w:rsidR="001E4623" w:rsidRPr="00233992">
        <w:rPr>
          <w:rFonts w:eastAsiaTheme="minorHAnsi"/>
          <w:iCs/>
          <w:sz w:val="22"/>
          <w:szCs w:val="22"/>
          <w:lang w:eastAsia="en-US"/>
        </w:rPr>
        <w:t>ndex</w:t>
      </w:r>
      <w:r w:rsidR="001E4623" w:rsidRPr="00233992">
        <w:rPr>
          <w:rFonts w:eastAsiaTheme="minorHAnsi"/>
          <w:sz w:val="22"/>
          <w:szCs w:val="22"/>
          <w:lang w:eastAsia="en-US"/>
        </w:rPr>
        <w:t>) capturing several components of financial constraint</w:t>
      </w:r>
      <w:r w:rsidR="00721085" w:rsidRPr="00233992">
        <w:rPr>
          <w:rFonts w:eastAsiaTheme="minorHAnsi"/>
          <w:sz w:val="22"/>
          <w:szCs w:val="22"/>
          <w:lang w:eastAsia="en-US"/>
        </w:rPr>
        <w:t>s</w:t>
      </w:r>
      <w:r w:rsidR="001E4623" w:rsidRPr="00233992">
        <w:rPr>
          <w:rFonts w:eastAsiaTheme="minorHAnsi"/>
          <w:sz w:val="22"/>
          <w:szCs w:val="22"/>
          <w:lang w:eastAsia="en-US"/>
        </w:rPr>
        <w:t>. Firms with lower scores are less likely to be financially constrained</w:t>
      </w:r>
      <w:r w:rsidR="00721085" w:rsidRPr="00233992">
        <w:rPr>
          <w:rFonts w:eastAsiaTheme="minorHAnsi"/>
          <w:sz w:val="22"/>
          <w:szCs w:val="22"/>
          <w:lang w:eastAsia="en-US"/>
        </w:rPr>
        <w:t xml:space="preserve"> and vice</w:t>
      </w:r>
      <w:r w:rsidR="00867989" w:rsidRPr="00233992">
        <w:rPr>
          <w:rFonts w:eastAsiaTheme="minorHAnsi"/>
          <w:sz w:val="22"/>
          <w:szCs w:val="22"/>
          <w:lang w:eastAsia="en-US"/>
        </w:rPr>
        <w:t xml:space="preserve"> </w:t>
      </w:r>
      <w:r w:rsidR="00721085" w:rsidRPr="00233992">
        <w:rPr>
          <w:rFonts w:eastAsiaTheme="minorHAnsi"/>
          <w:sz w:val="22"/>
          <w:szCs w:val="22"/>
          <w:lang w:eastAsia="en-US"/>
        </w:rPr>
        <w:t>versa</w:t>
      </w:r>
      <w:r w:rsidR="001E4623" w:rsidRPr="00233992">
        <w:rPr>
          <w:rFonts w:eastAsiaTheme="minorHAnsi"/>
          <w:sz w:val="22"/>
          <w:szCs w:val="22"/>
          <w:lang w:eastAsia="en-US"/>
        </w:rPr>
        <w:t xml:space="preserve">. Firms belonging to the bottom and top three deciles of the annual </w:t>
      </w:r>
      <w:r w:rsidR="00AF6FF4" w:rsidRPr="00233992">
        <w:rPr>
          <w:rFonts w:eastAsiaTheme="minorHAnsi"/>
          <w:sz w:val="22"/>
          <w:szCs w:val="22"/>
          <w:lang w:eastAsia="en-US"/>
        </w:rPr>
        <w:t xml:space="preserve">Whited-Wu index </w:t>
      </w:r>
      <w:r w:rsidR="001E4623" w:rsidRPr="00233992">
        <w:rPr>
          <w:rFonts w:eastAsiaTheme="minorHAnsi"/>
          <w:sz w:val="22"/>
          <w:szCs w:val="22"/>
          <w:lang w:eastAsia="en-US"/>
        </w:rPr>
        <w:t>distribution refer respectively to</w:t>
      </w:r>
      <w:r w:rsidR="00CF3FBC" w:rsidRPr="00233992">
        <w:rPr>
          <w:rFonts w:eastAsiaTheme="minorHAnsi"/>
          <w:sz w:val="22"/>
          <w:szCs w:val="22"/>
          <w:lang w:eastAsia="en-US"/>
        </w:rPr>
        <w:t xml:space="preserve"> the</w:t>
      </w:r>
      <w:r w:rsidR="001E4623" w:rsidRPr="00233992">
        <w:rPr>
          <w:rFonts w:eastAsiaTheme="minorHAnsi"/>
          <w:sz w:val="22"/>
          <w:szCs w:val="22"/>
          <w:lang w:eastAsia="en-US"/>
        </w:rPr>
        <w:t xml:space="preserve"> unconstrained and constrained subsample</w:t>
      </w:r>
      <w:r w:rsidR="00890A1A" w:rsidRPr="00233992">
        <w:rPr>
          <w:rFonts w:eastAsiaTheme="minorHAnsi"/>
          <w:sz w:val="22"/>
          <w:szCs w:val="22"/>
          <w:lang w:eastAsia="en-US"/>
        </w:rPr>
        <w:t>s</w:t>
      </w:r>
      <w:r w:rsidR="001E4623" w:rsidRPr="00233992">
        <w:rPr>
          <w:rFonts w:eastAsiaTheme="minorHAnsi"/>
          <w:sz w:val="22"/>
          <w:szCs w:val="22"/>
          <w:lang w:eastAsia="en-US"/>
        </w:rPr>
        <w:t>.</w:t>
      </w:r>
    </w:p>
    <w:p w14:paraId="23CF303E" w14:textId="54F58BAB" w:rsidR="00721085" w:rsidRPr="00233992" w:rsidRDefault="00721085" w:rsidP="00233992">
      <w:pPr>
        <w:pStyle w:val="Normal2"/>
        <w:jc w:val="center"/>
        <w:rPr>
          <w:sz w:val="22"/>
          <w:szCs w:val="22"/>
        </w:rPr>
      </w:pPr>
      <w:r w:rsidRPr="00233992">
        <w:rPr>
          <w:sz w:val="22"/>
          <w:szCs w:val="22"/>
          <w:lang w:eastAsia="fr-FR"/>
        </w:rPr>
        <w:lastRenderedPageBreak/>
        <w:t xml:space="preserve">[Insert Table </w:t>
      </w:r>
      <w:r w:rsidR="00EB3F4A">
        <w:rPr>
          <w:rFonts w:eastAsiaTheme="minorHAnsi"/>
          <w:color w:val="000000" w:themeColor="text1"/>
          <w:sz w:val="22"/>
          <w:szCs w:val="22"/>
          <w:lang w:eastAsia="en-US"/>
        </w:rPr>
        <w:t>9</w:t>
      </w:r>
      <w:r w:rsidRPr="00233992">
        <w:rPr>
          <w:sz w:val="22"/>
          <w:szCs w:val="22"/>
          <w:lang w:eastAsia="fr-FR"/>
        </w:rPr>
        <w:t xml:space="preserve"> here]</w:t>
      </w:r>
    </w:p>
    <w:p w14:paraId="5DA9C2AB" w14:textId="31580470" w:rsidR="00245A4A" w:rsidRPr="00233992" w:rsidRDefault="00245A4A"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Pr="00233992">
        <w:rPr>
          <w:rFonts w:eastAsiaTheme="minorHAnsi"/>
          <w:sz w:val="22"/>
          <w:szCs w:val="22"/>
          <w:lang w:eastAsia="en-US"/>
        </w:rPr>
        <w:t xml:space="preserve">We tabulate our results in </w:t>
      </w:r>
      <w:r w:rsidR="001E4623" w:rsidRPr="00233992">
        <w:rPr>
          <w:rFonts w:eastAsiaTheme="minorHAnsi"/>
          <w:sz w:val="22"/>
          <w:szCs w:val="22"/>
          <w:lang w:eastAsia="en-US"/>
        </w:rPr>
        <w:t>Panels A</w:t>
      </w:r>
      <w:r w:rsidR="00DA6B76" w:rsidRPr="00233992">
        <w:rPr>
          <w:sz w:val="22"/>
          <w:szCs w:val="22"/>
        </w:rPr>
        <w:t>–</w:t>
      </w:r>
      <w:r w:rsidR="001E4623" w:rsidRPr="00233992">
        <w:rPr>
          <w:rFonts w:eastAsiaTheme="minorHAnsi"/>
          <w:sz w:val="22"/>
          <w:szCs w:val="22"/>
          <w:lang w:eastAsia="en-US"/>
        </w:rPr>
        <w:t xml:space="preserve">C </w:t>
      </w:r>
      <w:r w:rsidRPr="00233992">
        <w:rPr>
          <w:rFonts w:eastAsiaTheme="minorHAnsi"/>
          <w:sz w:val="22"/>
          <w:szCs w:val="22"/>
          <w:lang w:eastAsia="en-US"/>
        </w:rPr>
        <w:t xml:space="preserve">of Table </w:t>
      </w:r>
      <w:r w:rsidR="00EB3F4A">
        <w:rPr>
          <w:rFonts w:eastAsiaTheme="minorHAnsi"/>
          <w:color w:val="000000" w:themeColor="text1"/>
          <w:sz w:val="22"/>
          <w:szCs w:val="22"/>
          <w:lang w:eastAsia="en-US"/>
        </w:rPr>
        <w:t>9</w:t>
      </w:r>
      <w:r w:rsidR="0063001C" w:rsidRPr="00233992">
        <w:rPr>
          <w:sz w:val="22"/>
          <w:szCs w:val="22"/>
          <w:lang w:eastAsia="fr-FR"/>
        </w:rPr>
        <w:t xml:space="preserve"> </w:t>
      </w:r>
      <w:r w:rsidRPr="00233992">
        <w:rPr>
          <w:rFonts w:eastAsiaTheme="minorHAnsi"/>
          <w:sz w:val="22"/>
          <w:szCs w:val="22"/>
          <w:lang w:eastAsia="en-US"/>
        </w:rPr>
        <w:t xml:space="preserve">using </w:t>
      </w:r>
      <w:r w:rsidRPr="00233992">
        <w:rPr>
          <w:rFonts w:eastAsiaTheme="minorHAnsi"/>
          <w:iCs/>
          <w:sz w:val="22"/>
          <w:szCs w:val="22"/>
          <w:lang w:eastAsia="en-US"/>
        </w:rPr>
        <w:t>Size</w:t>
      </w:r>
      <w:r w:rsidR="001E4623" w:rsidRPr="00233992">
        <w:rPr>
          <w:rFonts w:eastAsiaTheme="minorHAnsi"/>
          <w:sz w:val="22"/>
          <w:szCs w:val="22"/>
          <w:lang w:eastAsia="en-US"/>
        </w:rPr>
        <w:t>,</w:t>
      </w:r>
      <w:r w:rsidR="001E4623" w:rsidRPr="00233992">
        <w:rPr>
          <w:rFonts w:eastAsiaTheme="minorHAnsi"/>
          <w:iCs/>
          <w:sz w:val="22"/>
          <w:szCs w:val="22"/>
          <w:lang w:eastAsia="en-US"/>
        </w:rPr>
        <w:t xml:space="preserve"> Payout</w:t>
      </w:r>
      <w:r w:rsidR="00867989" w:rsidRPr="00233992">
        <w:rPr>
          <w:rFonts w:eastAsiaTheme="minorHAnsi"/>
          <w:sz w:val="22"/>
          <w:szCs w:val="22"/>
          <w:lang w:eastAsia="en-US"/>
        </w:rPr>
        <w:t>,</w:t>
      </w:r>
      <w:r w:rsidR="001E4623" w:rsidRPr="00233992">
        <w:rPr>
          <w:rFonts w:eastAsiaTheme="minorHAnsi"/>
          <w:iCs/>
          <w:sz w:val="22"/>
          <w:szCs w:val="22"/>
          <w:lang w:eastAsia="en-US"/>
        </w:rPr>
        <w:t xml:space="preserve"> </w:t>
      </w:r>
      <w:r w:rsidR="00116520" w:rsidRPr="00233992">
        <w:rPr>
          <w:rFonts w:eastAsiaTheme="minorHAnsi"/>
          <w:sz w:val="22"/>
          <w:szCs w:val="22"/>
          <w:lang w:eastAsia="en-US"/>
        </w:rPr>
        <w:t>and</w:t>
      </w:r>
      <w:r w:rsidRPr="00233992">
        <w:rPr>
          <w:rFonts w:eastAsiaTheme="minorHAnsi"/>
          <w:iCs/>
          <w:sz w:val="22"/>
          <w:szCs w:val="22"/>
          <w:lang w:eastAsia="en-US"/>
        </w:rPr>
        <w:t xml:space="preserve"> </w:t>
      </w:r>
      <w:r w:rsidR="001E4623" w:rsidRPr="00233992">
        <w:rPr>
          <w:rFonts w:eastAsiaTheme="minorHAnsi"/>
          <w:iCs/>
          <w:sz w:val="22"/>
          <w:szCs w:val="22"/>
          <w:lang w:eastAsia="en-US"/>
        </w:rPr>
        <w:t xml:space="preserve">Whited-Wu </w:t>
      </w:r>
      <w:r w:rsidR="00E67ED0" w:rsidRPr="00233992">
        <w:rPr>
          <w:rFonts w:eastAsiaTheme="minorHAnsi"/>
          <w:iCs/>
          <w:sz w:val="22"/>
          <w:szCs w:val="22"/>
          <w:lang w:eastAsia="en-US"/>
        </w:rPr>
        <w:t>i</w:t>
      </w:r>
      <w:r w:rsidR="001E4623" w:rsidRPr="00233992">
        <w:rPr>
          <w:rFonts w:eastAsiaTheme="minorHAnsi"/>
          <w:iCs/>
          <w:sz w:val="22"/>
          <w:szCs w:val="22"/>
          <w:lang w:eastAsia="en-US"/>
        </w:rPr>
        <w:t>ndex</w:t>
      </w:r>
      <w:r w:rsidRPr="00233992">
        <w:rPr>
          <w:rFonts w:eastAsiaTheme="minorHAnsi"/>
          <w:iCs/>
          <w:sz w:val="22"/>
          <w:szCs w:val="22"/>
          <w:lang w:eastAsia="en-US"/>
        </w:rPr>
        <w:t xml:space="preserve"> </w:t>
      </w:r>
      <w:r w:rsidRPr="00233992">
        <w:rPr>
          <w:rFonts w:eastAsiaTheme="minorHAnsi"/>
          <w:sz w:val="22"/>
          <w:szCs w:val="22"/>
          <w:lang w:eastAsia="en-US"/>
        </w:rPr>
        <w:t>as proxies for financial constraint</w:t>
      </w:r>
      <w:r w:rsidR="00AD11E3" w:rsidRPr="00233992">
        <w:rPr>
          <w:rFonts w:eastAsiaTheme="minorHAnsi"/>
          <w:sz w:val="22"/>
          <w:szCs w:val="22"/>
          <w:lang w:eastAsia="en-US"/>
        </w:rPr>
        <w:t>s</w:t>
      </w:r>
      <w:r w:rsidRPr="00233992">
        <w:rPr>
          <w:rFonts w:eastAsiaTheme="minorHAnsi"/>
          <w:sz w:val="22"/>
          <w:szCs w:val="22"/>
          <w:lang w:eastAsia="en-US"/>
        </w:rPr>
        <w:t xml:space="preserve"> respectively. </w:t>
      </w:r>
      <w:r w:rsidR="00EB7789" w:rsidRPr="00EB7789">
        <w:rPr>
          <w:rFonts w:eastAsiaTheme="minorHAnsi"/>
          <w:sz w:val="22"/>
          <w:szCs w:val="22"/>
          <w:lang w:eastAsia="en-US"/>
        </w:rPr>
        <w:t xml:space="preserve">Control variables are included but not tabulated for parsimony. </w:t>
      </w:r>
      <w:r w:rsidR="002C5E42" w:rsidRPr="00233992">
        <w:rPr>
          <w:rFonts w:eastAsiaTheme="minorHAnsi"/>
          <w:sz w:val="22"/>
          <w:szCs w:val="22"/>
          <w:lang w:eastAsia="en-US"/>
        </w:rPr>
        <w:t>T</w:t>
      </w:r>
      <w:r w:rsidR="00EB7789">
        <w:rPr>
          <w:rFonts w:eastAsiaTheme="minorHAnsi"/>
          <w:sz w:val="22"/>
          <w:szCs w:val="22"/>
          <w:lang w:eastAsia="en-US"/>
        </w:rPr>
        <w:t>he coefficient</w:t>
      </w:r>
      <w:r w:rsidRPr="00233992">
        <w:rPr>
          <w:rFonts w:eastAsiaTheme="minorHAnsi"/>
          <w:sz w:val="22"/>
          <w:szCs w:val="22"/>
          <w:lang w:eastAsia="en-US"/>
        </w:rPr>
        <w:t xml:space="preserve"> on </w:t>
      </w:r>
      <w:r w:rsidRPr="00233992">
        <w:rPr>
          <w:rFonts w:eastAsiaTheme="minorHAnsi"/>
          <w:iCs/>
          <w:sz w:val="22"/>
          <w:szCs w:val="22"/>
          <w:lang w:eastAsia="en-US"/>
        </w:rPr>
        <w:t>CFIUS</w:t>
      </w:r>
      <w:r w:rsidR="008167F0" w:rsidRPr="00233992">
        <w:rPr>
          <w:rFonts w:eastAsiaTheme="minorHAnsi"/>
          <w:iCs/>
          <w:sz w:val="22"/>
          <w:szCs w:val="22"/>
          <w:lang w:eastAsia="en-US"/>
        </w:rPr>
        <w:t xml:space="preserve"> Block</w:t>
      </w:r>
      <w:r w:rsidRPr="00233992">
        <w:rPr>
          <w:rFonts w:eastAsiaTheme="minorHAnsi"/>
          <w:iCs/>
          <w:sz w:val="22"/>
          <w:szCs w:val="22"/>
          <w:lang w:eastAsia="en-US"/>
        </w:rPr>
        <w:t xml:space="preserve"> </w:t>
      </w:r>
      <w:r w:rsidR="00EB7789">
        <w:rPr>
          <w:rFonts w:eastAsiaTheme="minorHAnsi"/>
          <w:sz w:val="22"/>
          <w:szCs w:val="22"/>
          <w:lang w:eastAsia="en-US"/>
        </w:rPr>
        <w:t>is</w:t>
      </w:r>
      <w:r w:rsidRPr="00233992">
        <w:rPr>
          <w:rFonts w:eastAsiaTheme="minorHAnsi"/>
          <w:sz w:val="22"/>
          <w:szCs w:val="22"/>
          <w:lang w:eastAsia="en-US"/>
        </w:rPr>
        <w:t xml:space="preserve"> negative and statistically significant </w:t>
      </w:r>
      <w:r w:rsidR="00116520" w:rsidRPr="00233992">
        <w:rPr>
          <w:rFonts w:eastAsiaTheme="minorHAnsi"/>
          <w:sz w:val="22"/>
          <w:szCs w:val="22"/>
          <w:lang w:eastAsia="en-US"/>
        </w:rPr>
        <w:t xml:space="preserve">only </w:t>
      </w:r>
      <w:r w:rsidRPr="00233992">
        <w:rPr>
          <w:rFonts w:eastAsiaTheme="minorHAnsi"/>
          <w:sz w:val="22"/>
          <w:szCs w:val="22"/>
          <w:lang w:eastAsia="en-US"/>
        </w:rPr>
        <w:t>in the constrained subsample</w:t>
      </w:r>
      <w:r w:rsidR="00EB3F4A">
        <w:rPr>
          <w:rFonts w:eastAsiaTheme="minorHAnsi"/>
          <w:sz w:val="22"/>
          <w:szCs w:val="22"/>
          <w:lang w:eastAsia="en-US"/>
        </w:rPr>
        <w:t xml:space="preserve"> (c</w:t>
      </w:r>
      <w:r w:rsidR="00F35BA9">
        <w:rPr>
          <w:rFonts w:eastAsiaTheme="minorHAnsi"/>
          <w:sz w:val="22"/>
          <w:szCs w:val="22"/>
          <w:lang w:eastAsia="en-US"/>
        </w:rPr>
        <w:t>olumn 1</w:t>
      </w:r>
      <w:r w:rsidR="001B1B2B" w:rsidRPr="00233992">
        <w:rPr>
          <w:rFonts w:eastAsiaTheme="minorHAnsi"/>
          <w:sz w:val="22"/>
          <w:szCs w:val="22"/>
          <w:lang w:eastAsia="en-US"/>
        </w:rPr>
        <w:t>)</w:t>
      </w:r>
      <w:r w:rsidR="00867989" w:rsidRPr="00233992">
        <w:rPr>
          <w:rFonts w:eastAsiaTheme="minorHAnsi"/>
          <w:sz w:val="22"/>
          <w:szCs w:val="22"/>
          <w:lang w:eastAsia="en-US"/>
        </w:rPr>
        <w:t>,</w:t>
      </w:r>
      <w:r w:rsidRPr="00233992">
        <w:rPr>
          <w:rFonts w:eastAsiaTheme="minorHAnsi"/>
          <w:sz w:val="22"/>
          <w:szCs w:val="22"/>
          <w:lang w:eastAsia="en-US"/>
        </w:rPr>
        <w:t xml:space="preserve"> </w:t>
      </w:r>
      <w:r w:rsidR="00823F1F" w:rsidRPr="00233992">
        <w:rPr>
          <w:rFonts w:eastAsiaTheme="minorHAnsi"/>
          <w:sz w:val="22"/>
          <w:szCs w:val="22"/>
          <w:lang w:eastAsia="en-US"/>
        </w:rPr>
        <w:t xml:space="preserve">while </w:t>
      </w:r>
      <w:r w:rsidR="00EB7789">
        <w:rPr>
          <w:rFonts w:eastAsiaTheme="minorHAnsi"/>
          <w:sz w:val="22"/>
          <w:szCs w:val="22"/>
          <w:lang w:eastAsia="en-US"/>
        </w:rPr>
        <w:t>it is</w:t>
      </w:r>
      <w:r w:rsidR="002C5E42" w:rsidRPr="00233992">
        <w:rPr>
          <w:rFonts w:eastAsiaTheme="minorHAnsi"/>
          <w:sz w:val="22"/>
          <w:szCs w:val="22"/>
          <w:lang w:eastAsia="en-US"/>
        </w:rPr>
        <w:t xml:space="preserve"> statistically </w:t>
      </w:r>
      <w:r w:rsidR="000141AA" w:rsidRPr="00233992">
        <w:rPr>
          <w:rFonts w:eastAsiaTheme="minorHAnsi"/>
          <w:sz w:val="22"/>
          <w:szCs w:val="22"/>
          <w:lang w:eastAsia="en-US"/>
        </w:rPr>
        <w:t>in</w:t>
      </w:r>
      <w:r w:rsidR="002C5E42" w:rsidRPr="00233992">
        <w:rPr>
          <w:rFonts w:eastAsiaTheme="minorHAnsi"/>
          <w:sz w:val="22"/>
          <w:szCs w:val="22"/>
          <w:lang w:eastAsia="en-US"/>
        </w:rPr>
        <w:t>significant in the unconstrained subsample</w:t>
      </w:r>
      <w:r w:rsidR="00EB3F4A">
        <w:rPr>
          <w:rFonts w:eastAsiaTheme="minorHAnsi"/>
          <w:sz w:val="22"/>
          <w:szCs w:val="22"/>
          <w:lang w:eastAsia="en-US"/>
        </w:rPr>
        <w:t xml:space="preserve"> (c</w:t>
      </w:r>
      <w:r w:rsidR="00F35BA9">
        <w:rPr>
          <w:rFonts w:eastAsiaTheme="minorHAnsi"/>
          <w:sz w:val="22"/>
          <w:szCs w:val="22"/>
          <w:lang w:eastAsia="en-US"/>
        </w:rPr>
        <w:t>olumn 2</w:t>
      </w:r>
      <w:r w:rsidR="001B1B2B" w:rsidRPr="00233992">
        <w:rPr>
          <w:rFonts w:eastAsiaTheme="minorHAnsi"/>
          <w:sz w:val="22"/>
          <w:szCs w:val="22"/>
          <w:lang w:eastAsia="en-US"/>
        </w:rPr>
        <w:t>)</w:t>
      </w:r>
      <w:r w:rsidRPr="00233992">
        <w:rPr>
          <w:rFonts w:eastAsiaTheme="minorHAnsi"/>
          <w:sz w:val="22"/>
          <w:szCs w:val="22"/>
          <w:lang w:eastAsia="en-US"/>
        </w:rPr>
        <w:t>.</w:t>
      </w:r>
      <w:r w:rsidR="00410AE9" w:rsidRPr="00233992">
        <w:rPr>
          <w:rStyle w:val="Appelnotedebasdep"/>
          <w:sz w:val="22"/>
          <w:szCs w:val="22"/>
        </w:rPr>
        <w:footnoteReference w:id="16"/>
      </w:r>
      <w:r w:rsidR="00116520" w:rsidRPr="00233992">
        <w:rPr>
          <w:rFonts w:eastAsiaTheme="minorHAnsi"/>
          <w:sz w:val="22"/>
          <w:szCs w:val="22"/>
          <w:lang w:eastAsia="en-US"/>
        </w:rPr>
        <w:t xml:space="preserve"> </w:t>
      </w:r>
      <w:r w:rsidR="00EB7789" w:rsidRPr="00233992">
        <w:rPr>
          <w:rFonts w:eastAsiaTheme="minorHAnsi"/>
          <w:sz w:val="22"/>
          <w:szCs w:val="22"/>
          <w:lang w:eastAsia="en-US"/>
        </w:rPr>
        <w:t>The t-test of equality</w:t>
      </w:r>
      <w:r w:rsidR="00EB7789">
        <w:rPr>
          <w:rFonts w:eastAsiaTheme="minorHAnsi"/>
          <w:sz w:val="22"/>
          <w:szCs w:val="22"/>
          <w:lang w:eastAsia="en-US"/>
        </w:rPr>
        <w:t xml:space="preserve"> between the two coefficients </w:t>
      </w:r>
      <w:r w:rsidRPr="00233992">
        <w:rPr>
          <w:rFonts w:eastAsiaTheme="minorHAnsi"/>
          <w:sz w:val="22"/>
          <w:szCs w:val="22"/>
          <w:lang w:eastAsia="en-US"/>
        </w:rPr>
        <w:t xml:space="preserve">is statistically significant </w:t>
      </w:r>
      <w:r w:rsidR="00E975A2" w:rsidRPr="00233992">
        <w:rPr>
          <w:rFonts w:eastAsiaTheme="minorHAnsi"/>
          <w:sz w:val="22"/>
          <w:szCs w:val="22"/>
          <w:lang w:eastAsia="en-US"/>
        </w:rPr>
        <w:t>at</w:t>
      </w:r>
      <w:r w:rsidR="00D3393A" w:rsidRPr="00233992">
        <w:rPr>
          <w:rFonts w:eastAsiaTheme="minorHAnsi"/>
          <w:sz w:val="22"/>
          <w:szCs w:val="22"/>
          <w:lang w:eastAsia="en-US"/>
        </w:rPr>
        <w:t xml:space="preserve"> the</w:t>
      </w:r>
      <w:r w:rsidR="00E975A2" w:rsidRPr="00233992">
        <w:rPr>
          <w:rFonts w:eastAsiaTheme="minorHAnsi"/>
          <w:sz w:val="22"/>
          <w:szCs w:val="22"/>
          <w:lang w:eastAsia="en-US"/>
        </w:rPr>
        <w:t xml:space="preserve"> </w:t>
      </w:r>
      <w:r w:rsidR="008167F0" w:rsidRPr="00233992">
        <w:rPr>
          <w:rFonts w:eastAsiaTheme="minorHAnsi"/>
          <w:sz w:val="22"/>
          <w:szCs w:val="22"/>
          <w:lang w:eastAsia="en-US"/>
        </w:rPr>
        <w:t>1</w:t>
      </w:r>
      <w:r w:rsidR="00E975A2" w:rsidRPr="00233992">
        <w:rPr>
          <w:rFonts w:eastAsiaTheme="minorHAnsi"/>
          <w:sz w:val="22"/>
          <w:szCs w:val="22"/>
          <w:lang w:eastAsia="en-US"/>
        </w:rPr>
        <w:t>% level</w:t>
      </w:r>
      <w:r w:rsidR="002E2C0C" w:rsidRPr="00233992">
        <w:rPr>
          <w:rFonts w:eastAsiaTheme="minorHAnsi"/>
          <w:sz w:val="22"/>
          <w:szCs w:val="22"/>
          <w:lang w:eastAsia="en-US"/>
        </w:rPr>
        <w:t xml:space="preserve">. </w:t>
      </w:r>
      <w:r w:rsidRPr="00DD57FA">
        <w:rPr>
          <w:rFonts w:eastAsiaTheme="minorHAnsi"/>
          <w:sz w:val="22"/>
          <w:szCs w:val="22"/>
          <w:lang w:eastAsia="en-US"/>
        </w:rPr>
        <w:t>These</w:t>
      </w:r>
      <w:r w:rsidRPr="00233992">
        <w:rPr>
          <w:rFonts w:eastAsiaTheme="minorHAnsi"/>
          <w:sz w:val="22"/>
          <w:szCs w:val="22"/>
          <w:lang w:eastAsia="en-US"/>
        </w:rPr>
        <w:t xml:space="preserve"> results </w:t>
      </w:r>
      <w:r w:rsidR="008167F0" w:rsidRPr="00233992">
        <w:rPr>
          <w:rFonts w:eastAsiaTheme="minorHAnsi"/>
          <w:sz w:val="22"/>
          <w:szCs w:val="22"/>
          <w:lang w:eastAsia="en-US"/>
        </w:rPr>
        <w:t xml:space="preserve">support </w:t>
      </w:r>
      <w:r w:rsidRPr="00233992">
        <w:rPr>
          <w:rFonts w:eastAsiaTheme="minorHAnsi"/>
          <w:sz w:val="22"/>
          <w:szCs w:val="22"/>
          <w:lang w:eastAsia="en-US"/>
        </w:rPr>
        <w:t xml:space="preserve">our prediction that </w:t>
      </w:r>
      <w:r w:rsidR="00823F1F" w:rsidRPr="00233992">
        <w:rPr>
          <w:rFonts w:eastAsiaTheme="minorHAnsi"/>
          <w:sz w:val="22"/>
          <w:szCs w:val="22"/>
          <w:lang w:eastAsia="en-US"/>
        </w:rPr>
        <w:t xml:space="preserve">the </w:t>
      </w:r>
      <w:r w:rsidR="00AF6FF4" w:rsidRPr="00233992">
        <w:rPr>
          <w:rFonts w:eastAsiaTheme="minorHAnsi"/>
          <w:sz w:val="22"/>
          <w:szCs w:val="22"/>
          <w:lang w:eastAsia="en-US"/>
        </w:rPr>
        <w:t>impact</w:t>
      </w:r>
      <w:r w:rsidR="00116520" w:rsidRPr="00233992">
        <w:rPr>
          <w:rFonts w:eastAsiaTheme="minorHAnsi"/>
          <w:sz w:val="22"/>
          <w:szCs w:val="22"/>
          <w:lang w:eastAsia="en-US"/>
        </w:rPr>
        <w:t xml:space="preserve"> </w:t>
      </w:r>
      <w:r w:rsidR="00AF6FF4" w:rsidRPr="00233992">
        <w:rPr>
          <w:rFonts w:eastAsiaTheme="minorHAnsi"/>
          <w:sz w:val="22"/>
          <w:szCs w:val="22"/>
          <w:lang w:eastAsia="en-US"/>
        </w:rPr>
        <w:t xml:space="preserve">of </w:t>
      </w:r>
      <w:r w:rsidR="00F95B8E" w:rsidRPr="00233992">
        <w:rPr>
          <w:rFonts w:eastAsiaTheme="minorHAnsi"/>
          <w:sz w:val="22"/>
          <w:szCs w:val="22"/>
          <w:lang w:eastAsia="en-US"/>
        </w:rPr>
        <w:t xml:space="preserve">restrictions on access to capital </w:t>
      </w:r>
      <w:r w:rsidR="00AF6FF4" w:rsidRPr="00233992">
        <w:rPr>
          <w:rFonts w:eastAsiaTheme="minorHAnsi"/>
          <w:sz w:val="22"/>
          <w:szCs w:val="22"/>
          <w:lang w:eastAsia="en-US"/>
        </w:rPr>
        <w:t xml:space="preserve">imposed by CFIUS </w:t>
      </w:r>
      <w:r w:rsidR="008167F0" w:rsidRPr="00233992">
        <w:rPr>
          <w:rFonts w:eastAsiaTheme="minorHAnsi"/>
          <w:sz w:val="22"/>
          <w:szCs w:val="22"/>
          <w:lang w:eastAsia="en-US"/>
        </w:rPr>
        <w:t>depend</w:t>
      </w:r>
      <w:r w:rsidR="00823F1F" w:rsidRPr="00233992">
        <w:rPr>
          <w:rFonts w:eastAsiaTheme="minorHAnsi"/>
          <w:sz w:val="22"/>
          <w:szCs w:val="22"/>
          <w:lang w:eastAsia="en-US"/>
        </w:rPr>
        <w:t>s</w:t>
      </w:r>
      <w:r w:rsidR="008167F0" w:rsidRPr="00233992">
        <w:rPr>
          <w:rFonts w:eastAsiaTheme="minorHAnsi"/>
          <w:sz w:val="22"/>
          <w:szCs w:val="22"/>
          <w:lang w:eastAsia="en-US"/>
        </w:rPr>
        <w:t xml:space="preserve"> o</w:t>
      </w:r>
      <w:r w:rsidR="00823F1F" w:rsidRPr="00233992">
        <w:rPr>
          <w:rFonts w:eastAsiaTheme="minorHAnsi"/>
          <w:sz w:val="22"/>
          <w:szCs w:val="22"/>
          <w:lang w:eastAsia="en-US"/>
        </w:rPr>
        <w:t>n</w:t>
      </w:r>
      <w:r w:rsidR="008167F0" w:rsidRPr="00233992">
        <w:rPr>
          <w:rFonts w:eastAsiaTheme="minorHAnsi"/>
          <w:sz w:val="22"/>
          <w:szCs w:val="22"/>
          <w:lang w:eastAsia="en-US"/>
        </w:rPr>
        <w:t xml:space="preserve"> firms’ financial position</w:t>
      </w:r>
      <w:r w:rsidRPr="00233992">
        <w:rPr>
          <w:rFonts w:eastAsiaTheme="minorHAnsi"/>
          <w:sz w:val="22"/>
          <w:szCs w:val="22"/>
          <w:lang w:eastAsia="en-US"/>
        </w:rPr>
        <w:t>.</w:t>
      </w:r>
      <w:r w:rsidR="00517A6C" w:rsidRPr="00233992">
        <w:rPr>
          <w:rFonts w:eastAsiaTheme="minorHAnsi"/>
          <w:sz w:val="22"/>
          <w:szCs w:val="22"/>
          <w:lang w:eastAsia="en-US"/>
        </w:rPr>
        <w:t xml:space="preserve"> </w:t>
      </w:r>
      <w:r w:rsidR="00867989" w:rsidRPr="00233992">
        <w:rPr>
          <w:rFonts w:eastAsiaTheme="minorHAnsi"/>
          <w:sz w:val="22"/>
          <w:szCs w:val="22"/>
          <w:lang w:eastAsia="en-US"/>
        </w:rPr>
        <w:t>T</w:t>
      </w:r>
      <w:r w:rsidR="00376427" w:rsidRPr="00233992">
        <w:rPr>
          <w:rFonts w:eastAsiaTheme="minorHAnsi"/>
          <w:sz w:val="22"/>
          <w:szCs w:val="22"/>
          <w:lang w:eastAsia="en-US"/>
        </w:rPr>
        <w:t>hese</w:t>
      </w:r>
      <w:r w:rsidR="001C35E9" w:rsidRPr="00233992">
        <w:rPr>
          <w:rFonts w:eastAsiaTheme="minorHAnsi"/>
          <w:sz w:val="22"/>
          <w:szCs w:val="22"/>
          <w:lang w:eastAsia="en-US"/>
        </w:rPr>
        <w:t xml:space="preserve"> findings a</w:t>
      </w:r>
      <w:r w:rsidR="00116520" w:rsidRPr="00233992">
        <w:rPr>
          <w:rFonts w:eastAsiaTheme="minorHAnsi"/>
          <w:sz w:val="22"/>
          <w:szCs w:val="22"/>
          <w:lang w:eastAsia="en-US"/>
        </w:rPr>
        <w:t>lso a</w:t>
      </w:r>
      <w:r w:rsidR="001C35E9" w:rsidRPr="00233992">
        <w:rPr>
          <w:rFonts w:eastAsiaTheme="minorHAnsi"/>
          <w:sz w:val="22"/>
          <w:szCs w:val="22"/>
          <w:lang w:eastAsia="en-US"/>
        </w:rPr>
        <w:t>llow</w:t>
      </w:r>
      <w:r w:rsidR="00376427" w:rsidRPr="00233992">
        <w:rPr>
          <w:rFonts w:eastAsiaTheme="minorHAnsi"/>
          <w:sz w:val="22"/>
          <w:szCs w:val="22"/>
          <w:lang w:eastAsia="en-US"/>
        </w:rPr>
        <w:t xml:space="preserve"> us</w:t>
      </w:r>
      <w:r w:rsidR="001C35E9" w:rsidRPr="00233992">
        <w:rPr>
          <w:rFonts w:eastAsiaTheme="minorHAnsi"/>
          <w:sz w:val="22"/>
          <w:szCs w:val="22"/>
          <w:lang w:eastAsia="en-US"/>
        </w:rPr>
        <w:t xml:space="preserve"> to rule out alternative explanations</w:t>
      </w:r>
      <w:r w:rsidR="00867989" w:rsidRPr="00233992">
        <w:rPr>
          <w:rFonts w:eastAsiaTheme="minorHAnsi"/>
          <w:sz w:val="22"/>
          <w:szCs w:val="22"/>
          <w:lang w:eastAsia="en-US"/>
        </w:rPr>
        <w:t>,</w:t>
      </w:r>
      <w:r w:rsidR="001C35E9" w:rsidRPr="00233992">
        <w:rPr>
          <w:rFonts w:eastAsiaTheme="minorHAnsi"/>
          <w:sz w:val="22"/>
          <w:szCs w:val="22"/>
          <w:lang w:eastAsia="en-US"/>
        </w:rPr>
        <w:t xml:space="preserve"> such as financial distress</w:t>
      </w:r>
      <w:r w:rsidR="00750D7B" w:rsidRPr="00233992">
        <w:rPr>
          <w:rFonts w:eastAsiaTheme="minorHAnsi"/>
          <w:sz w:val="22"/>
          <w:szCs w:val="22"/>
          <w:lang w:eastAsia="en-US"/>
        </w:rPr>
        <w:t>es</w:t>
      </w:r>
      <w:r w:rsidR="001C35E9" w:rsidRPr="00233992">
        <w:rPr>
          <w:rFonts w:eastAsiaTheme="minorHAnsi"/>
          <w:sz w:val="22"/>
          <w:szCs w:val="22"/>
          <w:lang w:eastAsia="en-US"/>
        </w:rPr>
        <w:t xml:space="preserve"> of the overall industry, generalized </w:t>
      </w:r>
      <w:r w:rsidR="003A1FEE" w:rsidRPr="00233992">
        <w:rPr>
          <w:rFonts w:eastAsiaTheme="minorHAnsi"/>
          <w:sz w:val="22"/>
          <w:szCs w:val="22"/>
          <w:lang w:eastAsia="en-US"/>
        </w:rPr>
        <w:t>reduction</w:t>
      </w:r>
      <w:r w:rsidR="00750D7B" w:rsidRPr="00233992">
        <w:rPr>
          <w:rFonts w:eastAsiaTheme="minorHAnsi"/>
          <w:sz w:val="22"/>
          <w:szCs w:val="22"/>
          <w:lang w:eastAsia="en-US"/>
        </w:rPr>
        <w:t>s</w:t>
      </w:r>
      <w:r w:rsidR="003A1FEE" w:rsidRPr="00233992">
        <w:rPr>
          <w:rFonts w:eastAsiaTheme="minorHAnsi"/>
          <w:sz w:val="22"/>
          <w:szCs w:val="22"/>
          <w:lang w:eastAsia="en-US"/>
        </w:rPr>
        <w:t xml:space="preserve"> </w:t>
      </w:r>
      <w:r w:rsidR="00AF6FF4" w:rsidRPr="00233992">
        <w:rPr>
          <w:rFonts w:eastAsiaTheme="minorHAnsi"/>
          <w:sz w:val="22"/>
          <w:szCs w:val="22"/>
          <w:lang w:eastAsia="en-US"/>
        </w:rPr>
        <w:t>in</w:t>
      </w:r>
      <w:r w:rsidR="003A1FEE" w:rsidRPr="00233992">
        <w:rPr>
          <w:rFonts w:eastAsiaTheme="minorHAnsi"/>
          <w:sz w:val="22"/>
          <w:szCs w:val="22"/>
          <w:lang w:eastAsia="en-US"/>
        </w:rPr>
        <w:t xml:space="preserve"> investment opportunit</w:t>
      </w:r>
      <w:r w:rsidR="00867989" w:rsidRPr="00233992">
        <w:rPr>
          <w:rFonts w:eastAsiaTheme="minorHAnsi"/>
          <w:sz w:val="22"/>
          <w:szCs w:val="22"/>
          <w:lang w:eastAsia="en-US"/>
        </w:rPr>
        <w:t>ies</w:t>
      </w:r>
      <w:r w:rsidR="00F61F9A" w:rsidRPr="00233992">
        <w:rPr>
          <w:rFonts w:eastAsiaTheme="minorHAnsi"/>
          <w:sz w:val="22"/>
          <w:szCs w:val="22"/>
          <w:lang w:eastAsia="en-US"/>
        </w:rPr>
        <w:t>, or higher industry entry</w:t>
      </w:r>
      <w:r w:rsidR="00867989" w:rsidRPr="00233992">
        <w:rPr>
          <w:rFonts w:eastAsiaTheme="minorHAnsi"/>
          <w:sz w:val="22"/>
          <w:szCs w:val="22"/>
          <w:lang w:eastAsia="en-US"/>
        </w:rPr>
        <w:t xml:space="preserve"> </w:t>
      </w:r>
      <w:r w:rsidR="00F61F9A" w:rsidRPr="00233992">
        <w:rPr>
          <w:rFonts w:eastAsiaTheme="minorHAnsi"/>
          <w:sz w:val="22"/>
          <w:szCs w:val="22"/>
          <w:lang w:eastAsia="en-US"/>
        </w:rPr>
        <w:t>barriers</w:t>
      </w:r>
      <w:r w:rsidR="0064118A" w:rsidRPr="00233992">
        <w:rPr>
          <w:rFonts w:eastAsiaTheme="minorHAnsi"/>
          <w:sz w:val="22"/>
          <w:szCs w:val="22"/>
          <w:lang w:eastAsia="en-US"/>
        </w:rPr>
        <w:t>.</w:t>
      </w:r>
      <w:r w:rsidR="00464A36" w:rsidRPr="00233992">
        <w:rPr>
          <w:rStyle w:val="Appelnotedebasdep"/>
          <w:rFonts w:eastAsiaTheme="minorHAnsi"/>
          <w:color w:val="000000" w:themeColor="text1"/>
          <w:sz w:val="22"/>
          <w:szCs w:val="22"/>
          <w:lang w:eastAsia="en-US"/>
        </w:rPr>
        <w:footnoteReference w:id="17"/>
      </w:r>
    </w:p>
    <w:p w14:paraId="549E0AE3" w14:textId="77777777" w:rsidR="00245A4A" w:rsidRPr="00233992" w:rsidRDefault="00245A4A" w:rsidP="00233992">
      <w:pPr>
        <w:spacing w:line="480" w:lineRule="auto"/>
        <w:jc w:val="both"/>
        <w:rPr>
          <w:sz w:val="22"/>
          <w:szCs w:val="22"/>
        </w:rPr>
      </w:pPr>
    </w:p>
    <w:p w14:paraId="113136F3" w14:textId="57E3EB73" w:rsidR="00245A4A" w:rsidRPr="00233992" w:rsidRDefault="002F5E3C" w:rsidP="00233992">
      <w:pPr>
        <w:pStyle w:val="Paragraphedeliste"/>
        <w:numPr>
          <w:ilvl w:val="0"/>
          <w:numId w:val="5"/>
        </w:numPr>
        <w:spacing w:line="480" w:lineRule="auto"/>
        <w:jc w:val="both"/>
        <w:rPr>
          <w:rFonts w:eastAsiaTheme="minorHAnsi"/>
          <w:b/>
          <w:sz w:val="22"/>
          <w:szCs w:val="22"/>
          <w:lang w:eastAsia="en-US"/>
        </w:rPr>
      </w:pPr>
      <w:r>
        <w:rPr>
          <w:rFonts w:eastAsiaTheme="minorHAnsi"/>
          <w:b/>
          <w:sz w:val="22"/>
          <w:szCs w:val="22"/>
          <w:lang w:eastAsia="en-US"/>
        </w:rPr>
        <w:t>Additional a</w:t>
      </w:r>
      <w:r w:rsidR="00F95B8E" w:rsidRPr="00233992">
        <w:rPr>
          <w:rFonts w:eastAsiaTheme="minorHAnsi"/>
          <w:b/>
          <w:sz w:val="22"/>
          <w:szCs w:val="22"/>
          <w:lang w:eastAsia="en-US"/>
        </w:rPr>
        <w:t>nalyses</w:t>
      </w:r>
    </w:p>
    <w:p w14:paraId="0A43C73A" w14:textId="5F12E649" w:rsidR="00F256A8" w:rsidRPr="00233992" w:rsidRDefault="00B1350A"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5740B4" w:rsidRPr="00233992">
        <w:rPr>
          <w:rFonts w:eastAsiaTheme="minorHAnsi"/>
          <w:color w:val="000000" w:themeColor="text1"/>
          <w:sz w:val="22"/>
          <w:szCs w:val="22"/>
          <w:lang w:eastAsia="en-US"/>
        </w:rPr>
        <w:t xml:space="preserve">First, </w:t>
      </w:r>
      <w:r w:rsidR="00E851CE" w:rsidRPr="00233992">
        <w:rPr>
          <w:rFonts w:eastAsiaTheme="minorHAnsi"/>
          <w:color w:val="000000" w:themeColor="text1"/>
          <w:sz w:val="22"/>
          <w:szCs w:val="22"/>
          <w:lang w:eastAsia="en-US"/>
        </w:rPr>
        <w:t>we</w:t>
      </w:r>
      <w:r w:rsidR="005740B4" w:rsidRPr="00233992">
        <w:rPr>
          <w:rFonts w:eastAsiaTheme="minorHAnsi"/>
          <w:color w:val="000000" w:themeColor="text1"/>
          <w:sz w:val="22"/>
          <w:szCs w:val="22"/>
          <w:lang w:eastAsia="en-US"/>
        </w:rPr>
        <w:t xml:space="preserve"> </w:t>
      </w:r>
      <w:r w:rsidR="00867989" w:rsidRPr="00233992">
        <w:rPr>
          <w:rFonts w:eastAsiaTheme="minorHAnsi"/>
          <w:color w:val="000000" w:themeColor="text1"/>
          <w:sz w:val="22"/>
          <w:szCs w:val="22"/>
          <w:lang w:eastAsia="en-US"/>
        </w:rPr>
        <w:t xml:space="preserve">delve into </w:t>
      </w:r>
      <w:r w:rsidR="00F56846" w:rsidRPr="00233992">
        <w:rPr>
          <w:rFonts w:eastAsiaTheme="minorHAnsi"/>
          <w:color w:val="000000" w:themeColor="text1"/>
          <w:sz w:val="22"/>
          <w:szCs w:val="22"/>
          <w:lang w:eastAsia="en-US"/>
        </w:rPr>
        <w:t>foreign investments</w:t>
      </w:r>
      <w:r w:rsidR="00F256A8" w:rsidRPr="00233992">
        <w:rPr>
          <w:rFonts w:eastAsiaTheme="minorHAnsi"/>
          <w:color w:val="000000" w:themeColor="text1"/>
          <w:sz w:val="22"/>
          <w:szCs w:val="22"/>
          <w:lang w:eastAsia="en-US"/>
        </w:rPr>
        <w:t xml:space="preserve">. </w:t>
      </w:r>
      <w:r w:rsidR="000C520A" w:rsidRPr="00233992">
        <w:rPr>
          <w:rFonts w:eastAsiaTheme="minorHAnsi"/>
          <w:color w:val="000000" w:themeColor="text1"/>
          <w:sz w:val="22"/>
          <w:szCs w:val="22"/>
          <w:lang w:eastAsia="en-US"/>
        </w:rPr>
        <w:t>W</w:t>
      </w:r>
      <w:r w:rsidR="00F256A8" w:rsidRPr="00233992">
        <w:rPr>
          <w:rFonts w:eastAsiaTheme="minorHAnsi"/>
          <w:color w:val="000000" w:themeColor="text1"/>
          <w:sz w:val="22"/>
          <w:szCs w:val="22"/>
          <w:lang w:eastAsia="en-US"/>
        </w:rPr>
        <w:t xml:space="preserve">e </w:t>
      </w:r>
      <w:r w:rsidR="00F56846" w:rsidRPr="00233992">
        <w:rPr>
          <w:rFonts w:eastAsiaTheme="minorHAnsi"/>
          <w:color w:val="000000" w:themeColor="text1"/>
          <w:sz w:val="22"/>
          <w:szCs w:val="22"/>
          <w:lang w:eastAsia="en-US"/>
        </w:rPr>
        <w:t>collect data on inward foreign investments from the Bureau of Economic Analysis</w:t>
      </w:r>
      <w:r w:rsidR="002E1C21" w:rsidRPr="00233992">
        <w:rPr>
          <w:rFonts w:eastAsiaTheme="minorHAnsi"/>
          <w:color w:val="000000" w:themeColor="text1"/>
          <w:sz w:val="22"/>
          <w:szCs w:val="22"/>
          <w:lang w:eastAsia="en-US"/>
        </w:rPr>
        <w:t xml:space="preserve"> (BEA)</w:t>
      </w:r>
      <w:r w:rsidR="00F56846" w:rsidRPr="00233992">
        <w:rPr>
          <w:rFonts w:eastAsiaTheme="minorHAnsi"/>
          <w:color w:val="000000" w:themeColor="text1"/>
          <w:sz w:val="22"/>
          <w:szCs w:val="22"/>
          <w:lang w:eastAsia="en-US"/>
        </w:rPr>
        <w:t xml:space="preserve">. Data </w:t>
      </w:r>
      <w:r w:rsidR="00071B63" w:rsidRPr="00233992">
        <w:rPr>
          <w:rFonts w:eastAsiaTheme="minorHAnsi"/>
          <w:color w:val="000000" w:themeColor="text1"/>
          <w:sz w:val="22"/>
          <w:szCs w:val="22"/>
          <w:lang w:eastAsia="en-US"/>
        </w:rPr>
        <w:t xml:space="preserve">are </w:t>
      </w:r>
      <w:r w:rsidR="00F56846" w:rsidRPr="00233992">
        <w:rPr>
          <w:rFonts w:eastAsiaTheme="minorHAnsi"/>
          <w:color w:val="000000" w:themeColor="text1"/>
          <w:sz w:val="22"/>
          <w:szCs w:val="22"/>
          <w:lang w:eastAsia="en-US"/>
        </w:rPr>
        <w:t>available</w:t>
      </w:r>
      <w:r w:rsidR="002E1C21" w:rsidRPr="00233992">
        <w:rPr>
          <w:rFonts w:eastAsiaTheme="minorHAnsi"/>
          <w:color w:val="000000" w:themeColor="text1"/>
          <w:sz w:val="22"/>
          <w:szCs w:val="22"/>
          <w:lang w:eastAsia="en-US"/>
        </w:rPr>
        <w:t xml:space="preserve"> only</w:t>
      </w:r>
      <w:r w:rsidR="00F56846" w:rsidRPr="00233992">
        <w:rPr>
          <w:rFonts w:eastAsiaTheme="minorHAnsi"/>
          <w:color w:val="000000" w:themeColor="text1"/>
          <w:sz w:val="22"/>
          <w:szCs w:val="22"/>
          <w:lang w:eastAsia="en-US"/>
        </w:rPr>
        <w:t xml:space="preserve"> at industry level, so we rely on the </w:t>
      </w:r>
      <w:r w:rsidR="00A20774" w:rsidRPr="00233992">
        <w:rPr>
          <w:rFonts w:eastAsiaTheme="minorHAnsi"/>
          <w:color w:val="000000" w:themeColor="text1"/>
          <w:sz w:val="22"/>
          <w:szCs w:val="22"/>
          <w:lang w:eastAsia="en-US"/>
        </w:rPr>
        <w:t>NAICS</w:t>
      </w:r>
      <w:r w:rsidR="00F56846" w:rsidRPr="00233992">
        <w:rPr>
          <w:rFonts w:eastAsiaTheme="minorHAnsi"/>
          <w:color w:val="000000" w:themeColor="text1"/>
          <w:sz w:val="22"/>
          <w:szCs w:val="22"/>
          <w:lang w:eastAsia="en-US"/>
        </w:rPr>
        <w:t xml:space="preserve"> </w:t>
      </w:r>
      <w:r w:rsidR="00867989" w:rsidRPr="00233992">
        <w:rPr>
          <w:rFonts w:eastAsiaTheme="minorHAnsi"/>
          <w:color w:val="000000" w:themeColor="text1"/>
          <w:sz w:val="22"/>
          <w:szCs w:val="22"/>
          <w:lang w:eastAsia="en-US"/>
        </w:rPr>
        <w:t>four</w:t>
      </w:r>
      <w:r w:rsidR="00F56846" w:rsidRPr="00233992">
        <w:rPr>
          <w:rFonts w:eastAsiaTheme="minorHAnsi"/>
          <w:color w:val="000000" w:themeColor="text1"/>
          <w:sz w:val="22"/>
          <w:szCs w:val="22"/>
          <w:lang w:eastAsia="en-US"/>
        </w:rPr>
        <w:t xml:space="preserve">-digit code </w:t>
      </w:r>
      <w:r w:rsidR="00071B63" w:rsidRPr="00233992">
        <w:rPr>
          <w:rFonts w:eastAsiaTheme="minorHAnsi"/>
          <w:color w:val="000000" w:themeColor="text1"/>
          <w:sz w:val="22"/>
          <w:szCs w:val="22"/>
          <w:lang w:eastAsia="en-US"/>
        </w:rPr>
        <w:t>classification</w:t>
      </w:r>
      <w:r w:rsidR="00F56846" w:rsidRPr="00233992">
        <w:rPr>
          <w:rFonts w:eastAsiaTheme="minorHAnsi"/>
          <w:color w:val="000000" w:themeColor="text1"/>
          <w:sz w:val="22"/>
          <w:szCs w:val="22"/>
          <w:lang w:eastAsia="en-US"/>
        </w:rPr>
        <w:t>.</w:t>
      </w:r>
      <w:r w:rsidR="007C1F6F" w:rsidRPr="00233992">
        <w:rPr>
          <w:rStyle w:val="Appelnotedebasdep"/>
          <w:sz w:val="22"/>
          <w:szCs w:val="22"/>
        </w:rPr>
        <w:footnoteReference w:id="18"/>
      </w:r>
      <w:r w:rsidR="00F56846" w:rsidRPr="00233992">
        <w:rPr>
          <w:rFonts w:eastAsiaTheme="minorHAnsi"/>
          <w:color w:val="000000" w:themeColor="text1"/>
          <w:sz w:val="22"/>
          <w:szCs w:val="22"/>
          <w:lang w:eastAsia="en-US"/>
        </w:rPr>
        <w:t xml:space="preserve"> </w:t>
      </w:r>
      <w:r w:rsidR="002F5E3C">
        <w:rPr>
          <w:rFonts w:eastAsiaTheme="minorHAnsi"/>
          <w:color w:val="000000" w:themeColor="text1"/>
          <w:sz w:val="22"/>
          <w:szCs w:val="22"/>
          <w:lang w:eastAsia="en-US"/>
        </w:rPr>
        <w:t>W</w:t>
      </w:r>
      <w:r w:rsidR="006D50AF" w:rsidRPr="00233992">
        <w:rPr>
          <w:rFonts w:eastAsiaTheme="minorHAnsi"/>
          <w:color w:val="000000" w:themeColor="text1"/>
          <w:sz w:val="22"/>
          <w:szCs w:val="22"/>
          <w:lang w:eastAsia="en-US"/>
        </w:rPr>
        <w:t xml:space="preserve">e </w:t>
      </w:r>
      <w:r w:rsidR="00B50716" w:rsidRPr="00233992">
        <w:rPr>
          <w:rFonts w:eastAsiaTheme="minorHAnsi"/>
          <w:color w:val="000000" w:themeColor="text1"/>
          <w:sz w:val="22"/>
          <w:szCs w:val="22"/>
          <w:lang w:eastAsia="en-US"/>
        </w:rPr>
        <w:t>predict</w:t>
      </w:r>
      <w:r w:rsidR="006D50AF" w:rsidRPr="00233992">
        <w:rPr>
          <w:rFonts w:eastAsiaTheme="minorHAnsi"/>
          <w:color w:val="000000" w:themeColor="text1"/>
          <w:sz w:val="22"/>
          <w:szCs w:val="22"/>
          <w:lang w:eastAsia="en-US"/>
        </w:rPr>
        <w:t xml:space="preserve"> that </w:t>
      </w:r>
      <w:r w:rsidR="00F56846" w:rsidRPr="00233992">
        <w:rPr>
          <w:rFonts w:eastAsiaTheme="minorHAnsi"/>
          <w:color w:val="000000" w:themeColor="text1"/>
          <w:sz w:val="22"/>
          <w:szCs w:val="22"/>
          <w:lang w:eastAsia="en-US"/>
        </w:rPr>
        <w:t xml:space="preserve">the effects </w:t>
      </w:r>
      <w:r w:rsidR="0028216C" w:rsidRPr="00233992">
        <w:rPr>
          <w:rFonts w:eastAsiaTheme="minorHAnsi"/>
          <w:color w:val="000000" w:themeColor="text1"/>
          <w:sz w:val="22"/>
          <w:szCs w:val="22"/>
          <w:lang w:eastAsia="en-US"/>
        </w:rPr>
        <w:t>we document</w:t>
      </w:r>
      <w:r w:rsidR="00F56846" w:rsidRPr="00233992">
        <w:rPr>
          <w:rFonts w:eastAsiaTheme="minorHAnsi"/>
          <w:color w:val="000000" w:themeColor="text1"/>
          <w:sz w:val="22"/>
          <w:szCs w:val="22"/>
          <w:lang w:eastAsia="en-US"/>
        </w:rPr>
        <w:t xml:space="preserve"> </w:t>
      </w:r>
      <w:r w:rsidR="002E1C21" w:rsidRPr="00233992">
        <w:rPr>
          <w:rFonts w:eastAsiaTheme="minorHAnsi"/>
          <w:color w:val="000000" w:themeColor="text1"/>
          <w:sz w:val="22"/>
          <w:szCs w:val="22"/>
          <w:lang w:eastAsia="en-US"/>
        </w:rPr>
        <w:t xml:space="preserve">depend on </w:t>
      </w:r>
      <w:r w:rsidR="0031161A" w:rsidRPr="00233992">
        <w:rPr>
          <w:rFonts w:eastAsiaTheme="minorHAnsi"/>
          <w:color w:val="000000" w:themeColor="text1"/>
          <w:sz w:val="22"/>
          <w:szCs w:val="22"/>
          <w:lang w:eastAsia="en-US"/>
        </w:rPr>
        <w:t>firms’</w:t>
      </w:r>
      <w:r w:rsidR="002E1C21" w:rsidRPr="00233992">
        <w:rPr>
          <w:rFonts w:eastAsiaTheme="minorHAnsi"/>
          <w:color w:val="000000" w:themeColor="text1"/>
          <w:sz w:val="22"/>
          <w:szCs w:val="22"/>
          <w:lang w:eastAsia="en-US"/>
        </w:rPr>
        <w:t xml:space="preserve"> exposure to foreign investments</w:t>
      </w:r>
      <w:r w:rsidR="00F56846" w:rsidRPr="00233992">
        <w:rPr>
          <w:rFonts w:eastAsiaTheme="minorHAnsi"/>
          <w:color w:val="000000" w:themeColor="text1"/>
          <w:sz w:val="22"/>
          <w:szCs w:val="22"/>
          <w:lang w:eastAsia="en-US"/>
        </w:rPr>
        <w:t>.</w:t>
      </w:r>
      <w:r w:rsidR="00AA47D1" w:rsidRPr="00233992">
        <w:rPr>
          <w:sz w:val="22"/>
          <w:szCs w:val="22"/>
        </w:rPr>
        <w:t xml:space="preserve"> </w:t>
      </w:r>
      <w:r w:rsidR="005740B4" w:rsidRPr="00233992">
        <w:rPr>
          <w:sz w:val="22"/>
          <w:szCs w:val="22"/>
        </w:rPr>
        <w:t xml:space="preserve">Firms </w:t>
      </w:r>
      <w:r w:rsidR="00AA47D1" w:rsidRPr="00233992">
        <w:rPr>
          <w:rFonts w:eastAsiaTheme="minorHAnsi"/>
          <w:color w:val="000000" w:themeColor="text1"/>
          <w:sz w:val="22"/>
          <w:szCs w:val="22"/>
          <w:lang w:eastAsia="en-US"/>
        </w:rPr>
        <w:t xml:space="preserve">belonging to the top and bottom half of the </w:t>
      </w:r>
      <w:r w:rsidR="0031161A" w:rsidRPr="00233992">
        <w:rPr>
          <w:rFonts w:eastAsiaTheme="minorHAnsi"/>
          <w:color w:val="000000" w:themeColor="text1"/>
          <w:sz w:val="22"/>
          <w:szCs w:val="22"/>
          <w:lang w:eastAsia="en-US"/>
        </w:rPr>
        <w:t xml:space="preserve">inward foreign investments </w:t>
      </w:r>
      <w:r w:rsidR="00AA47D1" w:rsidRPr="00233992">
        <w:rPr>
          <w:rFonts w:eastAsiaTheme="minorHAnsi"/>
          <w:color w:val="000000" w:themeColor="text1"/>
          <w:sz w:val="22"/>
          <w:szCs w:val="22"/>
          <w:lang w:eastAsia="en-US"/>
        </w:rPr>
        <w:t xml:space="preserve">distribution </w:t>
      </w:r>
      <w:r w:rsidR="005740B4" w:rsidRPr="00233992">
        <w:rPr>
          <w:rFonts w:eastAsiaTheme="minorHAnsi"/>
          <w:color w:val="000000" w:themeColor="text1"/>
          <w:sz w:val="22"/>
          <w:szCs w:val="22"/>
          <w:lang w:eastAsia="en-US"/>
        </w:rPr>
        <w:t xml:space="preserve">are </w:t>
      </w:r>
      <w:r w:rsidR="00AA47D1" w:rsidRPr="00233992">
        <w:rPr>
          <w:rFonts w:eastAsiaTheme="minorHAnsi"/>
          <w:color w:val="000000" w:themeColor="text1"/>
          <w:sz w:val="22"/>
          <w:szCs w:val="22"/>
          <w:lang w:eastAsia="en-US"/>
        </w:rPr>
        <w:t xml:space="preserve">respectively </w:t>
      </w:r>
      <w:r w:rsidR="005740B4" w:rsidRPr="00233992">
        <w:rPr>
          <w:rFonts w:eastAsiaTheme="minorHAnsi"/>
          <w:color w:val="000000" w:themeColor="text1"/>
          <w:sz w:val="22"/>
          <w:szCs w:val="22"/>
          <w:lang w:eastAsia="en-US"/>
        </w:rPr>
        <w:t xml:space="preserve">assigned </w:t>
      </w:r>
      <w:r w:rsidR="00AA47D1" w:rsidRPr="00233992">
        <w:rPr>
          <w:rFonts w:eastAsiaTheme="minorHAnsi"/>
          <w:color w:val="000000" w:themeColor="text1"/>
          <w:sz w:val="22"/>
          <w:szCs w:val="22"/>
          <w:lang w:eastAsia="en-US"/>
        </w:rPr>
        <w:t xml:space="preserve">to the </w:t>
      </w:r>
      <w:r w:rsidR="00AA47D1" w:rsidRPr="00233992">
        <w:rPr>
          <w:rFonts w:eastAsiaTheme="minorHAnsi"/>
          <w:iCs/>
          <w:color w:val="000000" w:themeColor="text1"/>
          <w:sz w:val="22"/>
          <w:szCs w:val="22"/>
          <w:lang w:eastAsia="en-US"/>
        </w:rPr>
        <w:t>High FDI</w:t>
      </w:r>
      <w:r w:rsidR="00AA47D1" w:rsidRPr="00233992">
        <w:rPr>
          <w:rFonts w:eastAsiaTheme="minorHAnsi"/>
          <w:color w:val="000000" w:themeColor="text1"/>
          <w:sz w:val="22"/>
          <w:szCs w:val="22"/>
          <w:lang w:eastAsia="en-US"/>
        </w:rPr>
        <w:t xml:space="preserve"> and </w:t>
      </w:r>
      <w:r w:rsidR="00AA47D1" w:rsidRPr="00233992">
        <w:rPr>
          <w:rFonts w:eastAsiaTheme="minorHAnsi"/>
          <w:iCs/>
          <w:color w:val="000000" w:themeColor="text1"/>
          <w:sz w:val="22"/>
          <w:szCs w:val="22"/>
          <w:lang w:eastAsia="en-US"/>
        </w:rPr>
        <w:t>Low FDI</w:t>
      </w:r>
      <w:r w:rsidR="00AA47D1" w:rsidRPr="00233992">
        <w:rPr>
          <w:rFonts w:eastAsiaTheme="minorHAnsi"/>
          <w:color w:val="000000" w:themeColor="text1"/>
          <w:sz w:val="22"/>
          <w:szCs w:val="22"/>
          <w:lang w:eastAsia="en-US"/>
        </w:rPr>
        <w:t xml:space="preserve"> </w:t>
      </w:r>
      <w:r w:rsidR="005740B4" w:rsidRPr="00233992">
        <w:rPr>
          <w:rFonts w:eastAsiaTheme="minorHAnsi"/>
          <w:color w:val="000000" w:themeColor="text1"/>
          <w:sz w:val="22"/>
          <w:szCs w:val="22"/>
          <w:lang w:eastAsia="en-US"/>
        </w:rPr>
        <w:t>subsample</w:t>
      </w:r>
      <w:r w:rsidR="00867989" w:rsidRPr="00233992">
        <w:rPr>
          <w:rFonts w:eastAsiaTheme="minorHAnsi"/>
          <w:color w:val="000000" w:themeColor="text1"/>
          <w:sz w:val="22"/>
          <w:szCs w:val="22"/>
          <w:lang w:eastAsia="en-US"/>
        </w:rPr>
        <w:t>s</w:t>
      </w:r>
      <w:r w:rsidR="005740B4" w:rsidRPr="00233992">
        <w:rPr>
          <w:rFonts w:eastAsiaTheme="minorHAnsi"/>
          <w:color w:val="000000" w:themeColor="text1"/>
          <w:sz w:val="22"/>
          <w:szCs w:val="22"/>
          <w:lang w:eastAsia="en-US"/>
        </w:rPr>
        <w:t xml:space="preserve">. We </w:t>
      </w:r>
      <w:r w:rsidR="00D3393A" w:rsidRPr="00233992">
        <w:rPr>
          <w:rFonts w:eastAsiaTheme="minorHAnsi"/>
          <w:color w:val="000000" w:themeColor="text1"/>
          <w:sz w:val="22"/>
          <w:szCs w:val="22"/>
          <w:lang w:eastAsia="en-US"/>
        </w:rPr>
        <w:t>tabulate the</w:t>
      </w:r>
      <w:r w:rsidR="00F256A8" w:rsidRPr="00233992">
        <w:rPr>
          <w:rFonts w:eastAsiaTheme="minorHAnsi"/>
          <w:sz w:val="22"/>
          <w:szCs w:val="22"/>
          <w:lang w:eastAsia="en-US"/>
        </w:rPr>
        <w:t xml:space="preserve"> </w:t>
      </w:r>
      <w:r w:rsidR="00184691" w:rsidRPr="00233992">
        <w:rPr>
          <w:rFonts w:eastAsiaTheme="minorHAnsi"/>
          <w:sz w:val="22"/>
          <w:szCs w:val="22"/>
          <w:lang w:eastAsia="en-US"/>
        </w:rPr>
        <w:t>results</w:t>
      </w:r>
      <w:r w:rsidR="00F256A8" w:rsidRPr="00233992">
        <w:rPr>
          <w:rFonts w:eastAsiaTheme="minorHAnsi"/>
          <w:sz w:val="22"/>
          <w:szCs w:val="22"/>
          <w:lang w:eastAsia="en-US"/>
        </w:rPr>
        <w:t xml:space="preserve"> </w:t>
      </w:r>
      <w:r w:rsidR="005740B4" w:rsidRPr="00233992">
        <w:rPr>
          <w:rFonts w:eastAsiaTheme="minorHAnsi"/>
          <w:sz w:val="22"/>
          <w:szCs w:val="22"/>
          <w:lang w:eastAsia="en-US"/>
        </w:rPr>
        <w:t>in</w:t>
      </w:r>
      <w:r w:rsidR="00F256A8" w:rsidRPr="00233992">
        <w:rPr>
          <w:rFonts w:eastAsiaTheme="minorHAnsi"/>
          <w:sz w:val="22"/>
          <w:szCs w:val="22"/>
          <w:lang w:eastAsia="en-US"/>
        </w:rPr>
        <w:t xml:space="preserve"> Table </w:t>
      </w:r>
      <w:r w:rsidR="00EB3F4A">
        <w:rPr>
          <w:rFonts w:eastAsiaTheme="minorHAnsi"/>
          <w:sz w:val="22"/>
          <w:szCs w:val="22"/>
          <w:lang w:eastAsia="en-US"/>
        </w:rPr>
        <w:t>10</w:t>
      </w:r>
      <w:r w:rsidR="00F256A8" w:rsidRPr="00233992">
        <w:rPr>
          <w:rFonts w:eastAsiaTheme="minorHAnsi"/>
          <w:sz w:val="22"/>
          <w:szCs w:val="22"/>
          <w:lang w:eastAsia="en-US"/>
        </w:rPr>
        <w:t xml:space="preserve">. The coefficient on </w:t>
      </w:r>
      <w:r w:rsidR="00F256A8" w:rsidRPr="00233992">
        <w:rPr>
          <w:rFonts w:eastAsiaTheme="minorHAnsi"/>
          <w:iCs/>
          <w:sz w:val="22"/>
          <w:szCs w:val="22"/>
          <w:lang w:eastAsia="en-US"/>
        </w:rPr>
        <w:t>CFIUS</w:t>
      </w:r>
      <w:r w:rsidR="007C1F6F" w:rsidRPr="00233992">
        <w:rPr>
          <w:rFonts w:eastAsiaTheme="minorHAnsi"/>
          <w:iCs/>
          <w:sz w:val="22"/>
          <w:szCs w:val="22"/>
          <w:lang w:eastAsia="en-US"/>
        </w:rPr>
        <w:t xml:space="preserve"> </w:t>
      </w:r>
      <w:r w:rsidR="007C1F6F" w:rsidRPr="00233992">
        <w:rPr>
          <w:rFonts w:eastAsiaTheme="minorHAnsi"/>
          <w:sz w:val="22"/>
          <w:szCs w:val="22"/>
          <w:lang w:eastAsia="en-US"/>
        </w:rPr>
        <w:t>Block</w:t>
      </w:r>
      <w:r w:rsidR="00F256A8" w:rsidRPr="00233992">
        <w:rPr>
          <w:rFonts w:eastAsiaTheme="minorHAnsi"/>
          <w:iCs/>
          <w:sz w:val="22"/>
          <w:szCs w:val="22"/>
          <w:lang w:eastAsia="en-US"/>
        </w:rPr>
        <w:t xml:space="preserve"> </w:t>
      </w:r>
      <w:r w:rsidR="002F5E3C">
        <w:rPr>
          <w:rFonts w:eastAsiaTheme="minorHAnsi"/>
          <w:sz w:val="22"/>
          <w:szCs w:val="22"/>
          <w:lang w:eastAsia="en-US"/>
        </w:rPr>
        <w:t>is</w:t>
      </w:r>
      <w:r w:rsidR="00184691" w:rsidRPr="00233992">
        <w:rPr>
          <w:rFonts w:eastAsiaTheme="minorHAnsi"/>
          <w:sz w:val="22"/>
          <w:szCs w:val="22"/>
          <w:lang w:eastAsia="en-US"/>
        </w:rPr>
        <w:t xml:space="preserve"> </w:t>
      </w:r>
      <w:r w:rsidR="00F256A8" w:rsidRPr="00233992">
        <w:rPr>
          <w:rFonts w:eastAsiaTheme="minorHAnsi"/>
          <w:sz w:val="22"/>
          <w:szCs w:val="22"/>
          <w:lang w:eastAsia="en-US"/>
        </w:rPr>
        <w:t xml:space="preserve">negative and statistically significant </w:t>
      </w:r>
      <w:r w:rsidR="007C1F6F" w:rsidRPr="00233992">
        <w:rPr>
          <w:rFonts w:eastAsiaTheme="minorHAnsi"/>
          <w:sz w:val="22"/>
          <w:szCs w:val="22"/>
          <w:lang w:eastAsia="en-US"/>
        </w:rPr>
        <w:t xml:space="preserve">only </w:t>
      </w:r>
      <w:r w:rsidR="00F256A8" w:rsidRPr="00233992">
        <w:rPr>
          <w:rFonts w:eastAsiaTheme="minorHAnsi"/>
          <w:sz w:val="22"/>
          <w:szCs w:val="22"/>
          <w:lang w:eastAsia="en-US"/>
        </w:rPr>
        <w:t xml:space="preserve">in </w:t>
      </w:r>
      <w:r w:rsidR="007C1F6F" w:rsidRPr="00233992">
        <w:rPr>
          <w:rFonts w:eastAsiaTheme="minorHAnsi"/>
          <w:sz w:val="22"/>
          <w:szCs w:val="22"/>
          <w:lang w:eastAsia="en-US"/>
        </w:rPr>
        <w:t xml:space="preserve">the </w:t>
      </w:r>
      <w:r w:rsidR="007C1F6F" w:rsidRPr="00233992">
        <w:rPr>
          <w:rFonts w:eastAsiaTheme="minorHAnsi"/>
          <w:iCs/>
          <w:sz w:val="22"/>
          <w:szCs w:val="22"/>
          <w:lang w:eastAsia="en-US"/>
        </w:rPr>
        <w:t>High FDI</w:t>
      </w:r>
      <w:r w:rsidR="007C1F6F" w:rsidRPr="00233992">
        <w:rPr>
          <w:rFonts w:eastAsiaTheme="minorHAnsi"/>
          <w:sz w:val="22"/>
          <w:szCs w:val="22"/>
          <w:lang w:eastAsia="en-US"/>
        </w:rPr>
        <w:t xml:space="preserve"> subsample</w:t>
      </w:r>
      <w:r w:rsidR="00EB3F4A">
        <w:rPr>
          <w:rFonts w:eastAsiaTheme="minorHAnsi"/>
          <w:sz w:val="22"/>
          <w:szCs w:val="22"/>
          <w:lang w:eastAsia="en-US"/>
        </w:rPr>
        <w:t xml:space="preserve"> (c</w:t>
      </w:r>
      <w:r w:rsidR="00664043">
        <w:rPr>
          <w:rFonts w:eastAsiaTheme="minorHAnsi"/>
          <w:sz w:val="22"/>
          <w:szCs w:val="22"/>
          <w:lang w:eastAsia="en-US"/>
        </w:rPr>
        <w:t>olumn 2</w:t>
      </w:r>
      <w:r w:rsidR="001B1B2B" w:rsidRPr="00233992">
        <w:rPr>
          <w:rFonts w:eastAsiaTheme="minorHAnsi"/>
          <w:sz w:val="22"/>
          <w:szCs w:val="22"/>
          <w:lang w:eastAsia="en-US"/>
        </w:rPr>
        <w:t>)</w:t>
      </w:r>
      <w:r w:rsidR="00F256A8" w:rsidRPr="00233992">
        <w:rPr>
          <w:rFonts w:eastAsiaTheme="minorHAnsi"/>
          <w:sz w:val="22"/>
          <w:szCs w:val="22"/>
          <w:lang w:eastAsia="en-US"/>
        </w:rPr>
        <w:t xml:space="preserve">, </w:t>
      </w:r>
      <w:r w:rsidR="001B1B2B" w:rsidRPr="00233992">
        <w:rPr>
          <w:rFonts w:eastAsiaTheme="minorHAnsi"/>
          <w:sz w:val="22"/>
          <w:szCs w:val="22"/>
          <w:lang w:eastAsia="en-US"/>
        </w:rPr>
        <w:t xml:space="preserve">thus </w:t>
      </w:r>
      <w:r w:rsidR="001B62B5" w:rsidRPr="00233992">
        <w:rPr>
          <w:rFonts w:eastAsiaTheme="minorHAnsi"/>
          <w:sz w:val="22"/>
          <w:szCs w:val="22"/>
          <w:lang w:eastAsia="en-US"/>
        </w:rPr>
        <w:t xml:space="preserve">confirming </w:t>
      </w:r>
      <w:r w:rsidR="006F71B5" w:rsidRPr="00233992">
        <w:rPr>
          <w:rFonts w:eastAsiaTheme="minorHAnsi"/>
          <w:sz w:val="22"/>
          <w:szCs w:val="22"/>
          <w:lang w:eastAsia="en-US"/>
        </w:rPr>
        <w:t>our prediction</w:t>
      </w:r>
      <w:r w:rsidR="00F256A8" w:rsidRPr="00233992">
        <w:rPr>
          <w:rFonts w:eastAsiaTheme="minorHAnsi"/>
          <w:sz w:val="22"/>
          <w:szCs w:val="22"/>
          <w:lang w:eastAsia="en-US"/>
        </w:rPr>
        <w:t>.</w:t>
      </w:r>
      <w:r w:rsidR="0028216C" w:rsidRPr="00233992">
        <w:rPr>
          <w:rFonts w:eastAsiaTheme="minorHAnsi"/>
          <w:sz w:val="22"/>
          <w:szCs w:val="22"/>
          <w:lang w:eastAsia="en-US"/>
        </w:rPr>
        <w:t xml:space="preserve"> The t-test of equality between the two coefficients is significant at</w:t>
      </w:r>
      <w:r w:rsidR="00D3393A" w:rsidRPr="00233992">
        <w:rPr>
          <w:rFonts w:eastAsiaTheme="minorHAnsi"/>
          <w:sz w:val="22"/>
          <w:szCs w:val="22"/>
          <w:lang w:eastAsia="en-US"/>
        </w:rPr>
        <w:t xml:space="preserve"> the</w:t>
      </w:r>
      <w:r w:rsidR="0028216C" w:rsidRPr="00233992">
        <w:rPr>
          <w:rFonts w:eastAsiaTheme="minorHAnsi"/>
          <w:sz w:val="22"/>
          <w:szCs w:val="22"/>
          <w:lang w:eastAsia="en-US"/>
        </w:rPr>
        <w:t xml:space="preserve"> 10% level.</w:t>
      </w:r>
      <w:r w:rsidR="00F256A8" w:rsidRPr="00233992">
        <w:rPr>
          <w:rFonts w:eastAsiaTheme="minorHAnsi"/>
          <w:sz w:val="22"/>
          <w:szCs w:val="22"/>
          <w:lang w:eastAsia="en-US"/>
        </w:rPr>
        <w:t xml:space="preserve"> </w:t>
      </w:r>
      <w:r w:rsidR="007C1F6F" w:rsidRPr="00233992">
        <w:rPr>
          <w:rFonts w:eastAsiaTheme="minorHAnsi"/>
          <w:sz w:val="22"/>
          <w:szCs w:val="22"/>
          <w:lang w:eastAsia="en-US"/>
        </w:rPr>
        <w:t>Overall</w:t>
      </w:r>
      <w:r w:rsidR="006F71B5" w:rsidRPr="00233992">
        <w:rPr>
          <w:rFonts w:eastAsiaTheme="minorHAnsi"/>
          <w:sz w:val="22"/>
          <w:szCs w:val="22"/>
          <w:lang w:eastAsia="en-US"/>
        </w:rPr>
        <w:t>,</w:t>
      </w:r>
      <w:r w:rsidR="007C1F6F" w:rsidRPr="00233992">
        <w:rPr>
          <w:rFonts w:eastAsiaTheme="minorHAnsi"/>
          <w:sz w:val="22"/>
          <w:szCs w:val="22"/>
          <w:lang w:eastAsia="en-US"/>
        </w:rPr>
        <w:t xml:space="preserve"> t</w:t>
      </w:r>
      <w:r w:rsidR="00F256A8" w:rsidRPr="00233992">
        <w:rPr>
          <w:rFonts w:eastAsiaTheme="minorHAnsi"/>
          <w:sz w:val="22"/>
          <w:szCs w:val="22"/>
          <w:lang w:eastAsia="en-US"/>
        </w:rPr>
        <w:t xml:space="preserve">hese results </w:t>
      </w:r>
      <w:r w:rsidR="00377641" w:rsidRPr="00233992">
        <w:rPr>
          <w:rFonts w:eastAsiaTheme="minorHAnsi"/>
          <w:sz w:val="22"/>
          <w:szCs w:val="22"/>
          <w:lang w:eastAsia="en-US"/>
        </w:rPr>
        <w:t>suggest that the</w:t>
      </w:r>
      <w:r w:rsidR="00F256A8" w:rsidRPr="00233992">
        <w:rPr>
          <w:rFonts w:eastAsiaTheme="minorHAnsi"/>
          <w:sz w:val="22"/>
          <w:szCs w:val="22"/>
          <w:lang w:eastAsia="en-US"/>
        </w:rPr>
        <w:t xml:space="preserve"> reduction in </w:t>
      </w:r>
      <w:r w:rsidR="00CF3FBC" w:rsidRPr="00233992">
        <w:rPr>
          <w:rFonts w:eastAsiaTheme="minorHAnsi"/>
          <w:sz w:val="22"/>
          <w:szCs w:val="22"/>
          <w:lang w:eastAsia="en-US"/>
        </w:rPr>
        <w:t>corporate investment</w:t>
      </w:r>
      <w:r w:rsidR="008825A5" w:rsidRPr="00233992">
        <w:rPr>
          <w:rFonts w:eastAsiaTheme="minorHAnsi"/>
          <w:sz w:val="22"/>
          <w:szCs w:val="22"/>
          <w:lang w:eastAsia="en-US"/>
        </w:rPr>
        <w:t xml:space="preserve"> </w:t>
      </w:r>
      <w:r w:rsidR="00377641" w:rsidRPr="00233992">
        <w:rPr>
          <w:rFonts w:eastAsiaTheme="minorHAnsi"/>
          <w:sz w:val="22"/>
          <w:szCs w:val="22"/>
          <w:lang w:eastAsia="en-US"/>
        </w:rPr>
        <w:t xml:space="preserve">is more pronounced </w:t>
      </w:r>
      <w:r w:rsidR="002F5E3C" w:rsidRPr="002F5E3C">
        <w:rPr>
          <w:rFonts w:eastAsiaTheme="minorHAnsi"/>
          <w:sz w:val="22"/>
          <w:szCs w:val="22"/>
          <w:lang w:eastAsia="en-US"/>
        </w:rPr>
        <w:t>among industries with high foreign investments</w:t>
      </w:r>
      <w:r w:rsidR="00F256A8" w:rsidRPr="00233992">
        <w:rPr>
          <w:rFonts w:eastAsiaTheme="minorHAnsi"/>
          <w:sz w:val="22"/>
          <w:szCs w:val="22"/>
          <w:lang w:eastAsia="en-US"/>
        </w:rPr>
        <w:t>.</w:t>
      </w:r>
    </w:p>
    <w:p w14:paraId="73E6C05B" w14:textId="2875D0A0" w:rsidR="00377641" w:rsidRPr="00233992" w:rsidRDefault="00377641" w:rsidP="00233992">
      <w:pPr>
        <w:pStyle w:val="Normal2"/>
        <w:jc w:val="center"/>
        <w:rPr>
          <w:sz w:val="22"/>
          <w:szCs w:val="22"/>
          <w:lang w:eastAsia="fr-FR"/>
        </w:rPr>
      </w:pPr>
      <w:r w:rsidRPr="00233992">
        <w:rPr>
          <w:sz w:val="22"/>
          <w:szCs w:val="22"/>
          <w:lang w:eastAsia="fr-FR"/>
        </w:rPr>
        <w:t xml:space="preserve">[Insert Table </w:t>
      </w:r>
      <w:r w:rsidR="00EB3F4A">
        <w:rPr>
          <w:rFonts w:eastAsiaTheme="minorHAnsi"/>
          <w:sz w:val="22"/>
          <w:szCs w:val="22"/>
          <w:lang w:eastAsia="en-US"/>
        </w:rPr>
        <w:t>10</w:t>
      </w:r>
      <w:r w:rsidR="0063001C" w:rsidRPr="00233992">
        <w:rPr>
          <w:sz w:val="22"/>
          <w:szCs w:val="22"/>
          <w:lang w:eastAsia="fr-FR"/>
        </w:rPr>
        <w:t xml:space="preserve"> </w:t>
      </w:r>
      <w:r w:rsidRPr="00233992">
        <w:rPr>
          <w:sz w:val="22"/>
          <w:szCs w:val="22"/>
          <w:lang w:eastAsia="fr-FR"/>
        </w:rPr>
        <w:t>here]</w:t>
      </w:r>
    </w:p>
    <w:p w14:paraId="34296F53" w14:textId="259B800C" w:rsidR="00E851CE" w:rsidRPr="00233992" w:rsidRDefault="00F2598A" w:rsidP="00233992">
      <w:pPr>
        <w:spacing w:line="480" w:lineRule="auto"/>
        <w:jc w:val="both"/>
        <w:rPr>
          <w:sz w:val="22"/>
          <w:szCs w:val="22"/>
        </w:rPr>
      </w:pPr>
      <w:r w:rsidRPr="00233992">
        <w:rPr>
          <w:rFonts w:eastAsiaTheme="minorHAnsi"/>
          <w:color w:val="000000" w:themeColor="text1"/>
          <w:sz w:val="22"/>
          <w:szCs w:val="22"/>
          <w:lang w:eastAsia="en-US"/>
        </w:rPr>
        <w:lastRenderedPageBreak/>
        <w:tab/>
      </w:r>
      <w:r w:rsidR="00D3393A" w:rsidRPr="00233992">
        <w:rPr>
          <w:rFonts w:eastAsiaTheme="minorHAnsi"/>
          <w:sz w:val="22"/>
          <w:szCs w:val="22"/>
          <w:lang w:eastAsia="en-US"/>
        </w:rPr>
        <w:t>Second</w:t>
      </w:r>
      <w:r w:rsidR="00E851CE" w:rsidRPr="00233992">
        <w:rPr>
          <w:rFonts w:eastAsiaTheme="minorHAnsi"/>
          <w:sz w:val="22"/>
          <w:szCs w:val="22"/>
          <w:lang w:eastAsia="en-US"/>
        </w:rPr>
        <w:t xml:space="preserve">, instead of </w:t>
      </w:r>
      <w:r w:rsidR="00E851CE" w:rsidRPr="00233992">
        <w:rPr>
          <w:rFonts w:eastAsiaTheme="minorHAnsi"/>
          <w:iCs/>
          <w:sz w:val="22"/>
          <w:szCs w:val="22"/>
          <w:lang w:eastAsia="en-US"/>
        </w:rPr>
        <w:t>Capex</w:t>
      </w:r>
      <w:r w:rsidR="00E851CE" w:rsidRPr="00233992">
        <w:rPr>
          <w:rFonts w:eastAsiaTheme="minorHAnsi"/>
          <w:sz w:val="22"/>
          <w:szCs w:val="22"/>
          <w:lang w:eastAsia="en-US"/>
        </w:rPr>
        <w:t xml:space="preserve">, in Table </w:t>
      </w:r>
      <w:r w:rsidR="00EB3F4A">
        <w:rPr>
          <w:rFonts w:eastAsiaTheme="minorHAnsi"/>
          <w:sz w:val="22"/>
          <w:szCs w:val="22"/>
          <w:lang w:eastAsia="en-US"/>
        </w:rPr>
        <w:t>11</w:t>
      </w:r>
      <w:r w:rsidR="00867989" w:rsidRPr="00233992">
        <w:rPr>
          <w:rFonts w:eastAsiaTheme="minorHAnsi"/>
          <w:sz w:val="22"/>
          <w:szCs w:val="22"/>
          <w:lang w:eastAsia="en-US"/>
        </w:rPr>
        <w:t>,</w:t>
      </w:r>
      <w:r w:rsidR="00E851CE" w:rsidRPr="00233992">
        <w:rPr>
          <w:rFonts w:eastAsiaTheme="minorHAnsi"/>
          <w:sz w:val="22"/>
          <w:szCs w:val="22"/>
          <w:lang w:eastAsia="en-US"/>
        </w:rPr>
        <w:t xml:space="preserve"> we show our results </w:t>
      </w:r>
      <w:r w:rsidR="00C777EB" w:rsidRPr="00233992">
        <w:rPr>
          <w:rFonts w:eastAsiaTheme="minorHAnsi"/>
          <w:sz w:val="22"/>
          <w:szCs w:val="22"/>
          <w:lang w:eastAsia="en-US"/>
        </w:rPr>
        <w:t>using</w:t>
      </w:r>
      <w:r w:rsidR="00E851CE" w:rsidRPr="00233992">
        <w:rPr>
          <w:rFonts w:eastAsiaTheme="minorHAnsi"/>
          <w:sz w:val="22"/>
          <w:szCs w:val="22"/>
          <w:lang w:eastAsia="en-US"/>
        </w:rPr>
        <w:t xml:space="preserve"> </w:t>
      </w:r>
      <w:r w:rsidR="0052766A" w:rsidRPr="00233992">
        <w:rPr>
          <w:rFonts w:eastAsiaTheme="minorHAnsi"/>
          <w:iCs/>
          <w:sz w:val="22"/>
          <w:szCs w:val="22"/>
          <w:lang w:eastAsia="en-US"/>
        </w:rPr>
        <w:t>Acquisitions</w:t>
      </w:r>
      <w:r w:rsidR="0052766A" w:rsidRPr="00233992">
        <w:rPr>
          <w:rFonts w:eastAsiaTheme="minorHAnsi"/>
          <w:sz w:val="22"/>
          <w:szCs w:val="22"/>
          <w:lang w:eastAsia="en-US"/>
        </w:rPr>
        <w:t>,</w:t>
      </w:r>
      <w:r w:rsidR="0052766A" w:rsidRPr="00233992">
        <w:rPr>
          <w:rFonts w:eastAsiaTheme="minorHAnsi"/>
          <w:iCs/>
          <w:sz w:val="22"/>
          <w:szCs w:val="22"/>
          <w:lang w:eastAsia="en-US"/>
        </w:rPr>
        <w:t xml:space="preserve"> R&amp;D</w:t>
      </w:r>
      <w:r w:rsidR="0052766A" w:rsidRPr="00233992">
        <w:rPr>
          <w:rFonts w:eastAsiaTheme="minorHAnsi"/>
          <w:sz w:val="22"/>
          <w:szCs w:val="22"/>
          <w:lang w:eastAsia="en-US"/>
        </w:rPr>
        <w:t>,</w:t>
      </w:r>
      <w:r w:rsidR="00D3393A" w:rsidRPr="00233992">
        <w:rPr>
          <w:rFonts w:eastAsiaTheme="minorHAnsi"/>
          <w:iCs/>
          <w:sz w:val="22"/>
          <w:szCs w:val="22"/>
          <w:lang w:eastAsia="en-US"/>
        </w:rPr>
        <w:t xml:space="preserve"> </w:t>
      </w:r>
      <w:r w:rsidR="00D3393A" w:rsidRPr="00233992">
        <w:rPr>
          <w:rFonts w:eastAsiaTheme="minorHAnsi"/>
          <w:sz w:val="22"/>
          <w:szCs w:val="22"/>
          <w:lang w:eastAsia="en-US"/>
        </w:rPr>
        <w:t>and</w:t>
      </w:r>
      <w:r w:rsidR="0052766A" w:rsidRPr="00233992">
        <w:rPr>
          <w:rFonts w:eastAsiaTheme="minorHAnsi"/>
          <w:iCs/>
          <w:sz w:val="22"/>
          <w:szCs w:val="22"/>
          <w:lang w:eastAsia="en-US"/>
        </w:rPr>
        <w:t xml:space="preserve"> </w:t>
      </w:r>
      <w:r w:rsidR="00E851CE" w:rsidRPr="00233992">
        <w:rPr>
          <w:rFonts w:eastAsiaTheme="minorHAnsi"/>
          <w:iCs/>
          <w:sz w:val="22"/>
          <w:szCs w:val="22"/>
          <w:lang w:eastAsia="en-US"/>
        </w:rPr>
        <w:t>Investment</w:t>
      </w:r>
      <w:r w:rsidR="00C777EB" w:rsidRPr="00233992">
        <w:rPr>
          <w:rFonts w:eastAsiaTheme="minorHAnsi"/>
          <w:iCs/>
          <w:sz w:val="22"/>
          <w:szCs w:val="22"/>
          <w:lang w:eastAsia="en-US"/>
        </w:rPr>
        <w:t>s</w:t>
      </w:r>
      <w:r w:rsidR="00E851CE" w:rsidRPr="00233992">
        <w:rPr>
          <w:rFonts w:eastAsiaTheme="minorHAnsi"/>
          <w:iCs/>
          <w:sz w:val="22"/>
          <w:szCs w:val="22"/>
          <w:lang w:eastAsia="en-US"/>
        </w:rPr>
        <w:t xml:space="preserve"> </w:t>
      </w:r>
      <w:r w:rsidR="00E851CE" w:rsidRPr="00233992">
        <w:rPr>
          <w:rFonts w:eastAsiaTheme="minorHAnsi"/>
          <w:sz w:val="22"/>
          <w:szCs w:val="22"/>
          <w:lang w:eastAsia="en-US"/>
        </w:rPr>
        <w:t xml:space="preserve">as dependent variables. </w:t>
      </w:r>
      <w:r w:rsidR="00664043">
        <w:rPr>
          <w:rFonts w:eastAsiaTheme="minorHAnsi"/>
          <w:sz w:val="22"/>
          <w:szCs w:val="22"/>
          <w:lang w:eastAsia="en-US"/>
        </w:rPr>
        <w:t>T</w:t>
      </w:r>
      <w:r w:rsidR="00FE55BC" w:rsidRPr="00233992">
        <w:rPr>
          <w:rFonts w:eastAsiaTheme="minorHAnsi"/>
          <w:sz w:val="22"/>
          <w:szCs w:val="22"/>
          <w:lang w:eastAsia="en-US"/>
        </w:rPr>
        <w:t xml:space="preserve">he coefficient on </w:t>
      </w:r>
      <w:r w:rsidR="00FE55BC" w:rsidRPr="00233992">
        <w:rPr>
          <w:rFonts w:eastAsiaTheme="minorHAnsi"/>
          <w:iCs/>
          <w:sz w:val="22"/>
          <w:szCs w:val="22"/>
          <w:lang w:eastAsia="en-US"/>
        </w:rPr>
        <w:t>CFIUS</w:t>
      </w:r>
      <w:r w:rsidR="0052766A" w:rsidRPr="00233992">
        <w:rPr>
          <w:rFonts w:eastAsiaTheme="minorHAnsi"/>
          <w:iCs/>
          <w:sz w:val="22"/>
          <w:szCs w:val="22"/>
          <w:lang w:eastAsia="en-US"/>
        </w:rPr>
        <w:t xml:space="preserve"> Block</w:t>
      </w:r>
      <w:r w:rsidR="00FE55BC" w:rsidRPr="00233992">
        <w:rPr>
          <w:rFonts w:eastAsiaTheme="minorHAnsi"/>
          <w:iCs/>
          <w:sz w:val="22"/>
          <w:szCs w:val="22"/>
          <w:lang w:eastAsia="en-US"/>
        </w:rPr>
        <w:t xml:space="preserve"> </w:t>
      </w:r>
      <w:r w:rsidR="00FE55BC" w:rsidRPr="00233992">
        <w:rPr>
          <w:rFonts w:eastAsiaTheme="minorHAnsi"/>
          <w:sz w:val="22"/>
          <w:szCs w:val="22"/>
          <w:lang w:eastAsia="en-US"/>
        </w:rPr>
        <w:t xml:space="preserve">is negative and statistically significant </w:t>
      </w:r>
      <w:r w:rsidR="00976C3C" w:rsidRPr="00233992">
        <w:rPr>
          <w:rFonts w:eastAsiaTheme="minorHAnsi"/>
          <w:sz w:val="22"/>
          <w:szCs w:val="22"/>
          <w:lang w:eastAsia="en-US"/>
        </w:rPr>
        <w:t>in</w:t>
      </w:r>
      <w:r w:rsidR="0052766A" w:rsidRPr="00233992">
        <w:rPr>
          <w:rFonts w:eastAsiaTheme="minorHAnsi"/>
          <w:sz w:val="22"/>
          <w:szCs w:val="22"/>
          <w:lang w:eastAsia="en-US"/>
        </w:rPr>
        <w:t xml:space="preserve"> the </w:t>
      </w:r>
      <w:r w:rsidR="009867F8" w:rsidRPr="00233992">
        <w:rPr>
          <w:rFonts w:eastAsiaTheme="minorHAnsi"/>
          <w:iCs/>
          <w:sz w:val="22"/>
          <w:szCs w:val="22"/>
          <w:lang w:eastAsia="en-US"/>
        </w:rPr>
        <w:t>R&amp;D</w:t>
      </w:r>
      <w:r w:rsidR="009867F8" w:rsidRPr="00233992" w:rsidDel="009867F8">
        <w:rPr>
          <w:rFonts w:eastAsiaTheme="minorHAnsi"/>
          <w:sz w:val="22"/>
          <w:szCs w:val="22"/>
          <w:lang w:eastAsia="en-US"/>
        </w:rPr>
        <w:t xml:space="preserve"> </w:t>
      </w:r>
      <w:r w:rsidR="00876714" w:rsidRPr="00233992">
        <w:rPr>
          <w:rFonts w:eastAsiaTheme="minorHAnsi"/>
          <w:sz w:val="22"/>
          <w:szCs w:val="22"/>
          <w:lang w:eastAsia="en-US"/>
        </w:rPr>
        <w:t xml:space="preserve">and </w:t>
      </w:r>
      <w:r w:rsidR="009867F8" w:rsidRPr="00233992">
        <w:rPr>
          <w:rFonts w:eastAsiaTheme="minorHAnsi"/>
          <w:iCs/>
          <w:sz w:val="22"/>
          <w:szCs w:val="22"/>
          <w:lang w:eastAsia="en-US"/>
        </w:rPr>
        <w:t>Investments</w:t>
      </w:r>
      <w:r w:rsidR="009867F8" w:rsidRPr="00233992">
        <w:rPr>
          <w:rFonts w:eastAsiaTheme="minorHAnsi"/>
          <w:sz w:val="22"/>
          <w:szCs w:val="22"/>
          <w:lang w:eastAsia="en-US"/>
        </w:rPr>
        <w:t xml:space="preserve"> </w:t>
      </w:r>
      <w:r w:rsidR="0052766A" w:rsidRPr="00233992">
        <w:rPr>
          <w:rFonts w:eastAsiaTheme="minorHAnsi"/>
          <w:sz w:val="22"/>
          <w:szCs w:val="22"/>
          <w:lang w:eastAsia="en-US"/>
        </w:rPr>
        <w:t>model</w:t>
      </w:r>
      <w:r w:rsidR="00867989" w:rsidRPr="00233992">
        <w:rPr>
          <w:rFonts w:eastAsiaTheme="minorHAnsi"/>
          <w:sz w:val="22"/>
          <w:szCs w:val="22"/>
          <w:lang w:eastAsia="en-US"/>
        </w:rPr>
        <w:t>s</w:t>
      </w:r>
      <w:r w:rsidR="0052766A" w:rsidRPr="00233992">
        <w:rPr>
          <w:rFonts w:eastAsiaTheme="minorHAnsi"/>
          <w:sz w:val="22"/>
          <w:szCs w:val="22"/>
          <w:lang w:eastAsia="en-US"/>
        </w:rPr>
        <w:t xml:space="preserve"> (</w:t>
      </w:r>
      <w:r w:rsidR="00EB3F4A">
        <w:rPr>
          <w:rFonts w:eastAsiaTheme="minorHAnsi"/>
          <w:sz w:val="22"/>
          <w:szCs w:val="22"/>
          <w:lang w:eastAsia="en-US"/>
        </w:rPr>
        <w:t>c</w:t>
      </w:r>
      <w:r w:rsidR="00FE55BC" w:rsidRPr="00233992">
        <w:rPr>
          <w:rFonts w:eastAsiaTheme="minorHAnsi"/>
          <w:sz w:val="22"/>
          <w:szCs w:val="22"/>
          <w:lang w:eastAsia="en-US"/>
        </w:rPr>
        <w:t>olumn</w:t>
      </w:r>
      <w:r w:rsidR="00CB1510" w:rsidRPr="00233992">
        <w:rPr>
          <w:rFonts w:eastAsiaTheme="minorHAnsi"/>
          <w:sz w:val="22"/>
          <w:szCs w:val="22"/>
          <w:lang w:eastAsia="en-US"/>
        </w:rPr>
        <w:t>s</w:t>
      </w:r>
      <w:r w:rsidR="00FE55BC" w:rsidRPr="00233992">
        <w:rPr>
          <w:rFonts w:eastAsiaTheme="minorHAnsi"/>
          <w:sz w:val="22"/>
          <w:szCs w:val="22"/>
          <w:lang w:eastAsia="en-US"/>
        </w:rPr>
        <w:t xml:space="preserve"> </w:t>
      </w:r>
      <w:r w:rsidR="00876714" w:rsidRPr="00233992">
        <w:rPr>
          <w:rFonts w:eastAsiaTheme="minorHAnsi"/>
          <w:sz w:val="22"/>
          <w:szCs w:val="22"/>
          <w:lang w:eastAsia="en-US"/>
        </w:rPr>
        <w:t>3</w:t>
      </w:r>
      <w:r w:rsidR="0096148F" w:rsidRPr="00233992">
        <w:rPr>
          <w:sz w:val="22"/>
          <w:szCs w:val="22"/>
        </w:rPr>
        <w:t>–</w:t>
      </w:r>
      <w:r w:rsidR="00876714" w:rsidRPr="00233992">
        <w:rPr>
          <w:rFonts w:eastAsiaTheme="minorHAnsi"/>
          <w:sz w:val="22"/>
          <w:szCs w:val="22"/>
          <w:lang w:eastAsia="en-US"/>
        </w:rPr>
        <w:t>5</w:t>
      </w:r>
      <w:r w:rsidR="0052766A" w:rsidRPr="00233992">
        <w:rPr>
          <w:rFonts w:eastAsiaTheme="minorHAnsi"/>
          <w:sz w:val="22"/>
          <w:szCs w:val="22"/>
          <w:lang w:eastAsia="en-US"/>
        </w:rPr>
        <w:t>)</w:t>
      </w:r>
      <w:r w:rsidR="00FE55BC" w:rsidRPr="00233992">
        <w:rPr>
          <w:rFonts w:eastAsiaTheme="minorHAnsi"/>
          <w:sz w:val="22"/>
          <w:szCs w:val="22"/>
          <w:lang w:eastAsia="en-US"/>
        </w:rPr>
        <w:t xml:space="preserve">. </w:t>
      </w:r>
      <w:r w:rsidR="00876714" w:rsidRPr="00233992">
        <w:rPr>
          <w:rFonts w:eastAsiaTheme="minorHAnsi"/>
          <w:sz w:val="22"/>
          <w:szCs w:val="22"/>
          <w:lang w:eastAsia="en-US"/>
        </w:rPr>
        <w:t xml:space="preserve">Taken together, this evidence </w:t>
      </w:r>
      <w:r w:rsidR="001B62B5" w:rsidRPr="00233992">
        <w:rPr>
          <w:rFonts w:eastAsiaTheme="minorHAnsi"/>
          <w:sz w:val="22"/>
          <w:szCs w:val="22"/>
          <w:lang w:eastAsia="en-US"/>
        </w:rPr>
        <w:t>suggests</w:t>
      </w:r>
      <w:r w:rsidR="00876714" w:rsidRPr="00233992">
        <w:rPr>
          <w:sz w:val="22"/>
          <w:szCs w:val="22"/>
        </w:rPr>
        <w:t xml:space="preserve"> that </w:t>
      </w:r>
      <w:r w:rsidR="00CA6078" w:rsidRPr="00233992">
        <w:rPr>
          <w:sz w:val="22"/>
          <w:szCs w:val="22"/>
        </w:rPr>
        <w:t xml:space="preserve">there is not any </w:t>
      </w:r>
      <w:r w:rsidR="00295F43">
        <w:rPr>
          <w:sz w:val="22"/>
          <w:szCs w:val="22"/>
        </w:rPr>
        <w:t xml:space="preserve">major </w:t>
      </w:r>
      <w:r w:rsidR="00CA6078" w:rsidRPr="00233992">
        <w:rPr>
          <w:sz w:val="22"/>
          <w:szCs w:val="22"/>
        </w:rPr>
        <w:t>shift</w:t>
      </w:r>
      <w:r w:rsidR="00876714" w:rsidRPr="00233992">
        <w:rPr>
          <w:sz w:val="22"/>
          <w:szCs w:val="22"/>
        </w:rPr>
        <w:t xml:space="preserve"> from </w:t>
      </w:r>
      <w:r w:rsidR="002E1C21" w:rsidRPr="00233992">
        <w:rPr>
          <w:sz w:val="22"/>
          <w:szCs w:val="22"/>
        </w:rPr>
        <w:t>capital expenditures</w:t>
      </w:r>
      <w:r w:rsidR="00876714" w:rsidRPr="00233992">
        <w:rPr>
          <w:sz w:val="22"/>
          <w:szCs w:val="22"/>
        </w:rPr>
        <w:t xml:space="preserve"> to other types of investments.</w:t>
      </w:r>
    </w:p>
    <w:p w14:paraId="59B05A09" w14:textId="675D4CE3" w:rsidR="00976C3C" w:rsidRPr="00233992" w:rsidRDefault="00976C3C" w:rsidP="00233992">
      <w:pPr>
        <w:pStyle w:val="Normal2"/>
        <w:jc w:val="center"/>
        <w:rPr>
          <w:sz w:val="22"/>
          <w:szCs w:val="22"/>
          <w:lang w:eastAsia="fr-FR"/>
        </w:rPr>
      </w:pPr>
      <w:r w:rsidRPr="00233992">
        <w:rPr>
          <w:sz w:val="22"/>
          <w:szCs w:val="22"/>
          <w:lang w:eastAsia="fr-FR"/>
        </w:rPr>
        <w:t xml:space="preserve">[Insert Table </w:t>
      </w:r>
      <w:r w:rsidR="00EB3F4A">
        <w:rPr>
          <w:rFonts w:eastAsiaTheme="minorHAnsi"/>
          <w:sz w:val="22"/>
          <w:szCs w:val="22"/>
          <w:lang w:eastAsia="en-US"/>
        </w:rPr>
        <w:t>11</w:t>
      </w:r>
      <w:r w:rsidR="0063001C" w:rsidRPr="00233992">
        <w:rPr>
          <w:sz w:val="22"/>
          <w:szCs w:val="22"/>
          <w:lang w:eastAsia="fr-FR"/>
        </w:rPr>
        <w:t xml:space="preserve"> </w:t>
      </w:r>
      <w:r w:rsidRPr="00233992">
        <w:rPr>
          <w:sz w:val="22"/>
          <w:szCs w:val="22"/>
          <w:lang w:eastAsia="fr-FR"/>
        </w:rPr>
        <w:t>here]</w:t>
      </w:r>
    </w:p>
    <w:p w14:paraId="00B3E2C0" w14:textId="1A5D9E80" w:rsidR="00045BB5" w:rsidRDefault="00AE43E1" w:rsidP="00045BB5">
      <w:pPr>
        <w:spacing w:line="480" w:lineRule="auto"/>
        <w:jc w:val="both"/>
        <w:rPr>
          <w:rFonts w:eastAsiaTheme="minorHAnsi"/>
          <w:iCs/>
          <w:color w:val="000000" w:themeColor="text1"/>
          <w:sz w:val="22"/>
          <w:szCs w:val="22"/>
          <w:lang w:eastAsia="en-US"/>
        </w:rPr>
      </w:pPr>
      <w:r w:rsidRPr="00233992">
        <w:rPr>
          <w:rFonts w:eastAsiaTheme="minorHAnsi"/>
          <w:sz w:val="22"/>
          <w:szCs w:val="22"/>
          <w:lang w:eastAsia="en-US"/>
        </w:rPr>
        <w:tab/>
      </w:r>
      <w:r w:rsidR="000C0A20" w:rsidRPr="00233992">
        <w:rPr>
          <w:rFonts w:eastAsiaTheme="minorHAnsi"/>
          <w:sz w:val="22"/>
          <w:szCs w:val="22"/>
          <w:lang w:eastAsia="en-US"/>
        </w:rPr>
        <w:t xml:space="preserve">Third, </w:t>
      </w:r>
      <w:r w:rsidR="000C0A20" w:rsidRPr="00233992">
        <w:rPr>
          <w:rFonts w:eastAsiaTheme="minorHAnsi"/>
          <w:color w:val="000000" w:themeColor="text1"/>
          <w:sz w:val="22"/>
          <w:szCs w:val="22"/>
          <w:lang w:eastAsia="en-US"/>
        </w:rPr>
        <w:t xml:space="preserve">we replace </w:t>
      </w:r>
      <w:r w:rsidR="000C0A20" w:rsidRPr="00233992">
        <w:rPr>
          <w:rFonts w:eastAsiaTheme="minorHAnsi"/>
          <w:iCs/>
          <w:color w:val="000000" w:themeColor="text1"/>
          <w:sz w:val="22"/>
          <w:szCs w:val="22"/>
          <w:lang w:eastAsia="en-US"/>
        </w:rPr>
        <w:t xml:space="preserve">Capex </w:t>
      </w:r>
      <w:r w:rsidR="000C0A20" w:rsidRPr="00233992">
        <w:rPr>
          <w:rFonts w:eastAsiaTheme="minorHAnsi"/>
          <w:color w:val="000000" w:themeColor="text1"/>
          <w:sz w:val="22"/>
          <w:szCs w:val="22"/>
          <w:lang w:eastAsia="en-US"/>
        </w:rPr>
        <w:t xml:space="preserve">with </w:t>
      </w:r>
      <w:r w:rsidR="00D71337">
        <w:rPr>
          <w:rFonts w:eastAsiaTheme="minorHAnsi"/>
          <w:iCs/>
          <w:sz w:val="22"/>
          <w:szCs w:val="22"/>
          <w:lang w:eastAsia="en-US"/>
        </w:rPr>
        <w:t>takeover activity</w:t>
      </w:r>
      <w:r w:rsidR="000C0A20" w:rsidRPr="00233992">
        <w:rPr>
          <w:rFonts w:eastAsiaTheme="minorHAnsi"/>
          <w:color w:val="000000" w:themeColor="text1"/>
          <w:sz w:val="22"/>
          <w:szCs w:val="22"/>
          <w:lang w:eastAsia="en-US"/>
        </w:rPr>
        <w:t>.</w:t>
      </w:r>
      <w:r w:rsidR="000C0A20" w:rsidRPr="00233992">
        <w:rPr>
          <w:rFonts w:eastAsiaTheme="minorHAnsi"/>
          <w:iCs/>
          <w:color w:val="000000" w:themeColor="text1"/>
          <w:sz w:val="22"/>
          <w:szCs w:val="22"/>
          <w:lang w:eastAsia="en-US"/>
        </w:rPr>
        <w:t xml:space="preserve"> </w:t>
      </w:r>
      <w:r w:rsidR="00045BB5">
        <w:rPr>
          <w:rFonts w:eastAsiaTheme="minorHAnsi"/>
          <w:iCs/>
          <w:color w:val="000000" w:themeColor="text1"/>
          <w:sz w:val="22"/>
          <w:szCs w:val="22"/>
          <w:lang w:eastAsia="en-US"/>
        </w:rPr>
        <w:t xml:space="preserve">We argue that </w:t>
      </w:r>
      <w:r w:rsidR="00045BB5" w:rsidRPr="00233992">
        <w:rPr>
          <w:sz w:val="22"/>
          <w:szCs w:val="22"/>
        </w:rPr>
        <w:t>CFIUS</w:t>
      </w:r>
      <w:r w:rsidR="002F5E3C">
        <w:rPr>
          <w:sz w:val="22"/>
          <w:szCs w:val="22"/>
        </w:rPr>
        <w:t xml:space="preserve"> denials of regulatory approval impose</w:t>
      </w:r>
      <w:r w:rsidR="00045BB5" w:rsidRPr="00233992">
        <w:rPr>
          <w:sz w:val="22"/>
          <w:szCs w:val="22"/>
        </w:rPr>
        <w:t xml:space="preserve"> restrictions on access to capital that deter foreign takeovers of similar firms, reduce equity values, and consequentl</w:t>
      </w:r>
      <w:r w:rsidR="00D71337">
        <w:rPr>
          <w:sz w:val="22"/>
          <w:szCs w:val="22"/>
        </w:rPr>
        <w:t xml:space="preserve">y decrease corporate investment. </w:t>
      </w:r>
      <w:r w:rsidR="00714784">
        <w:rPr>
          <w:rFonts w:eastAsiaTheme="minorHAnsi"/>
          <w:iCs/>
          <w:color w:val="000000" w:themeColor="text1"/>
          <w:sz w:val="22"/>
          <w:szCs w:val="22"/>
          <w:lang w:eastAsia="en-US"/>
        </w:rPr>
        <w:t>T</w:t>
      </w:r>
      <w:r w:rsidR="00295F43">
        <w:rPr>
          <w:rFonts w:eastAsiaTheme="minorHAnsi"/>
          <w:iCs/>
          <w:color w:val="000000" w:themeColor="text1"/>
          <w:sz w:val="22"/>
          <w:szCs w:val="22"/>
          <w:lang w:eastAsia="en-US"/>
        </w:rPr>
        <w:t>he results of Table 2 indicate</w:t>
      </w:r>
      <w:r w:rsidR="00714784">
        <w:rPr>
          <w:rFonts w:eastAsiaTheme="minorHAnsi"/>
          <w:iCs/>
          <w:color w:val="000000" w:themeColor="text1"/>
          <w:sz w:val="22"/>
          <w:szCs w:val="22"/>
          <w:lang w:eastAsia="en-US"/>
        </w:rPr>
        <w:t xml:space="preserve"> that CFIUS interventions are followed by lower equity values and higher cost of capital in affected industries. </w:t>
      </w:r>
      <w:r w:rsidR="00D71337">
        <w:rPr>
          <w:sz w:val="22"/>
          <w:szCs w:val="22"/>
        </w:rPr>
        <w:t>Yet,</w:t>
      </w:r>
      <w:r w:rsidR="00045BB5" w:rsidRPr="00233992">
        <w:rPr>
          <w:sz w:val="22"/>
          <w:szCs w:val="22"/>
        </w:rPr>
        <w:t xml:space="preserve"> it is unclear how big this deterrence effect is and to what extent </w:t>
      </w:r>
      <w:r w:rsidR="00045BB5" w:rsidRPr="00233992">
        <w:rPr>
          <w:color w:val="000000"/>
          <w:sz w:val="22"/>
          <w:szCs w:val="22"/>
        </w:rPr>
        <w:t>domestic capital supply can adequately compensate for the foreign shortfall</w:t>
      </w:r>
      <w:r w:rsidR="00045BB5">
        <w:rPr>
          <w:color w:val="000000"/>
          <w:sz w:val="22"/>
          <w:szCs w:val="22"/>
        </w:rPr>
        <w:t>.</w:t>
      </w:r>
      <w:r w:rsidR="00045BB5">
        <w:rPr>
          <w:rFonts w:eastAsiaTheme="minorHAnsi"/>
          <w:iCs/>
          <w:color w:val="000000" w:themeColor="text1"/>
          <w:sz w:val="22"/>
          <w:szCs w:val="22"/>
          <w:lang w:eastAsia="en-US"/>
        </w:rPr>
        <w:t xml:space="preserve"> </w:t>
      </w:r>
      <w:r w:rsidR="00714784">
        <w:rPr>
          <w:rFonts w:eastAsiaTheme="minorHAnsi"/>
          <w:iCs/>
          <w:color w:val="000000" w:themeColor="text1"/>
          <w:sz w:val="22"/>
          <w:szCs w:val="22"/>
          <w:lang w:eastAsia="en-US"/>
        </w:rPr>
        <w:t xml:space="preserve">Notably, </w:t>
      </w:r>
      <w:r w:rsidR="00714784" w:rsidRPr="00714784">
        <w:rPr>
          <w:rFonts w:eastAsiaTheme="minorHAnsi"/>
          <w:iCs/>
          <w:color w:val="000000" w:themeColor="text1"/>
          <w:sz w:val="22"/>
          <w:szCs w:val="22"/>
          <w:lang w:eastAsia="en-US"/>
        </w:rPr>
        <w:t>Frattaroli</w:t>
      </w:r>
      <w:r w:rsidR="00714784">
        <w:rPr>
          <w:rFonts w:eastAsiaTheme="minorHAnsi"/>
          <w:iCs/>
          <w:color w:val="000000" w:themeColor="text1"/>
          <w:sz w:val="22"/>
          <w:szCs w:val="22"/>
          <w:lang w:eastAsia="en-US"/>
        </w:rPr>
        <w:t xml:space="preserve"> (2020) and Godsell et al. (2023) document that national security policies in France and in the United States lead to a reduction in foreign takeovers without major change</w:t>
      </w:r>
      <w:r w:rsidR="002A6734">
        <w:rPr>
          <w:rFonts w:eastAsiaTheme="minorHAnsi"/>
          <w:iCs/>
          <w:color w:val="000000" w:themeColor="text1"/>
          <w:sz w:val="22"/>
          <w:szCs w:val="22"/>
          <w:lang w:eastAsia="en-US"/>
        </w:rPr>
        <w:t>s</w:t>
      </w:r>
      <w:r w:rsidR="00714784">
        <w:rPr>
          <w:rFonts w:eastAsiaTheme="minorHAnsi"/>
          <w:iCs/>
          <w:color w:val="000000" w:themeColor="text1"/>
          <w:sz w:val="22"/>
          <w:szCs w:val="22"/>
          <w:lang w:eastAsia="en-US"/>
        </w:rPr>
        <w:t xml:space="preserve"> in domestic </w:t>
      </w:r>
      <w:r w:rsidR="00182187" w:rsidRPr="00182187">
        <w:rPr>
          <w:rFonts w:eastAsiaTheme="minorHAnsi"/>
          <w:iCs/>
          <w:color w:val="000000" w:themeColor="text1"/>
          <w:sz w:val="22"/>
          <w:szCs w:val="22"/>
          <w:lang w:eastAsia="en-US"/>
        </w:rPr>
        <w:t>M&amp;A</w:t>
      </w:r>
      <w:r w:rsidR="00714784">
        <w:rPr>
          <w:rFonts w:eastAsiaTheme="minorHAnsi"/>
          <w:iCs/>
          <w:color w:val="000000" w:themeColor="text1"/>
          <w:sz w:val="22"/>
          <w:szCs w:val="22"/>
          <w:lang w:eastAsia="en-US"/>
        </w:rPr>
        <w:t>. Building on their findings, w</w:t>
      </w:r>
      <w:r w:rsidR="00D71337">
        <w:rPr>
          <w:rFonts w:eastAsiaTheme="minorHAnsi"/>
          <w:iCs/>
          <w:color w:val="000000" w:themeColor="text1"/>
          <w:sz w:val="22"/>
          <w:szCs w:val="22"/>
          <w:lang w:eastAsia="en-US"/>
        </w:rPr>
        <w:t xml:space="preserve">e </w:t>
      </w:r>
      <w:r w:rsidR="00045BB5">
        <w:rPr>
          <w:rFonts w:eastAsiaTheme="minorHAnsi"/>
          <w:iCs/>
          <w:color w:val="000000" w:themeColor="text1"/>
          <w:sz w:val="22"/>
          <w:szCs w:val="22"/>
          <w:lang w:eastAsia="en-US"/>
        </w:rPr>
        <w:t>directly examine whether and how CFIUS interventions affect domestic and foreign takeovers</w:t>
      </w:r>
      <w:r w:rsidR="00714784">
        <w:rPr>
          <w:rFonts w:eastAsiaTheme="minorHAnsi"/>
          <w:iCs/>
          <w:color w:val="000000" w:themeColor="text1"/>
          <w:sz w:val="22"/>
          <w:szCs w:val="22"/>
          <w:lang w:eastAsia="en-US"/>
        </w:rPr>
        <w:t xml:space="preserve"> </w:t>
      </w:r>
      <w:r w:rsidR="00714784" w:rsidRPr="00714784">
        <w:rPr>
          <w:rFonts w:eastAsiaTheme="minorHAnsi"/>
          <w:iCs/>
          <w:color w:val="000000" w:themeColor="text1"/>
          <w:sz w:val="22"/>
          <w:szCs w:val="22"/>
          <w:lang w:eastAsia="en-US"/>
        </w:rPr>
        <w:t xml:space="preserve">to better relate the decrease in </w:t>
      </w:r>
      <w:r w:rsidR="00F71185">
        <w:rPr>
          <w:rFonts w:eastAsiaTheme="minorHAnsi"/>
          <w:iCs/>
          <w:color w:val="000000" w:themeColor="text1"/>
          <w:sz w:val="22"/>
          <w:szCs w:val="22"/>
          <w:lang w:eastAsia="en-US"/>
        </w:rPr>
        <w:t>equity values</w:t>
      </w:r>
      <w:r w:rsidR="00714784" w:rsidRPr="00714784">
        <w:rPr>
          <w:rFonts w:eastAsiaTheme="minorHAnsi"/>
          <w:iCs/>
          <w:color w:val="000000" w:themeColor="text1"/>
          <w:sz w:val="22"/>
          <w:szCs w:val="22"/>
          <w:lang w:eastAsia="en-US"/>
        </w:rPr>
        <w:t xml:space="preserve"> to the increase in financing cost</w:t>
      </w:r>
      <w:r w:rsidR="00BD4CD6">
        <w:rPr>
          <w:rFonts w:eastAsiaTheme="minorHAnsi"/>
          <w:iCs/>
          <w:color w:val="000000" w:themeColor="text1"/>
          <w:sz w:val="22"/>
          <w:szCs w:val="22"/>
          <w:lang w:eastAsia="en-US"/>
        </w:rPr>
        <w:t>s</w:t>
      </w:r>
      <w:r w:rsidR="00045BB5">
        <w:rPr>
          <w:rFonts w:eastAsiaTheme="minorHAnsi"/>
          <w:iCs/>
          <w:color w:val="000000" w:themeColor="text1"/>
          <w:sz w:val="22"/>
          <w:szCs w:val="22"/>
          <w:lang w:eastAsia="en-US"/>
        </w:rPr>
        <w:t xml:space="preserve">. </w:t>
      </w:r>
      <w:r w:rsidR="00D71337">
        <w:rPr>
          <w:sz w:val="22"/>
          <w:szCs w:val="22"/>
        </w:rPr>
        <w:t xml:space="preserve">Domestic takeover is an indicator variable equal to one if a firm is taken over by a domestic buyer in the next year </w:t>
      </w:r>
      <w:r w:rsidR="00BD4CD6">
        <w:rPr>
          <w:sz w:val="22"/>
          <w:szCs w:val="22"/>
        </w:rPr>
        <w:t>and zero otherwise. Similarly, F</w:t>
      </w:r>
      <w:r w:rsidR="00D71337">
        <w:rPr>
          <w:sz w:val="22"/>
          <w:szCs w:val="22"/>
        </w:rPr>
        <w:t>oreign takeover is equal to one if a firm is taken over by a foreign buyer and zero otherwise.</w:t>
      </w:r>
      <w:r w:rsidR="006135BD">
        <w:rPr>
          <w:sz w:val="22"/>
          <w:szCs w:val="22"/>
        </w:rPr>
        <w:t xml:space="preserve"> </w:t>
      </w:r>
      <w:r w:rsidR="00BD4CD6">
        <w:rPr>
          <w:sz w:val="22"/>
          <w:szCs w:val="22"/>
        </w:rPr>
        <w:t>We collect data on takeover activity</w:t>
      </w:r>
      <w:r w:rsidR="00D71337">
        <w:rPr>
          <w:sz w:val="22"/>
          <w:szCs w:val="22"/>
        </w:rPr>
        <w:t xml:space="preserve"> from SDC Platinum.</w:t>
      </w:r>
    </w:p>
    <w:p w14:paraId="6FF8D15A" w14:textId="6EAFDA70" w:rsidR="000C0A20" w:rsidRPr="00233992" w:rsidRDefault="00045BB5" w:rsidP="000C0A20">
      <w:pPr>
        <w:spacing w:line="480" w:lineRule="auto"/>
        <w:jc w:val="both"/>
        <w:rPr>
          <w:rFonts w:eastAsiaTheme="minorHAnsi"/>
          <w:sz w:val="22"/>
          <w:szCs w:val="22"/>
          <w:lang w:eastAsia="en-US"/>
        </w:rPr>
      </w:pPr>
      <w:r w:rsidRPr="00233992">
        <w:rPr>
          <w:rFonts w:eastAsiaTheme="minorHAnsi"/>
          <w:sz w:val="22"/>
          <w:szCs w:val="22"/>
          <w:lang w:eastAsia="en-US"/>
        </w:rPr>
        <w:tab/>
      </w:r>
      <w:r w:rsidR="000C0A20" w:rsidRPr="00233992">
        <w:rPr>
          <w:rFonts w:eastAsiaTheme="minorHAnsi"/>
          <w:sz w:val="22"/>
          <w:szCs w:val="22"/>
          <w:lang w:eastAsia="en-US"/>
        </w:rPr>
        <w:t xml:space="preserve">We tabulate our results in Table </w:t>
      </w:r>
      <w:r w:rsidR="00A665A3">
        <w:rPr>
          <w:rFonts w:eastAsiaTheme="minorHAnsi"/>
          <w:sz w:val="22"/>
          <w:szCs w:val="22"/>
          <w:lang w:eastAsia="en-US"/>
        </w:rPr>
        <w:t>12</w:t>
      </w:r>
      <w:r w:rsidR="000C0A20" w:rsidRPr="00233992">
        <w:rPr>
          <w:rFonts w:eastAsiaTheme="minorHAnsi"/>
          <w:color w:val="000000" w:themeColor="text1"/>
          <w:sz w:val="22"/>
          <w:szCs w:val="22"/>
          <w:lang w:eastAsia="en-US"/>
        </w:rPr>
        <w:t xml:space="preserve">. </w:t>
      </w:r>
      <w:r w:rsidR="000C0A20" w:rsidRPr="00233992">
        <w:rPr>
          <w:rFonts w:eastAsiaTheme="minorHAnsi"/>
          <w:sz w:val="22"/>
          <w:szCs w:val="22"/>
          <w:lang w:eastAsia="en-US"/>
        </w:rPr>
        <w:t xml:space="preserve">The coefficient on </w:t>
      </w:r>
      <w:r w:rsidR="000C0A20" w:rsidRPr="00233992">
        <w:rPr>
          <w:rFonts w:eastAsiaTheme="minorHAnsi"/>
          <w:iCs/>
          <w:sz w:val="22"/>
          <w:szCs w:val="22"/>
          <w:lang w:eastAsia="en-US"/>
        </w:rPr>
        <w:t>CFIUS Block</w:t>
      </w:r>
      <w:r w:rsidR="000C0A20" w:rsidRPr="00233992">
        <w:rPr>
          <w:rFonts w:eastAsiaTheme="minorHAnsi"/>
          <w:sz w:val="22"/>
          <w:szCs w:val="22"/>
          <w:lang w:eastAsia="en-US"/>
        </w:rPr>
        <w:t xml:space="preserve"> </w:t>
      </w:r>
      <w:r w:rsidR="00BD4CD6">
        <w:rPr>
          <w:rFonts w:eastAsiaTheme="minorHAnsi"/>
          <w:sz w:val="22"/>
          <w:szCs w:val="22"/>
          <w:lang w:eastAsia="en-US"/>
        </w:rPr>
        <w:t>is</w:t>
      </w:r>
      <w:r w:rsidR="000C0A20" w:rsidRPr="00233992">
        <w:rPr>
          <w:rFonts w:eastAsiaTheme="minorHAnsi"/>
          <w:sz w:val="22"/>
          <w:szCs w:val="22"/>
          <w:lang w:eastAsia="en-US"/>
        </w:rPr>
        <w:t xml:space="preserve"> negative and statistically significant in the </w:t>
      </w:r>
      <w:r w:rsidR="00295F43">
        <w:rPr>
          <w:rFonts w:eastAsiaTheme="minorHAnsi"/>
          <w:iCs/>
          <w:sz w:val="22"/>
          <w:szCs w:val="22"/>
          <w:lang w:eastAsia="en-US"/>
        </w:rPr>
        <w:t>foreign takeover</w:t>
      </w:r>
      <w:r w:rsidR="000C0A20" w:rsidRPr="00233992">
        <w:rPr>
          <w:rFonts w:eastAsiaTheme="minorHAnsi"/>
          <w:sz w:val="22"/>
          <w:szCs w:val="22"/>
          <w:lang w:eastAsia="en-US"/>
        </w:rPr>
        <w:t xml:space="preserve"> model</w:t>
      </w:r>
      <w:r w:rsidR="00A053A8">
        <w:rPr>
          <w:rFonts w:eastAsiaTheme="minorHAnsi"/>
          <w:sz w:val="22"/>
          <w:szCs w:val="22"/>
          <w:lang w:eastAsia="en-US"/>
        </w:rPr>
        <w:t xml:space="preserve"> (c</w:t>
      </w:r>
      <w:r w:rsidR="000C0A20" w:rsidRPr="00233992">
        <w:rPr>
          <w:rFonts w:eastAsiaTheme="minorHAnsi"/>
          <w:sz w:val="22"/>
          <w:szCs w:val="22"/>
          <w:lang w:eastAsia="en-US"/>
        </w:rPr>
        <w:t>olumn</w:t>
      </w:r>
      <w:r w:rsidR="00BD4CD6">
        <w:rPr>
          <w:rFonts w:eastAsiaTheme="minorHAnsi"/>
          <w:sz w:val="22"/>
          <w:szCs w:val="22"/>
          <w:lang w:eastAsia="en-US"/>
        </w:rPr>
        <w:t xml:space="preserve"> 2</w:t>
      </w:r>
      <w:r w:rsidR="000C0A20" w:rsidRPr="00233992">
        <w:rPr>
          <w:rFonts w:eastAsiaTheme="minorHAnsi"/>
          <w:sz w:val="22"/>
          <w:szCs w:val="22"/>
          <w:lang w:eastAsia="en-US"/>
        </w:rPr>
        <w:t xml:space="preserve">). </w:t>
      </w:r>
      <w:r>
        <w:rPr>
          <w:rFonts w:eastAsiaTheme="minorHAnsi"/>
          <w:sz w:val="22"/>
          <w:szCs w:val="22"/>
          <w:lang w:eastAsia="en-US"/>
        </w:rPr>
        <w:t xml:space="preserve">This table provides </w:t>
      </w:r>
      <w:r w:rsidR="00BD4CD6">
        <w:rPr>
          <w:rFonts w:eastAsiaTheme="minorHAnsi"/>
          <w:sz w:val="22"/>
          <w:szCs w:val="22"/>
          <w:lang w:eastAsia="en-US"/>
        </w:rPr>
        <w:t>further</w:t>
      </w:r>
      <w:r>
        <w:rPr>
          <w:rFonts w:eastAsiaTheme="minorHAnsi"/>
          <w:sz w:val="22"/>
          <w:szCs w:val="22"/>
          <w:lang w:eastAsia="en-US"/>
        </w:rPr>
        <w:t xml:space="preserve"> evidence that foreign takeovers decline in affected industries </w:t>
      </w:r>
      <w:r w:rsidR="00C4363F" w:rsidRPr="00233992">
        <w:rPr>
          <w:rFonts w:eastAsiaTheme="minorHAnsi"/>
          <w:sz w:val="22"/>
          <w:szCs w:val="22"/>
          <w:lang w:eastAsia="en-US"/>
        </w:rPr>
        <w:t>following the implementation of national security policies by CFIUS</w:t>
      </w:r>
      <w:r>
        <w:rPr>
          <w:rFonts w:eastAsiaTheme="minorHAnsi"/>
          <w:sz w:val="22"/>
          <w:szCs w:val="22"/>
          <w:lang w:eastAsia="en-US"/>
        </w:rPr>
        <w:t xml:space="preserve">. </w:t>
      </w:r>
      <w:r w:rsidR="00C4363F">
        <w:rPr>
          <w:rFonts w:eastAsiaTheme="minorHAnsi"/>
          <w:sz w:val="22"/>
          <w:szCs w:val="22"/>
          <w:lang w:eastAsia="en-US"/>
        </w:rPr>
        <w:t>We do not observe any major changes in domestic takeovers</w:t>
      </w:r>
      <w:r w:rsidR="00BD4CD6">
        <w:rPr>
          <w:rFonts w:eastAsiaTheme="minorHAnsi"/>
          <w:sz w:val="22"/>
          <w:szCs w:val="22"/>
          <w:lang w:eastAsia="en-US"/>
        </w:rPr>
        <w:t xml:space="preserve"> (c</w:t>
      </w:r>
      <w:r w:rsidR="00BD4CD6" w:rsidRPr="00233992">
        <w:rPr>
          <w:rFonts w:eastAsiaTheme="minorHAnsi"/>
          <w:sz w:val="22"/>
          <w:szCs w:val="22"/>
          <w:lang w:eastAsia="en-US"/>
        </w:rPr>
        <w:t>olumn</w:t>
      </w:r>
      <w:r w:rsidR="00BD4CD6">
        <w:rPr>
          <w:rFonts w:eastAsiaTheme="minorHAnsi"/>
          <w:sz w:val="22"/>
          <w:szCs w:val="22"/>
          <w:lang w:eastAsia="en-US"/>
        </w:rPr>
        <w:t xml:space="preserve"> 1</w:t>
      </w:r>
      <w:r w:rsidR="00BD4CD6" w:rsidRPr="00233992">
        <w:rPr>
          <w:rFonts w:eastAsiaTheme="minorHAnsi"/>
          <w:sz w:val="22"/>
          <w:szCs w:val="22"/>
          <w:lang w:eastAsia="en-US"/>
        </w:rPr>
        <w:t>)</w:t>
      </w:r>
      <w:r w:rsidR="00C4363F">
        <w:rPr>
          <w:rFonts w:eastAsiaTheme="minorHAnsi"/>
          <w:sz w:val="22"/>
          <w:szCs w:val="22"/>
          <w:lang w:eastAsia="en-US"/>
        </w:rPr>
        <w:t>.</w:t>
      </w:r>
      <w:r w:rsidR="00C069B6" w:rsidRPr="00C069B6">
        <w:rPr>
          <w:rFonts w:eastAsiaTheme="minorHAnsi"/>
          <w:sz w:val="22"/>
          <w:szCs w:val="22"/>
          <w:lang w:eastAsia="en-US"/>
        </w:rPr>
        <w:t xml:space="preserve"> </w:t>
      </w:r>
      <w:r>
        <w:rPr>
          <w:rFonts w:eastAsiaTheme="minorHAnsi"/>
          <w:sz w:val="22"/>
          <w:szCs w:val="22"/>
          <w:lang w:eastAsia="en-US"/>
        </w:rPr>
        <w:t xml:space="preserve">The results </w:t>
      </w:r>
      <w:r w:rsidR="001D4983">
        <w:rPr>
          <w:rFonts w:eastAsiaTheme="minorHAnsi"/>
          <w:sz w:val="22"/>
          <w:szCs w:val="22"/>
          <w:lang w:eastAsia="en-US"/>
        </w:rPr>
        <w:t xml:space="preserve">of </w:t>
      </w:r>
      <w:r>
        <w:rPr>
          <w:rFonts w:eastAsiaTheme="minorHAnsi"/>
          <w:sz w:val="22"/>
          <w:szCs w:val="22"/>
          <w:lang w:eastAsia="en-US"/>
        </w:rPr>
        <w:t xml:space="preserve">Table </w:t>
      </w:r>
      <w:r w:rsidR="00A665A3">
        <w:rPr>
          <w:rFonts w:eastAsiaTheme="minorHAnsi"/>
          <w:sz w:val="22"/>
          <w:szCs w:val="22"/>
          <w:lang w:eastAsia="en-US"/>
        </w:rPr>
        <w:t>12</w:t>
      </w:r>
      <w:r>
        <w:rPr>
          <w:rFonts w:eastAsiaTheme="minorHAnsi"/>
          <w:sz w:val="22"/>
          <w:szCs w:val="22"/>
          <w:lang w:eastAsia="en-US"/>
        </w:rPr>
        <w:t xml:space="preserve"> coupled with those of Table </w:t>
      </w:r>
      <w:r w:rsidR="00A665A3">
        <w:rPr>
          <w:rFonts w:eastAsiaTheme="minorHAnsi"/>
          <w:sz w:val="22"/>
          <w:szCs w:val="22"/>
          <w:lang w:eastAsia="en-US"/>
        </w:rPr>
        <w:t>2</w:t>
      </w:r>
      <w:r>
        <w:rPr>
          <w:rFonts w:eastAsiaTheme="minorHAnsi"/>
          <w:sz w:val="22"/>
          <w:szCs w:val="22"/>
          <w:lang w:eastAsia="en-US"/>
        </w:rPr>
        <w:t xml:space="preserve">, overall, suggest that CFIUS interventions lead to an </w:t>
      </w:r>
      <w:r w:rsidRPr="00045BB5">
        <w:rPr>
          <w:rFonts w:eastAsiaTheme="minorHAnsi"/>
          <w:sz w:val="22"/>
          <w:szCs w:val="22"/>
          <w:lang w:eastAsia="en-US"/>
        </w:rPr>
        <w:t>increase in financing cost</w:t>
      </w:r>
      <w:r w:rsidR="001D6CAC">
        <w:rPr>
          <w:rFonts w:eastAsiaTheme="minorHAnsi"/>
          <w:sz w:val="22"/>
          <w:szCs w:val="22"/>
          <w:lang w:eastAsia="en-US"/>
        </w:rPr>
        <w:t>s</w:t>
      </w:r>
      <w:r w:rsidRPr="00045BB5">
        <w:rPr>
          <w:rFonts w:eastAsiaTheme="minorHAnsi"/>
          <w:sz w:val="22"/>
          <w:szCs w:val="22"/>
          <w:lang w:eastAsia="en-US"/>
        </w:rPr>
        <w:t xml:space="preserve"> of capital expenditures</w:t>
      </w:r>
      <w:r>
        <w:rPr>
          <w:rFonts w:eastAsiaTheme="minorHAnsi"/>
          <w:sz w:val="22"/>
          <w:szCs w:val="22"/>
          <w:lang w:eastAsia="en-US"/>
        </w:rPr>
        <w:t xml:space="preserve"> and that the decrease in </w:t>
      </w:r>
      <w:r w:rsidR="00411037">
        <w:rPr>
          <w:rFonts w:eastAsiaTheme="minorHAnsi"/>
          <w:sz w:val="22"/>
          <w:szCs w:val="22"/>
          <w:lang w:eastAsia="en-US"/>
        </w:rPr>
        <w:t>equity value</w:t>
      </w:r>
      <w:r w:rsidR="00D71337">
        <w:rPr>
          <w:rFonts w:eastAsiaTheme="minorHAnsi"/>
          <w:sz w:val="22"/>
          <w:szCs w:val="22"/>
          <w:lang w:eastAsia="en-US"/>
        </w:rPr>
        <w:t>s</w:t>
      </w:r>
      <w:r w:rsidR="00411037">
        <w:rPr>
          <w:rFonts w:eastAsiaTheme="minorHAnsi"/>
          <w:sz w:val="22"/>
          <w:szCs w:val="22"/>
          <w:lang w:eastAsia="en-US"/>
        </w:rPr>
        <w:t xml:space="preserve"> is likely a cause </w:t>
      </w:r>
      <w:r w:rsidR="001D6CAC">
        <w:rPr>
          <w:rFonts w:eastAsiaTheme="minorHAnsi"/>
          <w:sz w:val="22"/>
          <w:szCs w:val="22"/>
          <w:lang w:eastAsia="en-US"/>
        </w:rPr>
        <w:t xml:space="preserve">rather than a consequence </w:t>
      </w:r>
      <w:r w:rsidRPr="00045BB5">
        <w:rPr>
          <w:rFonts w:eastAsiaTheme="minorHAnsi"/>
          <w:sz w:val="22"/>
          <w:szCs w:val="22"/>
          <w:lang w:eastAsia="en-US"/>
        </w:rPr>
        <w:t>of the decline in corporate investment</w:t>
      </w:r>
      <w:r>
        <w:rPr>
          <w:rFonts w:eastAsiaTheme="minorHAnsi"/>
          <w:sz w:val="22"/>
          <w:szCs w:val="22"/>
          <w:lang w:eastAsia="en-US"/>
        </w:rPr>
        <w:t xml:space="preserve">. </w:t>
      </w:r>
    </w:p>
    <w:p w14:paraId="5ADE6086" w14:textId="5F5D0109" w:rsidR="00D3362E" w:rsidRPr="00295F43" w:rsidRDefault="000C0A20" w:rsidP="000C0A20">
      <w:pPr>
        <w:pStyle w:val="Normal2"/>
        <w:jc w:val="center"/>
        <w:rPr>
          <w:sz w:val="22"/>
        </w:rPr>
      </w:pPr>
      <w:r w:rsidRPr="00295F43">
        <w:rPr>
          <w:sz w:val="22"/>
        </w:rPr>
        <w:t xml:space="preserve">[Insert Table </w:t>
      </w:r>
      <w:r w:rsidR="00A665A3" w:rsidRPr="00295F43">
        <w:rPr>
          <w:sz w:val="22"/>
        </w:rPr>
        <w:t>12</w:t>
      </w:r>
      <w:r w:rsidRPr="00295F43">
        <w:rPr>
          <w:sz w:val="22"/>
        </w:rPr>
        <w:t xml:space="preserve"> here]</w:t>
      </w:r>
    </w:p>
    <w:p w14:paraId="00D0CE34" w14:textId="7E53D0B0" w:rsidR="002F244D" w:rsidRPr="00233992" w:rsidRDefault="002F244D" w:rsidP="00233992">
      <w:pPr>
        <w:pStyle w:val="Normal2"/>
        <w:ind w:firstLine="0"/>
        <w:rPr>
          <w:sz w:val="22"/>
          <w:szCs w:val="22"/>
        </w:rPr>
      </w:pPr>
      <w:r w:rsidRPr="00233992">
        <w:rPr>
          <w:rFonts w:eastAsiaTheme="minorHAnsi"/>
          <w:sz w:val="22"/>
          <w:szCs w:val="22"/>
          <w:lang w:eastAsia="en-US"/>
        </w:rPr>
        <w:lastRenderedPageBreak/>
        <w:tab/>
      </w:r>
      <w:r w:rsidR="000B79F3" w:rsidRPr="00233992">
        <w:rPr>
          <w:rFonts w:eastAsiaTheme="minorHAnsi"/>
          <w:sz w:val="22"/>
          <w:szCs w:val="22"/>
          <w:lang w:eastAsia="en-US"/>
        </w:rPr>
        <w:t xml:space="preserve">Fourth, </w:t>
      </w:r>
      <w:r w:rsidR="000B79F3" w:rsidRPr="00233992">
        <w:rPr>
          <w:sz w:val="22"/>
          <w:szCs w:val="22"/>
        </w:rPr>
        <w:t>w</w:t>
      </w:r>
      <w:r w:rsidRPr="00233992">
        <w:rPr>
          <w:sz w:val="22"/>
          <w:szCs w:val="22"/>
        </w:rPr>
        <w:t xml:space="preserve">e take a closer look at the political facet of </w:t>
      </w:r>
      <w:r w:rsidR="009A04DE" w:rsidRPr="00233992">
        <w:rPr>
          <w:sz w:val="22"/>
          <w:szCs w:val="22"/>
        </w:rPr>
        <w:t>CFIUS</w:t>
      </w:r>
      <w:r w:rsidR="00C777EB" w:rsidRPr="00233992">
        <w:rPr>
          <w:sz w:val="22"/>
          <w:szCs w:val="22"/>
        </w:rPr>
        <w:t xml:space="preserve"> </w:t>
      </w:r>
      <w:r w:rsidR="009166B2">
        <w:rPr>
          <w:sz w:val="22"/>
          <w:szCs w:val="22"/>
        </w:rPr>
        <w:t>interventions</w:t>
      </w:r>
      <w:r w:rsidRPr="00233992">
        <w:rPr>
          <w:sz w:val="22"/>
          <w:szCs w:val="22"/>
        </w:rPr>
        <w:t xml:space="preserve">. In particular, we examine whether </w:t>
      </w:r>
      <w:r w:rsidR="00EB20FD" w:rsidRPr="00233992">
        <w:rPr>
          <w:sz w:val="22"/>
          <w:szCs w:val="22"/>
        </w:rPr>
        <w:t xml:space="preserve">restrictions on access to capital </w:t>
      </w:r>
      <w:r w:rsidRPr="00233992">
        <w:rPr>
          <w:sz w:val="22"/>
          <w:szCs w:val="22"/>
        </w:rPr>
        <w:t xml:space="preserve">imposed by CFIUS have a bigger impact on investments when the </w:t>
      </w:r>
      <w:r w:rsidR="005F649E" w:rsidRPr="00233992">
        <w:rPr>
          <w:sz w:val="22"/>
          <w:szCs w:val="22"/>
        </w:rPr>
        <w:t>incumbent</w:t>
      </w:r>
      <w:r w:rsidR="005F649E" w:rsidRPr="00233992" w:rsidDel="005F649E">
        <w:rPr>
          <w:sz w:val="22"/>
          <w:szCs w:val="22"/>
        </w:rPr>
        <w:t xml:space="preserve"> </w:t>
      </w:r>
      <w:r w:rsidRPr="00233992">
        <w:rPr>
          <w:sz w:val="22"/>
          <w:szCs w:val="22"/>
        </w:rPr>
        <w:t xml:space="preserve">administration is more protectionist, </w:t>
      </w:r>
      <w:r w:rsidR="005B649A" w:rsidRPr="00233992">
        <w:rPr>
          <w:sz w:val="22"/>
          <w:szCs w:val="22"/>
        </w:rPr>
        <w:t>especially</w:t>
      </w:r>
      <w:r w:rsidR="005D4A30" w:rsidRPr="00233992">
        <w:rPr>
          <w:sz w:val="22"/>
          <w:szCs w:val="22"/>
        </w:rPr>
        <w:t xml:space="preserve"> during the Trump administration</w:t>
      </w:r>
      <w:r w:rsidRPr="00233992">
        <w:rPr>
          <w:sz w:val="22"/>
          <w:szCs w:val="22"/>
        </w:rPr>
        <w:t xml:space="preserve">. </w:t>
      </w:r>
      <w:r w:rsidR="00664043">
        <w:rPr>
          <w:sz w:val="22"/>
          <w:szCs w:val="22"/>
        </w:rPr>
        <w:t>W</w:t>
      </w:r>
      <w:r w:rsidRPr="00233992">
        <w:rPr>
          <w:sz w:val="22"/>
          <w:szCs w:val="22"/>
        </w:rPr>
        <w:t xml:space="preserve">e perform a cross-sectional test </w:t>
      </w:r>
      <w:r w:rsidR="00C777EB" w:rsidRPr="00233992">
        <w:rPr>
          <w:sz w:val="22"/>
          <w:szCs w:val="22"/>
        </w:rPr>
        <w:t>to compare the effects of</w:t>
      </w:r>
      <w:r w:rsidRPr="00233992">
        <w:rPr>
          <w:sz w:val="22"/>
          <w:szCs w:val="22"/>
        </w:rPr>
        <w:t xml:space="preserve"> CFIUS interventions </w:t>
      </w:r>
      <w:r w:rsidR="00AB7397" w:rsidRPr="00233992">
        <w:rPr>
          <w:sz w:val="22"/>
          <w:szCs w:val="22"/>
        </w:rPr>
        <w:t>before</w:t>
      </w:r>
      <w:r w:rsidRPr="00233992">
        <w:rPr>
          <w:sz w:val="22"/>
          <w:szCs w:val="22"/>
        </w:rPr>
        <w:t xml:space="preserve"> (from 200</w:t>
      </w:r>
      <w:r w:rsidR="00AB7397" w:rsidRPr="00233992">
        <w:rPr>
          <w:sz w:val="22"/>
          <w:szCs w:val="22"/>
        </w:rPr>
        <w:t>8</w:t>
      </w:r>
      <w:r w:rsidRPr="00233992">
        <w:rPr>
          <w:sz w:val="22"/>
          <w:szCs w:val="22"/>
        </w:rPr>
        <w:t xml:space="preserve"> to 2016) and</w:t>
      </w:r>
      <w:r w:rsidR="00AB7397" w:rsidRPr="00233992">
        <w:rPr>
          <w:sz w:val="22"/>
          <w:szCs w:val="22"/>
        </w:rPr>
        <w:t xml:space="preserve"> during</w:t>
      </w:r>
      <w:r w:rsidRPr="00233992">
        <w:rPr>
          <w:sz w:val="22"/>
          <w:szCs w:val="22"/>
        </w:rPr>
        <w:t xml:space="preserve"> the Trump administration (from 2017 to 2019).</w:t>
      </w:r>
      <w:r w:rsidR="00F35BA9">
        <w:rPr>
          <w:sz w:val="22"/>
          <w:szCs w:val="22"/>
        </w:rPr>
        <w:t xml:space="preserve"> Results are tabulated in Table </w:t>
      </w:r>
      <w:r w:rsidR="00A665A3">
        <w:rPr>
          <w:sz w:val="22"/>
          <w:szCs w:val="22"/>
        </w:rPr>
        <w:t>13</w:t>
      </w:r>
      <w:r w:rsidR="00F35BA9">
        <w:rPr>
          <w:sz w:val="22"/>
          <w:szCs w:val="22"/>
        </w:rPr>
        <w:t>.</w:t>
      </w:r>
      <w:r w:rsidRPr="00233992">
        <w:rPr>
          <w:sz w:val="22"/>
          <w:szCs w:val="22"/>
        </w:rPr>
        <w:t xml:space="preserve"> We find </w:t>
      </w:r>
      <w:r w:rsidR="00AB7397" w:rsidRPr="00233992">
        <w:rPr>
          <w:sz w:val="22"/>
          <w:szCs w:val="22"/>
        </w:rPr>
        <w:t xml:space="preserve">that </w:t>
      </w:r>
      <w:r w:rsidRPr="00233992">
        <w:rPr>
          <w:sz w:val="22"/>
          <w:szCs w:val="22"/>
        </w:rPr>
        <w:t xml:space="preserve">the coefficient </w:t>
      </w:r>
      <w:r w:rsidR="00AB7397" w:rsidRPr="00233992">
        <w:rPr>
          <w:sz w:val="22"/>
          <w:szCs w:val="22"/>
        </w:rPr>
        <w:t>on</w:t>
      </w:r>
      <w:r w:rsidRPr="00233992">
        <w:rPr>
          <w:sz w:val="22"/>
          <w:szCs w:val="22"/>
        </w:rPr>
        <w:t xml:space="preserve"> </w:t>
      </w:r>
      <w:r w:rsidRPr="00233992">
        <w:rPr>
          <w:iCs/>
          <w:sz w:val="22"/>
          <w:szCs w:val="22"/>
        </w:rPr>
        <w:t>CFIUS Block</w:t>
      </w:r>
      <w:r w:rsidRPr="00233992">
        <w:rPr>
          <w:sz w:val="22"/>
          <w:szCs w:val="22"/>
        </w:rPr>
        <w:t xml:space="preserve"> is negative and statistically significant during the Trump administration</w:t>
      </w:r>
      <w:r w:rsidR="00A053A8">
        <w:rPr>
          <w:sz w:val="22"/>
          <w:szCs w:val="22"/>
        </w:rPr>
        <w:t xml:space="preserve"> (c</w:t>
      </w:r>
      <w:r w:rsidR="00D4286C" w:rsidRPr="00233992">
        <w:rPr>
          <w:sz w:val="22"/>
          <w:szCs w:val="22"/>
        </w:rPr>
        <w:t>olumn</w:t>
      </w:r>
      <w:r w:rsidR="009166B2">
        <w:rPr>
          <w:sz w:val="22"/>
          <w:szCs w:val="22"/>
        </w:rPr>
        <w:t>s</w:t>
      </w:r>
      <w:r w:rsidR="00D4286C" w:rsidRPr="00233992">
        <w:rPr>
          <w:sz w:val="22"/>
          <w:szCs w:val="22"/>
        </w:rPr>
        <w:t xml:space="preserve"> 1</w:t>
      </w:r>
      <w:r w:rsidR="009166B2">
        <w:rPr>
          <w:sz w:val="22"/>
          <w:szCs w:val="22"/>
        </w:rPr>
        <w:t xml:space="preserve"> and 2</w:t>
      </w:r>
      <w:r w:rsidR="00D4286C" w:rsidRPr="00233992">
        <w:rPr>
          <w:sz w:val="22"/>
          <w:szCs w:val="22"/>
        </w:rPr>
        <w:t>)</w:t>
      </w:r>
      <w:r w:rsidR="00AB7397" w:rsidRPr="00233992">
        <w:rPr>
          <w:sz w:val="22"/>
          <w:szCs w:val="22"/>
        </w:rPr>
        <w:t xml:space="preserve">. </w:t>
      </w:r>
      <w:r w:rsidR="005B649A" w:rsidRPr="00233992">
        <w:rPr>
          <w:sz w:val="22"/>
          <w:szCs w:val="22"/>
        </w:rPr>
        <w:t>The</w:t>
      </w:r>
      <w:r w:rsidRPr="00233992">
        <w:rPr>
          <w:sz w:val="22"/>
          <w:szCs w:val="22"/>
        </w:rPr>
        <w:t xml:space="preserve"> difference between the two coefficients is s</w:t>
      </w:r>
      <w:r w:rsidR="00F57A63">
        <w:rPr>
          <w:sz w:val="22"/>
          <w:szCs w:val="22"/>
        </w:rPr>
        <w:t>tatistically s</w:t>
      </w:r>
      <w:r w:rsidRPr="00233992">
        <w:rPr>
          <w:sz w:val="22"/>
          <w:szCs w:val="22"/>
        </w:rPr>
        <w:t xml:space="preserve">ignificant at </w:t>
      </w:r>
      <w:r w:rsidR="009A04DE" w:rsidRPr="00233992">
        <w:rPr>
          <w:sz w:val="22"/>
          <w:szCs w:val="22"/>
        </w:rPr>
        <w:t xml:space="preserve">the </w:t>
      </w:r>
      <w:r w:rsidRPr="00233992">
        <w:rPr>
          <w:sz w:val="22"/>
          <w:szCs w:val="22"/>
        </w:rPr>
        <w:t>5%</w:t>
      </w:r>
      <w:r w:rsidR="009A04DE" w:rsidRPr="00233992">
        <w:rPr>
          <w:sz w:val="22"/>
          <w:szCs w:val="22"/>
        </w:rPr>
        <w:t xml:space="preserve"> level</w:t>
      </w:r>
      <w:r w:rsidRPr="00233992">
        <w:rPr>
          <w:sz w:val="22"/>
          <w:szCs w:val="22"/>
        </w:rPr>
        <w:t xml:space="preserve">. </w:t>
      </w:r>
      <w:r w:rsidR="00AB7397" w:rsidRPr="00233992">
        <w:rPr>
          <w:sz w:val="22"/>
          <w:szCs w:val="22"/>
        </w:rPr>
        <w:t xml:space="preserve">This is consistent with our prediction </w:t>
      </w:r>
      <w:r w:rsidR="00C777EB" w:rsidRPr="00233992">
        <w:rPr>
          <w:sz w:val="22"/>
          <w:szCs w:val="22"/>
        </w:rPr>
        <w:t xml:space="preserve">the implementation of national security policies by CFIUS </w:t>
      </w:r>
      <w:r w:rsidR="00AB7397" w:rsidRPr="00233992">
        <w:rPr>
          <w:sz w:val="22"/>
          <w:szCs w:val="22"/>
        </w:rPr>
        <w:t xml:space="preserve">during a protectionist government </w:t>
      </w:r>
      <w:r w:rsidR="00C777EB" w:rsidRPr="00233992">
        <w:rPr>
          <w:sz w:val="22"/>
          <w:szCs w:val="22"/>
        </w:rPr>
        <w:t xml:space="preserve">represents a </w:t>
      </w:r>
      <w:r w:rsidR="00AB7397" w:rsidRPr="00233992">
        <w:rPr>
          <w:sz w:val="22"/>
          <w:szCs w:val="22"/>
        </w:rPr>
        <w:t xml:space="preserve">more </w:t>
      </w:r>
      <w:r w:rsidR="00C777EB" w:rsidRPr="00233992">
        <w:rPr>
          <w:sz w:val="22"/>
          <w:szCs w:val="22"/>
        </w:rPr>
        <w:t>credible</w:t>
      </w:r>
      <w:r w:rsidR="00AB7397" w:rsidRPr="00233992">
        <w:rPr>
          <w:sz w:val="22"/>
          <w:szCs w:val="22"/>
        </w:rPr>
        <w:t xml:space="preserve"> threat</w:t>
      </w:r>
      <w:r w:rsidR="00C777EB" w:rsidRPr="00233992">
        <w:rPr>
          <w:sz w:val="22"/>
          <w:szCs w:val="22"/>
        </w:rPr>
        <w:t xml:space="preserve"> to</w:t>
      </w:r>
      <w:r w:rsidR="00AB7397" w:rsidRPr="00233992">
        <w:rPr>
          <w:sz w:val="22"/>
          <w:szCs w:val="22"/>
        </w:rPr>
        <w:t xml:space="preserve"> foreign investments</w:t>
      </w:r>
      <w:r w:rsidRPr="00233992">
        <w:rPr>
          <w:sz w:val="22"/>
          <w:szCs w:val="22"/>
        </w:rPr>
        <w:t>.</w:t>
      </w:r>
    </w:p>
    <w:p w14:paraId="11192D39" w14:textId="6A7ADFAF" w:rsidR="000B79F3" w:rsidRPr="00233992" w:rsidRDefault="000B79F3" w:rsidP="00233992">
      <w:pPr>
        <w:pStyle w:val="Normal2"/>
        <w:jc w:val="center"/>
        <w:rPr>
          <w:sz w:val="22"/>
          <w:szCs w:val="22"/>
          <w:lang w:eastAsia="fr-FR"/>
        </w:rPr>
      </w:pPr>
      <w:r w:rsidRPr="00233992">
        <w:rPr>
          <w:sz w:val="22"/>
          <w:szCs w:val="22"/>
          <w:lang w:eastAsia="fr-FR"/>
        </w:rPr>
        <w:t xml:space="preserve">[Insert Table </w:t>
      </w:r>
      <w:r w:rsidR="00A665A3">
        <w:rPr>
          <w:sz w:val="22"/>
          <w:szCs w:val="22"/>
          <w:lang w:eastAsia="fr-FR"/>
        </w:rPr>
        <w:t>13</w:t>
      </w:r>
      <w:r w:rsidR="0063001C" w:rsidRPr="00233992">
        <w:rPr>
          <w:sz w:val="22"/>
          <w:szCs w:val="22"/>
          <w:lang w:eastAsia="fr-FR"/>
        </w:rPr>
        <w:t xml:space="preserve"> </w:t>
      </w:r>
      <w:r w:rsidRPr="00233992">
        <w:rPr>
          <w:sz w:val="22"/>
          <w:szCs w:val="22"/>
          <w:lang w:eastAsia="fr-FR"/>
        </w:rPr>
        <w:t>here]</w:t>
      </w:r>
    </w:p>
    <w:p w14:paraId="75EDA362" w14:textId="77777777" w:rsidR="00FB3831" w:rsidRPr="00233992" w:rsidRDefault="00FB3831" w:rsidP="00233992">
      <w:pPr>
        <w:spacing w:line="480" w:lineRule="auto"/>
        <w:jc w:val="both"/>
        <w:rPr>
          <w:sz w:val="22"/>
          <w:szCs w:val="22"/>
        </w:rPr>
      </w:pPr>
    </w:p>
    <w:p w14:paraId="3D8D5C94" w14:textId="589B14B1" w:rsidR="00FB3831" w:rsidRPr="00233992" w:rsidRDefault="00057CC0" w:rsidP="00233992">
      <w:pPr>
        <w:pStyle w:val="Paragraphedeliste"/>
        <w:numPr>
          <w:ilvl w:val="0"/>
          <w:numId w:val="5"/>
        </w:numPr>
        <w:spacing w:line="480" w:lineRule="auto"/>
        <w:jc w:val="both"/>
        <w:rPr>
          <w:rFonts w:eastAsiaTheme="minorHAnsi"/>
          <w:b/>
          <w:sz w:val="22"/>
          <w:szCs w:val="22"/>
          <w:lang w:eastAsia="en-US"/>
        </w:rPr>
      </w:pPr>
      <w:r>
        <w:rPr>
          <w:rFonts w:eastAsiaTheme="minorHAnsi"/>
          <w:b/>
          <w:sz w:val="22"/>
          <w:szCs w:val="22"/>
          <w:lang w:eastAsia="en-US"/>
        </w:rPr>
        <w:t>Robustness t</w:t>
      </w:r>
      <w:r w:rsidR="00FB3831" w:rsidRPr="00233992">
        <w:rPr>
          <w:rFonts w:eastAsiaTheme="minorHAnsi"/>
          <w:b/>
          <w:sz w:val="22"/>
          <w:szCs w:val="22"/>
          <w:lang w:eastAsia="en-US"/>
        </w:rPr>
        <w:t>ests</w:t>
      </w:r>
    </w:p>
    <w:p w14:paraId="75F3B741" w14:textId="2E813438" w:rsidR="00721085" w:rsidRPr="00233992" w:rsidRDefault="00F2598A" w:rsidP="00233992">
      <w:pPr>
        <w:spacing w:line="480" w:lineRule="auto"/>
        <w:jc w:val="both"/>
        <w:rPr>
          <w:rFonts w:eastAsiaTheme="minorHAnsi"/>
          <w:iCs/>
          <w:sz w:val="22"/>
          <w:szCs w:val="22"/>
          <w:lang w:eastAsia="en-US"/>
        </w:rPr>
      </w:pPr>
      <w:r w:rsidRPr="00233992">
        <w:rPr>
          <w:rFonts w:eastAsiaTheme="minorHAnsi"/>
          <w:color w:val="000000" w:themeColor="text1"/>
          <w:sz w:val="22"/>
          <w:szCs w:val="22"/>
          <w:lang w:eastAsia="en-US"/>
        </w:rPr>
        <w:tab/>
      </w:r>
      <w:r w:rsidR="00FB3831" w:rsidRPr="00233992">
        <w:rPr>
          <w:rFonts w:eastAsiaTheme="minorHAnsi"/>
          <w:sz w:val="22"/>
          <w:szCs w:val="22"/>
          <w:lang w:eastAsia="en-US"/>
        </w:rPr>
        <w:t>W</w:t>
      </w:r>
      <w:r w:rsidR="00245A4A" w:rsidRPr="00233992">
        <w:rPr>
          <w:rFonts w:eastAsiaTheme="minorHAnsi"/>
          <w:sz w:val="22"/>
          <w:szCs w:val="22"/>
          <w:lang w:eastAsia="en-US"/>
        </w:rPr>
        <w:t>e conduct</w:t>
      </w:r>
      <w:r w:rsidR="00CF3FBC" w:rsidRPr="00233992">
        <w:rPr>
          <w:rFonts w:eastAsiaTheme="minorHAnsi"/>
          <w:sz w:val="22"/>
          <w:szCs w:val="22"/>
          <w:lang w:eastAsia="en-US"/>
        </w:rPr>
        <w:t xml:space="preserve"> a battery of</w:t>
      </w:r>
      <w:r w:rsidR="00245A4A" w:rsidRPr="00233992">
        <w:rPr>
          <w:rFonts w:eastAsiaTheme="minorHAnsi"/>
          <w:sz w:val="22"/>
          <w:szCs w:val="22"/>
          <w:lang w:eastAsia="en-US"/>
        </w:rPr>
        <w:t xml:space="preserve"> </w:t>
      </w:r>
      <w:r w:rsidR="004F4759" w:rsidRPr="00233992">
        <w:rPr>
          <w:rFonts w:eastAsiaTheme="minorHAnsi"/>
          <w:sz w:val="22"/>
          <w:szCs w:val="22"/>
          <w:lang w:eastAsia="en-US"/>
        </w:rPr>
        <w:t>robustness</w:t>
      </w:r>
      <w:r w:rsidR="00B9006C" w:rsidRPr="00233992">
        <w:rPr>
          <w:rFonts w:eastAsiaTheme="minorHAnsi"/>
          <w:sz w:val="22"/>
          <w:szCs w:val="22"/>
          <w:lang w:eastAsia="en-US"/>
        </w:rPr>
        <w:t xml:space="preserve"> </w:t>
      </w:r>
      <w:r w:rsidR="004F4759" w:rsidRPr="00233992">
        <w:rPr>
          <w:rFonts w:eastAsiaTheme="minorHAnsi"/>
          <w:sz w:val="22"/>
          <w:szCs w:val="22"/>
          <w:lang w:eastAsia="en-US"/>
        </w:rPr>
        <w:t>tests</w:t>
      </w:r>
      <w:r w:rsidR="00FB3831" w:rsidRPr="00233992">
        <w:rPr>
          <w:rFonts w:eastAsiaTheme="minorHAnsi"/>
          <w:sz w:val="22"/>
          <w:szCs w:val="22"/>
          <w:lang w:eastAsia="en-US"/>
        </w:rPr>
        <w:t xml:space="preserve"> to </w:t>
      </w:r>
      <w:r w:rsidR="00CF3FBC" w:rsidRPr="00233992">
        <w:rPr>
          <w:rFonts w:eastAsiaTheme="minorHAnsi"/>
          <w:sz w:val="22"/>
          <w:szCs w:val="22"/>
          <w:lang w:eastAsia="en-US"/>
        </w:rPr>
        <w:t xml:space="preserve">further </w:t>
      </w:r>
      <w:r w:rsidR="00FB3831" w:rsidRPr="00233992">
        <w:rPr>
          <w:rFonts w:eastAsiaTheme="minorHAnsi"/>
          <w:sz w:val="22"/>
          <w:szCs w:val="22"/>
          <w:lang w:eastAsia="en-US"/>
        </w:rPr>
        <w:t>validate our findings</w:t>
      </w:r>
      <w:r w:rsidR="00245A4A" w:rsidRPr="00233992">
        <w:rPr>
          <w:rFonts w:eastAsiaTheme="minorHAnsi"/>
          <w:sz w:val="22"/>
          <w:szCs w:val="22"/>
          <w:lang w:eastAsia="en-US"/>
        </w:rPr>
        <w:t xml:space="preserve">. </w:t>
      </w:r>
      <w:r w:rsidR="00721085" w:rsidRPr="00233992">
        <w:rPr>
          <w:rFonts w:eastAsiaTheme="minorHAnsi"/>
          <w:sz w:val="22"/>
          <w:szCs w:val="22"/>
          <w:lang w:eastAsia="en-US"/>
        </w:rPr>
        <w:t xml:space="preserve">First, </w:t>
      </w:r>
      <w:r w:rsidR="000E0B78" w:rsidRPr="00233992">
        <w:rPr>
          <w:rFonts w:eastAsiaTheme="minorHAnsi"/>
          <w:sz w:val="22"/>
          <w:szCs w:val="22"/>
          <w:lang w:eastAsia="en-US"/>
        </w:rPr>
        <w:t>a</w:t>
      </w:r>
      <w:r w:rsidR="00721085" w:rsidRPr="00233992">
        <w:rPr>
          <w:rFonts w:eastAsiaTheme="minorHAnsi"/>
          <w:sz w:val="22"/>
          <w:szCs w:val="22"/>
          <w:lang w:eastAsia="en-US"/>
        </w:rPr>
        <w:t xml:space="preserve"> potential concern could be that CFIUS </w:t>
      </w:r>
      <w:r w:rsidR="00B172C8" w:rsidRPr="00233992">
        <w:rPr>
          <w:rFonts w:eastAsiaTheme="minorHAnsi"/>
          <w:sz w:val="22"/>
          <w:szCs w:val="22"/>
          <w:lang w:eastAsia="en-US"/>
        </w:rPr>
        <w:t xml:space="preserve">activities </w:t>
      </w:r>
      <w:r w:rsidR="00C777EB" w:rsidRPr="00233992">
        <w:rPr>
          <w:rFonts w:eastAsiaTheme="minorHAnsi"/>
          <w:sz w:val="22"/>
          <w:szCs w:val="22"/>
          <w:lang w:eastAsia="en-US"/>
        </w:rPr>
        <w:t>ta</w:t>
      </w:r>
      <w:r w:rsidR="00B172C8" w:rsidRPr="00233992">
        <w:rPr>
          <w:rFonts w:eastAsiaTheme="minorHAnsi"/>
          <w:sz w:val="22"/>
          <w:szCs w:val="22"/>
          <w:lang w:eastAsia="en-US"/>
        </w:rPr>
        <w:t>rget</w:t>
      </w:r>
      <w:r w:rsidR="00721085" w:rsidRPr="00233992">
        <w:rPr>
          <w:rFonts w:eastAsiaTheme="minorHAnsi"/>
          <w:sz w:val="22"/>
          <w:szCs w:val="22"/>
          <w:lang w:eastAsia="en-US"/>
        </w:rPr>
        <w:t xml:space="preserve"> </w:t>
      </w:r>
      <w:r w:rsidR="00994657">
        <w:rPr>
          <w:rFonts w:eastAsiaTheme="minorHAnsi"/>
          <w:sz w:val="22"/>
          <w:szCs w:val="22"/>
          <w:lang w:eastAsia="en-US"/>
        </w:rPr>
        <w:t>transactions</w:t>
      </w:r>
      <w:r w:rsidR="00721085" w:rsidRPr="00233992">
        <w:rPr>
          <w:rFonts w:eastAsiaTheme="minorHAnsi"/>
          <w:sz w:val="22"/>
          <w:szCs w:val="22"/>
          <w:lang w:eastAsia="en-US"/>
        </w:rPr>
        <w:t xml:space="preserve"> depending on a set of industry characteristics</w:t>
      </w:r>
      <w:r w:rsidR="00901D09" w:rsidRPr="00233992">
        <w:rPr>
          <w:rFonts w:eastAsiaTheme="minorHAnsi"/>
          <w:sz w:val="22"/>
          <w:szCs w:val="22"/>
          <w:lang w:eastAsia="en-US"/>
        </w:rPr>
        <w:t>,</w:t>
      </w:r>
      <w:r w:rsidR="00721085" w:rsidRPr="00233992">
        <w:rPr>
          <w:rFonts w:eastAsiaTheme="minorHAnsi"/>
          <w:sz w:val="22"/>
          <w:szCs w:val="22"/>
          <w:lang w:eastAsia="en-US"/>
        </w:rPr>
        <w:t xml:space="preserve"> such as decreasing investm</w:t>
      </w:r>
      <w:r w:rsidR="00A665A3">
        <w:rPr>
          <w:rFonts w:eastAsiaTheme="minorHAnsi"/>
          <w:sz w:val="22"/>
          <w:szCs w:val="22"/>
          <w:lang w:eastAsia="en-US"/>
        </w:rPr>
        <w:t>ents. As we show in Table 1</w:t>
      </w:r>
      <w:r w:rsidR="00533BBB">
        <w:rPr>
          <w:rFonts w:eastAsiaTheme="minorHAnsi"/>
          <w:sz w:val="22"/>
          <w:szCs w:val="22"/>
          <w:lang w:eastAsia="en-US"/>
        </w:rPr>
        <w:t xml:space="preserve"> and explain in Section 3</w:t>
      </w:r>
      <w:r w:rsidR="00721085" w:rsidRPr="00233992">
        <w:rPr>
          <w:rFonts w:eastAsiaTheme="minorHAnsi"/>
          <w:sz w:val="22"/>
          <w:szCs w:val="22"/>
          <w:lang w:eastAsia="en-US"/>
        </w:rPr>
        <w:t xml:space="preserve">, CFIUS </w:t>
      </w:r>
      <w:r w:rsidR="008F4491" w:rsidRPr="00233992">
        <w:rPr>
          <w:rFonts w:eastAsiaTheme="minorHAnsi"/>
          <w:sz w:val="22"/>
          <w:szCs w:val="22"/>
          <w:lang w:eastAsia="en-US"/>
        </w:rPr>
        <w:t xml:space="preserve">interventions </w:t>
      </w:r>
      <w:r w:rsidR="00721085" w:rsidRPr="00233992">
        <w:rPr>
          <w:rFonts w:eastAsiaTheme="minorHAnsi"/>
          <w:sz w:val="22"/>
          <w:szCs w:val="22"/>
          <w:lang w:eastAsia="en-US"/>
        </w:rPr>
        <w:t>occurred across a range of industries</w:t>
      </w:r>
      <w:r w:rsidR="00657213" w:rsidRPr="00233992">
        <w:rPr>
          <w:rFonts w:eastAsiaTheme="minorHAnsi"/>
          <w:sz w:val="22"/>
          <w:szCs w:val="22"/>
          <w:lang w:eastAsia="en-US"/>
        </w:rPr>
        <w:t xml:space="preserve"> and are </w:t>
      </w:r>
      <w:r w:rsidR="00721085" w:rsidRPr="00233992">
        <w:rPr>
          <w:rFonts w:eastAsiaTheme="minorHAnsi"/>
          <w:sz w:val="22"/>
          <w:szCs w:val="22"/>
          <w:lang w:eastAsia="en-US"/>
        </w:rPr>
        <w:t xml:space="preserve">motivated by the </w:t>
      </w:r>
      <w:r w:rsidR="00901D09" w:rsidRPr="00233992">
        <w:rPr>
          <w:rFonts w:eastAsiaTheme="minorHAnsi"/>
          <w:sz w:val="22"/>
          <w:szCs w:val="22"/>
          <w:lang w:eastAsia="en-US"/>
        </w:rPr>
        <w:t xml:space="preserve">politics </w:t>
      </w:r>
      <w:r w:rsidR="00721085" w:rsidRPr="00233992">
        <w:rPr>
          <w:rFonts w:eastAsiaTheme="minorHAnsi"/>
          <w:sz w:val="22"/>
          <w:szCs w:val="22"/>
          <w:lang w:eastAsia="en-US"/>
        </w:rPr>
        <w:t xml:space="preserve">of the </w:t>
      </w:r>
      <w:r w:rsidR="00901D09" w:rsidRPr="00233992">
        <w:rPr>
          <w:rFonts w:eastAsiaTheme="minorHAnsi"/>
          <w:sz w:val="22"/>
          <w:szCs w:val="22"/>
          <w:lang w:eastAsia="en-US"/>
        </w:rPr>
        <w:t xml:space="preserve">incumbent </w:t>
      </w:r>
      <w:r w:rsidR="00FD3DB9" w:rsidRPr="00233992">
        <w:rPr>
          <w:rFonts w:eastAsiaTheme="minorHAnsi"/>
          <w:sz w:val="22"/>
          <w:szCs w:val="22"/>
          <w:lang w:eastAsia="en-US"/>
        </w:rPr>
        <w:t>administration</w:t>
      </w:r>
      <w:r w:rsidR="00721085" w:rsidRPr="00233992">
        <w:rPr>
          <w:rFonts w:eastAsiaTheme="minorHAnsi"/>
          <w:sz w:val="22"/>
          <w:szCs w:val="22"/>
          <w:lang w:eastAsia="en-US"/>
        </w:rPr>
        <w:t>.</w:t>
      </w:r>
      <w:r w:rsidR="00FD3DB9" w:rsidRPr="00233992">
        <w:rPr>
          <w:rFonts w:eastAsiaTheme="minorHAnsi"/>
          <w:iCs/>
          <w:sz w:val="22"/>
          <w:szCs w:val="22"/>
          <w:lang w:eastAsia="en-US"/>
        </w:rPr>
        <w:t xml:space="preserve"> </w:t>
      </w:r>
      <w:r w:rsidR="00B172C8" w:rsidRPr="00233992">
        <w:rPr>
          <w:rFonts w:eastAsiaTheme="minorHAnsi"/>
          <w:iCs/>
          <w:sz w:val="22"/>
          <w:szCs w:val="22"/>
          <w:lang w:eastAsia="en-US"/>
        </w:rPr>
        <w:t>In this test, w</w:t>
      </w:r>
      <w:r w:rsidR="00FD3DB9" w:rsidRPr="00233992">
        <w:rPr>
          <w:rFonts w:eastAsiaTheme="minorHAnsi"/>
          <w:iCs/>
          <w:sz w:val="22"/>
          <w:szCs w:val="22"/>
          <w:lang w:eastAsia="en-US"/>
        </w:rPr>
        <w:t>e retain only firm-year observations in industries with at least one transaction covered by CFIUS review in a given year</w:t>
      </w:r>
      <w:r w:rsidR="00721085" w:rsidRPr="00233992">
        <w:rPr>
          <w:rFonts w:eastAsiaTheme="minorHAnsi"/>
          <w:iCs/>
          <w:sz w:val="22"/>
          <w:szCs w:val="22"/>
          <w:lang w:eastAsia="en-US"/>
        </w:rPr>
        <w:t xml:space="preserve">. </w:t>
      </w:r>
      <w:r w:rsidR="00B172C8" w:rsidRPr="00233992">
        <w:rPr>
          <w:rFonts w:eastAsiaTheme="minorHAnsi"/>
          <w:iCs/>
          <w:sz w:val="22"/>
          <w:szCs w:val="22"/>
          <w:lang w:eastAsia="en-US"/>
        </w:rPr>
        <w:t>As a result</w:t>
      </w:r>
      <w:r w:rsidR="00DE4221" w:rsidRPr="00233992">
        <w:rPr>
          <w:rFonts w:eastAsiaTheme="minorHAnsi"/>
          <w:iCs/>
          <w:sz w:val="22"/>
          <w:szCs w:val="22"/>
          <w:lang w:eastAsia="en-US"/>
        </w:rPr>
        <w:t>,</w:t>
      </w:r>
      <w:r w:rsidR="00721085" w:rsidRPr="00233992">
        <w:rPr>
          <w:rFonts w:eastAsiaTheme="minorHAnsi"/>
          <w:iCs/>
          <w:sz w:val="22"/>
          <w:szCs w:val="22"/>
          <w:lang w:eastAsia="en-US"/>
        </w:rPr>
        <w:t xml:space="preserve"> both</w:t>
      </w:r>
      <w:r w:rsidR="00DE4221" w:rsidRPr="00233992">
        <w:rPr>
          <w:rFonts w:eastAsiaTheme="minorHAnsi"/>
          <w:iCs/>
          <w:sz w:val="22"/>
          <w:szCs w:val="22"/>
          <w:lang w:eastAsia="en-US"/>
        </w:rPr>
        <w:t xml:space="preserve"> the</w:t>
      </w:r>
      <w:r w:rsidR="00721085" w:rsidRPr="00233992">
        <w:rPr>
          <w:rFonts w:eastAsiaTheme="minorHAnsi"/>
          <w:iCs/>
          <w:sz w:val="22"/>
          <w:szCs w:val="22"/>
          <w:lang w:eastAsia="en-US"/>
        </w:rPr>
        <w:t xml:space="preserve"> treatment and control group</w:t>
      </w:r>
      <w:r w:rsidR="00B36789" w:rsidRPr="00233992">
        <w:rPr>
          <w:rFonts w:eastAsiaTheme="minorHAnsi"/>
          <w:iCs/>
          <w:sz w:val="22"/>
          <w:szCs w:val="22"/>
          <w:lang w:eastAsia="en-US"/>
        </w:rPr>
        <w:t>s</w:t>
      </w:r>
      <w:r w:rsidR="00721085" w:rsidRPr="00233992">
        <w:rPr>
          <w:rFonts w:eastAsiaTheme="minorHAnsi"/>
          <w:iCs/>
          <w:sz w:val="22"/>
          <w:szCs w:val="22"/>
          <w:lang w:eastAsia="en-US"/>
        </w:rPr>
        <w:t xml:space="preserve"> consist of industries</w:t>
      </w:r>
      <w:r w:rsidR="00657213" w:rsidRPr="00233992">
        <w:rPr>
          <w:rFonts w:eastAsiaTheme="minorHAnsi"/>
          <w:iCs/>
          <w:sz w:val="22"/>
          <w:szCs w:val="22"/>
          <w:lang w:eastAsia="en-US"/>
        </w:rPr>
        <w:t xml:space="preserve"> that</w:t>
      </w:r>
      <w:r w:rsidR="00721085" w:rsidRPr="00233992">
        <w:rPr>
          <w:rFonts w:eastAsiaTheme="minorHAnsi"/>
          <w:iCs/>
          <w:sz w:val="22"/>
          <w:szCs w:val="22"/>
          <w:lang w:eastAsia="en-US"/>
        </w:rPr>
        <w:t xml:space="preserve"> CFIUS</w:t>
      </w:r>
      <w:r w:rsidR="00657213" w:rsidRPr="00233992">
        <w:rPr>
          <w:rFonts w:eastAsiaTheme="minorHAnsi"/>
          <w:iCs/>
          <w:sz w:val="22"/>
          <w:szCs w:val="22"/>
          <w:lang w:eastAsia="en-US"/>
        </w:rPr>
        <w:t xml:space="preserve"> considered relevant</w:t>
      </w:r>
      <w:r w:rsidR="00721085" w:rsidRPr="00233992">
        <w:rPr>
          <w:rFonts w:eastAsiaTheme="minorHAnsi"/>
          <w:iCs/>
          <w:sz w:val="22"/>
          <w:szCs w:val="22"/>
          <w:lang w:eastAsia="en-US"/>
        </w:rPr>
        <w:t xml:space="preserve">. </w:t>
      </w:r>
      <w:r w:rsidR="007E18F8" w:rsidRPr="00233992">
        <w:rPr>
          <w:rFonts w:eastAsiaTheme="minorHAnsi"/>
          <w:iCs/>
          <w:sz w:val="22"/>
          <w:szCs w:val="22"/>
          <w:lang w:eastAsia="en-US"/>
        </w:rPr>
        <w:t xml:space="preserve">We hand-collect data on notices by </w:t>
      </w:r>
      <w:r w:rsidR="00533BBB" w:rsidRPr="00233992">
        <w:rPr>
          <w:rFonts w:eastAsiaTheme="minorHAnsi"/>
          <w:iCs/>
          <w:sz w:val="22"/>
          <w:szCs w:val="22"/>
          <w:lang w:eastAsia="en-US"/>
        </w:rPr>
        <w:t xml:space="preserve">industry </w:t>
      </w:r>
      <w:r w:rsidR="007E18F8" w:rsidRPr="00233992">
        <w:rPr>
          <w:rFonts w:eastAsiaTheme="minorHAnsi"/>
          <w:iCs/>
          <w:sz w:val="22"/>
          <w:szCs w:val="22"/>
          <w:lang w:eastAsia="en-US"/>
        </w:rPr>
        <w:t xml:space="preserve">and by </w:t>
      </w:r>
      <w:r w:rsidR="00533BBB">
        <w:rPr>
          <w:rFonts w:eastAsiaTheme="minorHAnsi"/>
          <w:iCs/>
          <w:sz w:val="22"/>
          <w:szCs w:val="22"/>
          <w:lang w:eastAsia="en-US"/>
        </w:rPr>
        <w:t>year</w:t>
      </w:r>
      <w:r w:rsidR="007E18F8" w:rsidRPr="00233992">
        <w:rPr>
          <w:rFonts w:eastAsiaTheme="minorHAnsi"/>
          <w:iCs/>
          <w:sz w:val="22"/>
          <w:szCs w:val="22"/>
          <w:lang w:eastAsia="en-US"/>
        </w:rPr>
        <w:t xml:space="preserve"> from declassified CFIUS annual reports. </w:t>
      </w:r>
      <w:r w:rsidR="00721085" w:rsidRPr="00233992">
        <w:rPr>
          <w:rFonts w:eastAsiaTheme="minorHAnsi"/>
          <w:iCs/>
          <w:sz w:val="22"/>
          <w:szCs w:val="22"/>
          <w:lang w:eastAsia="en-US"/>
        </w:rPr>
        <w:t xml:space="preserve">We tabulate our results in </w:t>
      </w:r>
      <w:r w:rsidR="00533BBB">
        <w:rPr>
          <w:rFonts w:eastAsiaTheme="minorHAnsi"/>
          <w:iCs/>
          <w:sz w:val="22"/>
          <w:szCs w:val="22"/>
          <w:lang w:eastAsia="en-US"/>
        </w:rPr>
        <w:t>column 1</w:t>
      </w:r>
      <w:r w:rsidR="006672A0" w:rsidRPr="00233992">
        <w:rPr>
          <w:rFonts w:eastAsiaTheme="minorHAnsi"/>
          <w:iCs/>
          <w:sz w:val="22"/>
          <w:szCs w:val="22"/>
          <w:lang w:eastAsia="en-US"/>
        </w:rPr>
        <w:t xml:space="preserve"> of Table </w:t>
      </w:r>
      <w:r w:rsidR="00A053A8">
        <w:rPr>
          <w:sz w:val="22"/>
          <w:szCs w:val="22"/>
          <w:lang w:eastAsia="fr-FR"/>
        </w:rPr>
        <w:t>14</w:t>
      </w:r>
      <w:r w:rsidR="00533BBB">
        <w:rPr>
          <w:rFonts w:eastAsiaTheme="minorHAnsi"/>
          <w:iCs/>
          <w:sz w:val="22"/>
          <w:szCs w:val="22"/>
          <w:lang w:eastAsia="en-US"/>
        </w:rPr>
        <w:t>. The coefficient</w:t>
      </w:r>
      <w:r w:rsidR="00721085" w:rsidRPr="00233992">
        <w:rPr>
          <w:rFonts w:eastAsiaTheme="minorHAnsi"/>
          <w:iCs/>
          <w:sz w:val="22"/>
          <w:szCs w:val="22"/>
          <w:lang w:eastAsia="en-US"/>
        </w:rPr>
        <w:t xml:space="preserve"> </w:t>
      </w:r>
      <w:r w:rsidR="006672A0" w:rsidRPr="00233992">
        <w:rPr>
          <w:rFonts w:eastAsiaTheme="minorHAnsi"/>
          <w:iCs/>
          <w:sz w:val="22"/>
          <w:szCs w:val="22"/>
          <w:lang w:eastAsia="en-US"/>
        </w:rPr>
        <w:t>on</w:t>
      </w:r>
      <w:r w:rsidR="00721085" w:rsidRPr="00233992">
        <w:rPr>
          <w:rFonts w:eastAsiaTheme="minorHAnsi"/>
          <w:iCs/>
          <w:sz w:val="22"/>
          <w:szCs w:val="22"/>
          <w:lang w:eastAsia="en-US"/>
        </w:rPr>
        <w:t xml:space="preserve"> </w:t>
      </w:r>
      <w:r w:rsidR="00721085" w:rsidRPr="00233992">
        <w:rPr>
          <w:rFonts w:eastAsiaTheme="minorHAnsi"/>
          <w:sz w:val="22"/>
          <w:szCs w:val="22"/>
          <w:lang w:eastAsia="en-US"/>
        </w:rPr>
        <w:t>CFIUS Block</w:t>
      </w:r>
      <w:r w:rsidR="00721085" w:rsidRPr="00233992">
        <w:rPr>
          <w:rFonts w:eastAsiaTheme="minorHAnsi"/>
          <w:iCs/>
          <w:sz w:val="22"/>
          <w:szCs w:val="22"/>
          <w:lang w:eastAsia="en-US"/>
        </w:rPr>
        <w:t xml:space="preserve"> </w:t>
      </w:r>
      <w:r w:rsidR="00533BBB">
        <w:rPr>
          <w:rFonts w:eastAsiaTheme="minorHAnsi"/>
          <w:iCs/>
          <w:sz w:val="22"/>
          <w:szCs w:val="22"/>
          <w:lang w:eastAsia="en-US"/>
        </w:rPr>
        <w:t>is</w:t>
      </w:r>
      <w:r w:rsidR="00721085" w:rsidRPr="00233992">
        <w:rPr>
          <w:rFonts w:eastAsiaTheme="minorHAnsi"/>
          <w:iCs/>
          <w:sz w:val="22"/>
          <w:szCs w:val="22"/>
          <w:lang w:eastAsia="en-US"/>
        </w:rPr>
        <w:t xml:space="preserve"> negativ</w:t>
      </w:r>
      <w:r w:rsidR="00994657">
        <w:rPr>
          <w:rFonts w:eastAsiaTheme="minorHAnsi"/>
          <w:iCs/>
          <w:sz w:val="22"/>
          <w:szCs w:val="22"/>
          <w:lang w:eastAsia="en-US"/>
        </w:rPr>
        <w:t>e and statistically significant, thus confirming our findings</w:t>
      </w:r>
      <w:r w:rsidR="002345EF">
        <w:rPr>
          <w:rFonts w:eastAsiaTheme="minorHAnsi"/>
          <w:iCs/>
          <w:sz w:val="22"/>
          <w:szCs w:val="22"/>
          <w:lang w:eastAsia="en-US"/>
        </w:rPr>
        <w:t>.</w:t>
      </w:r>
    </w:p>
    <w:p w14:paraId="5C384F15" w14:textId="01DFCD2A" w:rsidR="00D465F1" w:rsidRPr="00233992" w:rsidRDefault="00D465F1" w:rsidP="00233992">
      <w:pPr>
        <w:pStyle w:val="Normal2"/>
        <w:jc w:val="center"/>
        <w:rPr>
          <w:sz w:val="22"/>
          <w:szCs w:val="22"/>
        </w:rPr>
      </w:pPr>
      <w:r w:rsidRPr="00233992">
        <w:rPr>
          <w:sz w:val="22"/>
          <w:szCs w:val="22"/>
          <w:lang w:eastAsia="fr-FR"/>
        </w:rPr>
        <w:t xml:space="preserve">[Insert Table </w:t>
      </w:r>
      <w:r w:rsidR="00A053A8">
        <w:rPr>
          <w:sz w:val="22"/>
          <w:szCs w:val="22"/>
          <w:lang w:eastAsia="fr-FR"/>
        </w:rPr>
        <w:t>14</w:t>
      </w:r>
      <w:r w:rsidR="0063001C" w:rsidRPr="00233992">
        <w:rPr>
          <w:sz w:val="22"/>
          <w:szCs w:val="22"/>
          <w:lang w:eastAsia="fr-FR"/>
        </w:rPr>
        <w:t xml:space="preserve"> </w:t>
      </w:r>
      <w:r w:rsidRPr="00233992">
        <w:rPr>
          <w:sz w:val="22"/>
          <w:szCs w:val="22"/>
          <w:lang w:eastAsia="fr-FR"/>
        </w:rPr>
        <w:t>here]</w:t>
      </w:r>
    </w:p>
    <w:p w14:paraId="6585C4A3" w14:textId="225E0327" w:rsidR="00245A4A" w:rsidRPr="00233992" w:rsidRDefault="00F2598A" w:rsidP="00233992">
      <w:pPr>
        <w:spacing w:line="480" w:lineRule="auto"/>
        <w:jc w:val="both"/>
        <w:rPr>
          <w:rFonts w:eastAsiaTheme="minorHAnsi"/>
          <w:sz w:val="22"/>
          <w:szCs w:val="22"/>
          <w:lang w:eastAsia="en-US"/>
        </w:rPr>
      </w:pPr>
      <w:r w:rsidRPr="00233992">
        <w:rPr>
          <w:rFonts w:eastAsiaTheme="minorHAnsi"/>
          <w:color w:val="000000" w:themeColor="text1"/>
          <w:sz w:val="22"/>
          <w:szCs w:val="22"/>
          <w:lang w:eastAsia="en-US"/>
        </w:rPr>
        <w:tab/>
      </w:r>
      <w:r w:rsidR="006672A0" w:rsidRPr="00233992">
        <w:rPr>
          <w:rFonts w:eastAsiaTheme="minorHAnsi"/>
          <w:sz w:val="22"/>
          <w:szCs w:val="22"/>
          <w:lang w:eastAsia="en-US"/>
        </w:rPr>
        <w:t>Second</w:t>
      </w:r>
      <w:r w:rsidR="00245A4A" w:rsidRPr="00233992">
        <w:rPr>
          <w:rFonts w:eastAsiaTheme="minorHAnsi"/>
          <w:sz w:val="22"/>
          <w:szCs w:val="22"/>
          <w:lang w:eastAsia="en-US"/>
        </w:rPr>
        <w:t>,</w:t>
      </w:r>
      <w:r w:rsidR="00B9006C" w:rsidRPr="00233992">
        <w:rPr>
          <w:rFonts w:eastAsiaTheme="minorHAnsi"/>
          <w:sz w:val="22"/>
          <w:szCs w:val="22"/>
          <w:lang w:eastAsia="en-US"/>
        </w:rPr>
        <w:t xml:space="preserve"> we want to rule out the possibility that </w:t>
      </w:r>
      <w:r w:rsidR="00901D09" w:rsidRPr="00233992">
        <w:rPr>
          <w:rFonts w:eastAsiaTheme="minorHAnsi"/>
          <w:sz w:val="22"/>
          <w:szCs w:val="22"/>
          <w:lang w:eastAsia="en-US"/>
        </w:rPr>
        <w:t xml:space="preserve">heterogenous industry effects could drive </w:t>
      </w:r>
      <w:r w:rsidR="004824FE" w:rsidRPr="00233992">
        <w:rPr>
          <w:rFonts w:eastAsiaTheme="minorHAnsi"/>
          <w:sz w:val="22"/>
          <w:szCs w:val="22"/>
          <w:lang w:eastAsia="en-US"/>
        </w:rPr>
        <w:t>our results</w:t>
      </w:r>
      <w:r w:rsidR="00B9006C" w:rsidRPr="00233992">
        <w:rPr>
          <w:rFonts w:eastAsiaTheme="minorHAnsi"/>
          <w:sz w:val="22"/>
          <w:szCs w:val="22"/>
          <w:lang w:eastAsia="en-US"/>
        </w:rPr>
        <w:t>.</w:t>
      </w:r>
      <w:r w:rsidR="00BD1091" w:rsidRPr="00233992">
        <w:rPr>
          <w:rFonts w:eastAsiaTheme="minorHAnsi"/>
          <w:sz w:val="22"/>
          <w:szCs w:val="22"/>
          <w:lang w:eastAsia="en-US"/>
        </w:rPr>
        <w:t xml:space="preserve"> </w:t>
      </w:r>
      <w:r w:rsidR="004824FE" w:rsidRPr="00233992">
        <w:rPr>
          <w:rFonts w:eastAsiaTheme="minorHAnsi"/>
          <w:sz w:val="22"/>
          <w:szCs w:val="22"/>
          <w:lang w:eastAsia="en-US"/>
        </w:rPr>
        <w:t xml:space="preserve">This concern is mitigated by our </w:t>
      </w:r>
      <w:r w:rsidR="004F4759" w:rsidRPr="00233992">
        <w:rPr>
          <w:rFonts w:eastAsiaTheme="minorHAnsi"/>
          <w:sz w:val="22"/>
          <w:szCs w:val="22"/>
          <w:lang w:eastAsia="en-US"/>
        </w:rPr>
        <w:t>choice of</w:t>
      </w:r>
      <w:r w:rsidR="003E61E5" w:rsidRPr="00233992">
        <w:rPr>
          <w:rFonts w:eastAsiaTheme="minorHAnsi"/>
          <w:sz w:val="22"/>
          <w:szCs w:val="22"/>
          <w:lang w:eastAsia="en-US"/>
        </w:rPr>
        <w:t xml:space="preserve"> </w:t>
      </w:r>
      <w:r w:rsidR="004824FE" w:rsidRPr="00233992">
        <w:rPr>
          <w:rFonts w:eastAsiaTheme="minorHAnsi"/>
          <w:sz w:val="22"/>
          <w:szCs w:val="22"/>
          <w:lang w:eastAsia="en-US"/>
        </w:rPr>
        <w:t xml:space="preserve">peers, namely the </w:t>
      </w:r>
      <w:r w:rsidR="00EA012A" w:rsidRPr="00233992">
        <w:rPr>
          <w:rFonts w:eastAsiaTheme="minorHAnsi"/>
          <w:sz w:val="22"/>
          <w:szCs w:val="22"/>
          <w:lang w:eastAsia="en-US"/>
        </w:rPr>
        <w:t>TNIC</w:t>
      </w:r>
      <w:r w:rsidR="004824FE" w:rsidRPr="00233992">
        <w:rPr>
          <w:rFonts w:eastAsiaTheme="minorHAnsi"/>
          <w:sz w:val="22"/>
          <w:szCs w:val="22"/>
          <w:lang w:eastAsia="en-US"/>
        </w:rPr>
        <w:t xml:space="preserve"> classification</w:t>
      </w:r>
      <w:r w:rsidR="003E61E5" w:rsidRPr="00233992">
        <w:rPr>
          <w:rFonts w:eastAsiaTheme="minorHAnsi"/>
          <w:sz w:val="22"/>
          <w:szCs w:val="22"/>
          <w:lang w:eastAsia="en-US"/>
        </w:rPr>
        <w:t xml:space="preserve"> (Hoberg </w:t>
      </w:r>
      <w:r w:rsidR="002F33FA" w:rsidRPr="009E743F">
        <w:rPr>
          <w:rFonts w:eastAsiaTheme="minorHAnsi"/>
          <w:sz w:val="22"/>
          <w:szCs w:val="22"/>
          <w:lang w:eastAsia="en-US"/>
        </w:rPr>
        <w:t>&amp;</w:t>
      </w:r>
      <w:r w:rsidR="002F33FA">
        <w:rPr>
          <w:rFonts w:eastAsiaTheme="minorHAnsi"/>
          <w:sz w:val="22"/>
          <w:szCs w:val="22"/>
          <w:lang w:eastAsia="en-US"/>
        </w:rPr>
        <w:t xml:space="preserve"> </w:t>
      </w:r>
      <w:r w:rsidR="003E61E5" w:rsidRPr="00233992">
        <w:rPr>
          <w:rFonts w:eastAsiaTheme="minorHAnsi"/>
          <w:sz w:val="22"/>
          <w:szCs w:val="22"/>
          <w:lang w:eastAsia="en-US"/>
        </w:rPr>
        <w:t>Phillips</w:t>
      </w:r>
      <w:r w:rsidR="005C1C17" w:rsidRPr="00233992">
        <w:rPr>
          <w:rFonts w:eastAsiaTheme="minorHAnsi"/>
          <w:sz w:val="22"/>
          <w:szCs w:val="22"/>
          <w:lang w:eastAsia="en-US"/>
        </w:rPr>
        <w:t>,</w:t>
      </w:r>
      <w:r w:rsidR="003E61E5" w:rsidRPr="00233992">
        <w:rPr>
          <w:rFonts w:eastAsiaTheme="minorHAnsi"/>
          <w:sz w:val="22"/>
          <w:szCs w:val="22"/>
          <w:lang w:eastAsia="en-US"/>
        </w:rPr>
        <w:t xml:space="preserve"> 2010</w:t>
      </w:r>
      <w:r w:rsidR="003D50A8" w:rsidRPr="00233992">
        <w:rPr>
          <w:rFonts w:eastAsiaTheme="minorHAnsi"/>
          <w:sz w:val="22"/>
          <w:szCs w:val="22"/>
          <w:lang w:eastAsia="en-US"/>
        </w:rPr>
        <w:t>,</w:t>
      </w:r>
      <w:r w:rsidR="003E61E5" w:rsidRPr="00233992">
        <w:rPr>
          <w:rFonts w:eastAsiaTheme="minorHAnsi"/>
          <w:sz w:val="22"/>
          <w:szCs w:val="22"/>
          <w:lang w:eastAsia="en-US"/>
        </w:rPr>
        <w:t xml:space="preserve"> 2016)</w:t>
      </w:r>
      <w:r w:rsidR="004824FE" w:rsidRPr="00233992">
        <w:rPr>
          <w:rFonts w:eastAsiaTheme="minorHAnsi"/>
          <w:sz w:val="22"/>
          <w:szCs w:val="22"/>
          <w:lang w:eastAsia="en-US"/>
        </w:rPr>
        <w:t xml:space="preserve">. Nevertheless, </w:t>
      </w:r>
      <w:r w:rsidR="004F4759" w:rsidRPr="00233992">
        <w:rPr>
          <w:rFonts w:eastAsiaTheme="minorHAnsi"/>
          <w:sz w:val="22"/>
          <w:szCs w:val="22"/>
          <w:lang w:eastAsia="en-US"/>
        </w:rPr>
        <w:t>a</w:t>
      </w:r>
      <w:r w:rsidR="00BD1091" w:rsidRPr="00233992">
        <w:rPr>
          <w:rFonts w:eastAsiaTheme="minorHAnsi"/>
          <w:sz w:val="22"/>
          <w:szCs w:val="22"/>
          <w:lang w:eastAsia="en-US"/>
        </w:rPr>
        <w:t xml:space="preserve">lmost 30% of </w:t>
      </w:r>
      <w:r w:rsidR="004F4759" w:rsidRPr="00233992">
        <w:rPr>
          <w:rFonts w:eastAsiaTheme="minorHAnsi"/>
          <w:sz w:val="22"/>
          <w:szCs w:val="22"/>
          <w:lang w:eastAsia="en-US"/>
        </w:rPr>
        <w:t xml:space="preserve">the treatment group </w:t>
      </w:r>
      <w:r w:rsidR="00BD1091" w:rsidRPr="00233992">
        <w:rPr>
          <w:rFonts w:eastAsiaTheme="minorHAnsi"/>
          <w:sz w:val="22"/>
          <w:szCs w:val="22"/>
          <w:lang w:eastAsia="en-US"/>
        </w:rPr>
        <w:t>belong</w:t>
      </w:r>
      <w:r w:rsidR="004F4759" w:rsidRPr="00233992">
        <w:rPr>
          <w:rFonts w:eastAsiaTheme="minorHAnsi"/>
          <w:sz w:val="22"/>
          <w:szCs w:val="22"/>
          <w:lang w:eastAsia="en-US"/>
        </w:rPr>
        <w:t>s</w:t>
      </w:r>
      <w:r w:rsidR="00BD1091" w:rsidRPr="00233992">
        <w:rPr>
          <w:rFonts w:eastAsiaTheme="minorHAnsi"/>
          <w:sz w:val="22"/>
          <w:szCs w:val="22"/>
          <w:lang w:eastAsia="en-US"/>
        </w:rPr>
        <w:t xml:space="preserve"> to the semiconductor </w:t>
      </w:r>
      <w:r w:rsidR="003E61E5" w:rsidRPr="00233992">
        <w:rPr>
          <w:rFonts w:eastAsiaTheme="minorHAnsi"/>
          <w:sz w:val="22"/>
          <w:szCs w:val="22"/>
          <w:lang w:eastAsia="en-US"/>
        </w:rPr>
        <w:t>and</w:t>
      </w:r>
      <w:r w:rsidR="004824FE" w:rsidRPr="00233992">
        <w:rPr>
          <w:rFonts w:eastAsiaTheme="minorHAnsi"/>
          <w:sz w:val="22"/>
          <w:szCs w:val="22"/>
          <w:lang w:eastAsia="en-US"/>
        </w:rPr>
        <w:t xml:space="preserve"> pharmaceutical </w:t>
      </w:r>
      <w:r w:rsidR="00BD1091" w:rsidRPr="00233992">
        <w:rPr>
          <w:rFonts w:eastAsiaTheme="minorHAnsi"/>
          <w:sz w:val="22"/>
          <w:szCs w:val="22"/>
          <w:lang w:eastAsia="en-US"/>
        </w:rPr>
        <w:t>industr</w:t>
      </w:r>
      <w:r w:rsidR="00901D09" w:rsidRPr="00233992">
        <w:rPr>
          <w:rFonts w:eastAsiaTheme="minorHAnsi"/>
          <w:sz w:val="22"/>
          <w:szCs w:val="22"/>
          <w:lang w:eastAsia="en-US"/>
        </w:rPr>
        <w:t>ies</w:t>
      </w:r>
      <w:r w:rsidR="00BD1091" w:rsidRPr="00233992">
        <w:rPr>
          <w:rFonts w:eastAsiaTheme="minorHAnsi"/>
          <w:sz w:val="22"/>
          <w:szCs w:val="22"/>
          <w:lang w:eastAsia="en-US"/>
        </w:rPr>
        <w:t xml:space="preserve"> (SIC Code </w:t>
      </w:r>
      <w:r w:rsidR="004824FE" w:rsidRPr="00233992">
        <w:rPr>
          <w:rFonts w:eastAsiaTheme="minorHAnsi"/>
          <w:sz w:val="22"/>
          <w:szCs w:val="22"/>
          <w:lang w:eastAsia="en-US"/>
        </w:rPr>
        <w:t>283 and 367</w:t>
      </w:r>
      <w:r w:rsidR="00BD1091" w:rsidRPr="00233992">
        <w:rPr>
          <w:rFonts w:eastAsiaTheme="minorHAnsi"/>
          <w:sz w:val="22"/>
          <w:szCs w:val="22"/>
          <w:lang w:eastAsia="en-US"/>
        </w:rPr>
        <w:t xml:space="preserve">), which </w:t>
      </w:r>
      <w:r w:rsidR="00901D09" w:rsidRPr="00233992">
        <w:rPr>
          <w:rFonts w:eastAsiaTheme="minorHAnsi"/>
          <w:sz w:val="22"/>
          <w:szCs w:val="22"/>
          <w:lang w:eastAsia="en-US"/>
        </w:rPr>
        <w:t xml:space="preserve">have been </w:t>
      </w:r>
      <w:r w:rsidR="00BD1091" w:rsidRPr="00233992">
        <w:rPr>
          <w:rFonts w:eastAsiaTheme="minorHAnsi"/>
          <w:sz w:val="22"/>
          <w:szCs w:val="22"/>
          <w:lang w:eastAsia="en-US"/>
        </w:rPr>
        <w:t xml:space="preserve">targeted by multiple CFIUS </w:t>
      </w:r>
      <w:r w:rsidR="004F4759" w:rsidRPr="00233992">
        <w:rPr>
          <w:rFonts w:eastAsiaTheme="minorHAnsi"/>
          <w:sz w:val="22"/>
          <w:szCs w:val="22"/>
          <w:lang w:eastAsia="en-US"/>
        </w:rPr>
        <w:lastRenderedPageBreak/>
        <w:t>interventions</w:t>
      </w:r>
      <w:r w:rsidR="00BD1091" w:rsidRPr="00233992">
        <w:rPr>
          <w:rFonts w:eastAsiaTheme="minorHAnsi"/>
          <w:sz w:val="22"/>
          <w:szCs w:val="22"/>
          <w:lang w:eastAsia="en-US"/>
        </w:rPr>
        <w:t xml:space="preserve">. </w:t>
      </w:r>
      <w:r w:rsidR="00C074E1" w:rsidRPr="00233992">
        <w:rPr>
          <w:rFonts w:eastAsiaTheme="minorHAnsi"/>
          <w:sz w:val="22"/>
          <w:szCs w:val="22"/>
          <w:lang w:eastAsia="en-US"/>
        </w:rPr>
        <w:t>In this test, w</w:t>
      </w:r>
      <w:r w:rsidR="00BD1091" w:rsidRPr="00233992">
        <w:rPr>
          <w:rFonts w:eastAsiaTheme="minorHAnsi"/>
          <w:sz w:val="22"/>
          <w:szCs w:val="22"/>
          <w:lang w:eastAsia="en-US"/>
        </w:rPr>
        <w:t xml:space="preserve">e </w:t>
      </w:r>
      <w:r w:rsidR="00533BBB">
        <w:rPr>
          <w:rFonts w:eastAsiaTheme="minorHAnsi"/>
          <w:sz w:val="22"/>
          <w:szCs w:val="22"/>
          <w:lang w:eastAsia="en-US"/>
        </w:rPr>
        <w:t>remove</w:t>
      </w:r>
      <w:r w:rsidR="00BD1091" w:rsidRPr="00233992">
        <w:rPr>
          <w:rFonts w:eastAsiaTheme="minorHAnsi"/>
          <w:sz w:val="22"/>
          <w:szCs w:val="22"/>
          <w:lang w:eastAsia="en-US"/>
        </w:rPr>
        <w:t xml:space="preserve"> th</w:t>
      </w:r>
      <w:r w:rsidR="004824FE" w:rsidRPr="00233992">
        <w:rPr>
          <w:rFonts w:eastAsiaTheme="minorHAnsi"/>
          <w:sz w:val="22"/>
          <w:szCs w:val="22"/>
          <w:lang w:eastAsia="en-US"/>
        </w:rPr>
        <w:t>ese</w:t>
      </w:r>
      <w:r w:rsidR="00BD1091" w:rsidRPr="00233992">
        <w:rPr>
          <w:rFonts w:eastAsiaTheme="minorHAnsi"/>
          <w:sz w:val="22"/>
          <w:szCs w:val="22"/>
          <w:lang w:eastAsia="en-US"/>
        </w:rPr>
        <w:t xml:space="preserve"> </w:t>
      </w:r>
      <w:r w:rsidR="003E61E5" w:rsidRPr="00233992">
        <w:rPr>
          <w:rFonts w:eastAsiaTheme="minorHAnsi"/>
          <w:sz w:val="22"/>
          <w:szCs w:val="22"/>
          <w:lang w:eastAsia="en-US"/>
        </w:rPr>
        <w:t>industries from the sample</w:t>
      </w:r>
      <w:r w:rsidR="00BD1091" w:rsidRPr="00233992">
        <w:rPr>
          <w:rFonts w:eastAsiaTheme="minorHAnsi"/>
          <w:sz w:val="22"/>
          <w:szCs w:val="22"/>
          <w:lang w:eastAsia="en-US"/>
        </w:rPr>
        <w:t xml:space="preserve">. Results are tabulated in </w:t>
      </w:r>
      <w:r w:rsidR="00533BBB">
        <w:rPr>
          <w:rFonts w:eastAsiaTheme="minorHAnsi"/>
          <w:sz w:val="22"/>
          <w:szCs w:val="22"/>
          <w:lang w:eastAsia="en-US"/>
        </w:rPr>
        <w:t>column 2</w:t>
      </w:r>
      <w:r w:rsidR="006672A0" w:rsidRPr="00233992">
        <w:rPr>
          <w:rFonts w:eastAsiaTheme="minorHAnsi"/>
          <w:sz w:val="22"/>
          <w:szCs w:val="22"/>
          <w:lang w:eastAsia="en-US"/>
        </w:rPr>
        <w:t xml:space="preserve"> of Table </w:t>
      </w:r>
      <w:r w:rsidR="00A053A8">
        <w:rPr>
          <w:sz w:val="22"/>
          <w:szCs w:val="22"/>
          <w:lang w:eastAsia="fr-FR"/>
        </w:rPr>
        <w:t>14</w:t>
      </w:r>
      <w:r w:rsidR="00BD1091" w:rsidRPr="00233992">
        <w:rPr>
          <w:rFonts w:eastAsiaTheme="minorHAnsi"/>
          <w:sz w:val="22"/>
          <w:szCs w:val="22"/>
          <w:lang w:eastAsia="en-US"/>
        </w:rPr>
        <w:t>. The coefficient on</w:t>
      </w:r>
      <w:r w:rsidR="004F4759" w:rsidRPr="00233992">
        <w:rPr>
          <w:rFonts w:eastAsiaTheme="minorHAnsi"/>
          <w:sz w:val="22"/>
          <w:szCs w:val="22"/>
          <w:lang w:eastAsia="en-US"/>
        </w:rPr>
        <w:t xml:space="preserve"> </w:t>
      </w:r>
      <w:r w:rsidR="00BD1091" w:rsidRPr="00233992">
        <w:rPr>
          <w:rFonts w:eastAsiaTheme="minorHAnsi"/>
          <w:iCs/>
          <w:sz w:val="22"/>
          <w:szCs w:val="22"/>
          <w:lang w:eastAsia="en-US"/>
        </w:rPr>
        <w:t xml:space="preserve">CFIUS </w:t>
      </w:r>
      <w:r w:rsidR="006672A0" w:rsidRPr="00233992">
        <w:rPr>
          <w:rFonts w:eastAsiaTheme="minorHAnsi"/>
          <w:iCs/>
          <w:sz w:val="22"/>
          <w:szCs w:val="22"/>
          <w:lang w:eastAsia="en-US"/>
        </w:rPr>
        <w:t>B</w:t>
      </w:r>
      <w:r w:rsidR="00BD1091" w:rsidRPr="00233992">
        <w:rPr>
          <w:rFonts w:eastAsiaTheme="minorHAnsi"/>
          <w:iCs/>
          <w:sz w:val="22"/>
          <w:szCs w:val="22"/>
          <w:lang w:eastAsia="en-US"/>
        </w:rPr>
        <w:t>lock</w:t>
      </w:r>
      <w:r w:rsidR="00BD1091" w:rsidRPr="00233992">
        <w:rPr>
          <w:rFonts w:eastAsiaTheme="minorHAnsi"/>
          <w:sz w:val="22"/>
          <w:szCs w:val="22"/>
          <w:lang w:eastAsia="en-US"/>
        </w:rPr>
        <w:t xml:space="preserve"> </w:t>
      </w:r>
      <w:r w:rsidR="00533BBB">
        <w:rPr>
          <w:rFonts w:eastAsiaTheme="minorHAnsi"/>
          <w:sz w:val="22"/>
          <w:szCs w:val="22"/>
          <w:lang w:eastAsia="en-US"/>
        </w:rPr>
        <w:t>is</w:t>
      </w:r>
      <w:r w:rsidR="00CF77B9" w:rsidRPr="00233992">
        <w:rPr>
          <w:rFonts w:eastAsiaTheme="minorHAnsi"/>
          <w:sz w:val="22"/>
          <w:szCs w:val="22"/>
          <w:lang w:eastAsia="en-US"/>
        </w:rPr>
        <w:t xml:space="preserve"> </w:t>
      </w:r>
      <w:r w:rsidR="00D95BE9">
        <w:rPr>
          <w:rFonts w:eastAsiaTheme="minorHAnsi"/>
          <w:sz w:val="22"/>
          <w:szCs w:val="22"/>
          <w:lang w:eastAsia="en-US"/>
        </w:rPr>
        <w:t xml:space="preserve">still </w:t>
      </w:r>
      <w:r w:rsidR="00BD1091" w:rsidRPr="00233992">
        <w:rPr>
          <w:rFonts w:eastAsiaTheme="minorHAnsi"/>
          <w:sz w:val="22"/>
          <w:szCs w:val="22"/>
          <w:lang w:eastAsia="en-US"/>
        </w:rPr>
        <w:t xml:space="preserve">negative and </w:t>
      </w:r>
      <w:r w:rsidR="006672A0" w:rsidRPr="00233992">
        <w:rPr>
          <w:rFonts w:eastAsiaTheme="minorHAnsi"/>
          <w:color w:val="000000" w:themeColor="text1"/>
          <w:sz w:val="22"/>
          <w:szCs w:val="22"/>
          <w:lang w:eastAsia="en-US"/>
        </w:rPr>
        <w:t xml:space="preserve">statistically </w:t>
      </w:r>
      <w:r w:rsidR="00BD1091" w:rsidRPr="00233992">
        <w:rPr>
          <w:rFonts w:eastAsiaTheme="minorHAnsi"/>
          <w:sz w:val="22"/>
          <w:szCs w:val="22"/>
          <w:lang w:eastAsia="en-US"/>
        </w:rPr>
        <w:t xml:space="preserve">significant, suggesting that </w:t>
      </w:r>
      <w:r w:rsidR="00901D09" w:rsidRPr="00233992">
        <w:rPr>
          <w:rFonts w:eastAsiaTheme="minorHAnsi"/>
          <w:sz w:val="22"/>
          <w:szCs w:val="22"/>
          <w:lang w:eastAsia="en-US"/>
        </w:rPr>
        <w:t xml:space="preserve">heterogeneous industry effects do not drive </w:t>
      </w:r>
      <w:r w:rsidR="00BD1091" w:rsidRPr="00233992">
        <w:rPr>
          <w:rFonts w:eastAsiaTheme="minorHAnsi"/>
          <w:sz w:val="22"/>
          <w:szCs w:val="22"/>
          <w:lang w:eastAsia="en-US"/>
        </w:rPr>
        <w:t xml:space="preserve">our </w:t>
      </w:r>
      <w:r w:rsidR="00CF77B9" w:rsidRPr="00233992">
        <w:rPr>
          <w:rFonts w:eastAsiaTheme="minorHAnsi"/>
          <w:sz w:val="22"/>
          <w:szCs w:val="22"/>
          <w:lang w:eastAsia="en-US"/>
        </w:rPr>
        <w:t>findings</w:t>
      </w:r>
      <w:r w:rsidR="00BD1091" w:rsidRPr="00233992">
        <w:rPr>
          <w:rFonts w:eastAsiaTheme="minorHAnsi"/>
          <w:sz w:val="22"/>
          <w:szCs w:val="22"/>
          <w:lang w:eastAsia="en-US"/>
        </w:rPr>
        <w:t>.</w:t>
      </w:r>
    </w:p>
    <w:p w14:paraId="57D58385" w14:textId="5A945FEE" w:rsidR="00245A4A" w:rsidRDefault="00245A4A" w:rsidP="00233992">
      <w:pPr>
        <w:spacing w:line="480" w:lineRule="auto"/>
        <w:jc w:val="both"/>
        <w:rPr>
          <w:rFonts w:eastAsiaTheme="minorHAnsi"/>
          <w:sz w:val="22"/>
          <w:szCs w:val="22"/>
          <w:lang w:eastAsia="en-US"/>
        </w:rPr>
      </w:pPr>
      <w:r w:rsidRPr="00233992">
        <w:rPr>
          <w:rFonts w:eastAsiaTheme="minorHAnsi"/>
          <w:sz w:val="22"/>
          <w:szCs w:val="22"/>
          <w:lang w:eastAsia="en-US"/>
        </w:rPr>
        <w:tab/>
      </w:r>
      <w:r w:rsidR="00D465F1" w:rsidRPr="00233992">
        <w:rPr>
          <w:rFonts w:eastAsiaTheme="minorHAnsi"/>
          <w:sz w:val="22"/>
          <w:szCs w:val="22"/>
          <w:lang w:eastAsia="en-US"/>
        </w:rPr>
        <w:t>Third</w:t>
      </w:r>
      <w:r w:rsidRPr="00233992">
        <w:rPr>
          <w:rFonts w:eastAsiaTheme="minorHAnsi"/>
          <w:sz w:val="22"/>
          <w:szCs w:val="22"/>
          <w:lang w:eastAsia="en-US"/>
        </w:rPr>
        <w:t xml:space="preserve">, we </w:t>
      </w:r>
      <w:r w:rsidR="00C777EB" w:rsidRPr="00233992">
        <w:rPr>
          <w:rFonts w:eastAsiaTheme="minorHAnsi"/>
          <w:sz w:val="22"/>
          <w:szCs w:val="22"/>
          <w:lang w:eastAsia="en-US"/>
        </w:rPr>
        <w:t>restrict the sample to firms with one business segment</w:t>
      </w:r>
      <w:r w:rsidRPr="00233992">
        <w:rPr>
          <w:rFonts w:eastAsiaTheme="minorHAnsi"/>
          <w:sz w:val="22"/>
          <w:szCs w:val="22"/>
          <w:lang w:eastAsia="en-US"/>
        </w:rPr>
        <w:t xml:space="preserve">. </w:t>
      </w:r>
      <w:r w:rsidR="00CF77B9" w:rsidRPr="00233992">
        <w:rPr>
          <w:rFonts w:eastAsiaTheme="minorHAnsi"/>
          <w:sz w:val="22"/>
          <w:szCs w:val="22"/>
          <w:lang w:eastAsia="en-US"/>
        </w:rPr>
        <w:t xml:space="preserve">In the light of </w:t>
      </w:r>
      <w:r w:rsidR="00BA13AE" w:rsidRPr="00233992">
        <w:rPr>
          <w:rFonts w:eastAsiaTheme="minorHAnsi"/>
          <w:sz w:val="22"/>
          <w:szCs w:val="22"/>
          <w:lang w:eastAsia="en-US"/>
        </w:rPr>
        <w:t xml:space="preserve">the TNIC classification, </w:t>
      </w:r>
      <w:r w:rsidR="00CF77B9" w:rsidRPr="00233992">
        <w:rPr>
          <w:rFonts w:eastAsiaTheme="minorHAnsi"/>
          <w:sz w:val="22"/>
          <w:szCs w:val="22"/>
          <w:lang w:eastAsia="en-US"/>
        </w:rPr>
        <w:t>peers</w:t>
      </w:r>
      <w:r w:rsidR="002A3162" w:rsidRPr="00233992">
        <w:rPr>
          <w:rFonts w:eastAsiaTheme="minorHAnsi"/>
          <w:sz w:val="22"/>
          <w:szCs w:val="22"/>
          <w:lang w:eastAsia="en-US"/>
        </w:rPr>
        <w:t xml:space="preserve"> </w:t>
      </w:r>
      <w:r w:rsidR="00CF77B9" w:rsidRPr="00233992">
        <w:rPr>
          <w:rFonts w:eastAsiaTheme="minorHAnsi"/>
          <w:sz w:val="22"/>
          <w:szCs w:val="22"/>
          <w:lang w:eastAsia="en-US"/>
        </w:rPr>
        <w:t xml:space="preserve">are characterized by </w:t>
      </w:r>
      <w:r w:rsidR="002A3162" w:rsidRPr="00233992">
        <w:rPr>
          <w:rFonts w:eastAsiaTheme="minorHAnsi"/>
          <w:sz w:val="22"/>
          <w:szCs w:val="22"/>
          <w:lang w:eastAsia="en-US"/>
        </w:rPr>
        <w:t xml:space="preserve">greater affinities </w:t>
      </w:r>
      <w:r w:rsidR="004B49C3" w:rsidRPr="00233992">
        <w:rPr>
          <w:rFonts w:eastAsiaTheme="minorHAnsi"/>
          <w:sz w:val="22"/>
          <w:szCs w:val="22"/>
          <w:lang w:eastAsia="en-US"/>
        </w:rPr>
        <w:t xml:space="preserve">than other </w:t>
      </w:r>
      <w:r w:rsidR="008C37DA" w:rsidRPr="00233992">
        <w:rPr>
          <w:rFonts w:eastAsiaTheme="minorHAnsi"/>
          <w:sz w:val="22"/>
          <w:szCs w:val="22"/>
          <w:lang w:eastAsia="en-US"/>
        </w:rPr>
        <w:t xml:space="preserve">industry </w:t>
      </w:r>
      <w:r w:rsidR="004B49C3" w:rsidRPr="00233992">
        <w:rPr>
          <w:rFonts w:eastAsiaTheme="minorHAnsi"/>
          <w:sz w:val="22"/>
          <w:szCs w:val="22"/>
          <w:lang w:eastAsia="en-US"/>
        </w:rPr>
        <w:t>classifications based on header code</w:t>
      </w:r>
      <w:r w:rsidR="00CF77B9" w:rsidRPr="00233992">
        <w:rPr>
          <w:rFonts w:eastAsiaTheme="minorHAnsi"/>
          <w:sz w:val="22"/>
          <w:szCs w:val="22"/>
          <w:lang w:eastAsia="en-US"/>
        </w:rPr>
        <w:t xml:space="preserve">s (Hoberg </w:t>
      </w:r>
      <w:r w:rsidR="002F33FA" w:rsidRPr="009E743F">
        <w:rPr>
          <w:rFonts w:eastAsiaTheme="minorHAnsi"/>
          <w:sz w:val="22"/>
          <w:szCs w:val="22"/>
          <w:lang w:eastAsia="en-US"/>
        </w:rPr>
        <w:t>&amp;</w:t>
      </w:r>
      <w:r w:rsidR="002F33FA">
        <w:rPr>
          <w:rFonts w:eastAsiaTheme="minorHAnsi"/>
          <w:sz w:val="22"/>
          <w:szCs w:val="22"/>
          <w:lang w:eastAsia="en-US"/>
        </w:rPr>
        <w:t xml:space="preserve"> </w:t>
      </w:r>
      <w:r w:rsidR="00CF77B9" w:rsidRPr="00233992">
        <w:rPr>
          <w:rFonts w:eastAsiaTheme="minorHAnsi"/>
          <w:sz w:val="22"/>
          <w:szCs w:val="22"/>
          <w:lang w:eastAsia="en-US"/>
        </w:rPr>
        <w:t>Phillips</w:t>
      </w:r>
      <w:r w:rsidR="005C1C17" w:rsidRPr="00233992">
        <w:rPr>
          <w:rFonts w:eastAsiaTheme="minorHAnsi"/>
          <w:sz w:val="22"/>
          <w:szCs w:val="22"/>
          <w:lang w:eastAsia="en-US"/>
        </w:rPr>
        <w:t>,</w:t>
      </w:r>
      <w:r w:rsidR="00CF77B9" w:rsidRPr="00233992">
        <w:rPr>
          <w:rFonts w:eastAsiaTheme="minorHAnsi"/>
          <w:sz w:val="22"/>
          <w:szCs w:val="22"/>
          <w:lang w:eastAsia="en-US"/>
        </w:rPr>
        <w:t xml:space="preserve"> 2010</w:t>
      </w:r>
      <w:r w:rsidR="003D50A8" w:rsidRPr="00233992">
        <w:rPr>
          <w:rFonts w:eastAsiaTheme="minorHAnsi"/>
          <w:sz w:val="22"/>
          <w:szCs w:val="22"/>
          <w:lang w:eastAsia="en-US"/>
        </w:rPr>
        <w:t>,</w:t>
      </w:r>
      <w:r w:rsidR="00CF77B9" w:rsidRPr="00233992">
        <w:rPr>
          <w:rFonts w:eastAsiaTheme="minorHAnsi"/>
          <w:sz w:val="22"/>
          <w:szCs w:val="22"/>
          <w:lang w:eastAsia="en-US"/>
        </w:rPr>
        <w:t xml:space="preserve"> 2016)</w:t>
      </w:r>
      <w:r w:rsidR="00F941A1" w:rsidRPr="00233992">
        <w:rPr>
          <w:rFonts w:eastAsiaTheme="minorHAnsi"/>
          <w:sz w:val="22"/>
          <w:szCs w:val="22"/>
          <w:lang w:eastAsia="en-US"/>
        </w:rPr>
        <w:t xml:space="preserve">. Yet </w:t>
      </w:r>
      <w:r w:rsidR="00AC1F69" w:rsidRPr="00233992">
        <w:rPr>
          <w:rFonts w:eastAsiaTheme="minorHAnsi"/>
          <w:sz w:val="22"/>
          <w:szCs w:val="22"/>
          <w:lang w:eastAsia="en-US"/>
        </w:rPr>
        <w:t>peers</w:t>
      </w:r>
      <w:r w:rsidR="00F941A1" w:rsidRPr="00233992">
        <w:rPr>
          <w:rFonts w:eastAsiaTheme="minorHAnsi"/>
          <w:sz w:val="22"/>
          <w:szCs w:val="22"/>
          <w:lang w:eastAsia="en-US"/>
        </w:rPr>
        <w:t xml:space="preserve"> </w:t>
      </w:r>
      <w:r w:rsidR="002A3162" w:rsidRPr="00233992">
        <w:rPr>
          <w:rFonts w:eastAsiaTheme="minorHAnsi"/>
          <w:sz w:val="22"/>
          <w:szCs w:val="22"/>
          <w:lang w:eastAsia="en-US"/>
        </w:rPr>
        <w:t xml:space="preserve">could still </w:t>
      </w:r>
      <w:r w:rsidR="00150F08" w:rsidRPr="00233992">
        <w:rPr>
          <w:rFonts w:eastAsiaTheme="minorHAnsi"/>
          <w:sz w:val="22"/>
          <w:szCs w:val="22"/>
          <w:lang w:eastAsia="en-US"/>
        </w:rPr>
        <w:t>run</w:t>
      </w:r>
      <w:r w:rsidR="00901D09" w:rsidRPr="00233992">
        <w:rPr>
          <w:rFonts w:eastAsiaTheme="minorHAnsi"/>
          <w:sz w:val="22"/>
          <w:szCs w:val="22"/>
          <w:lang w:eastAsia="en-US"/>
        </w:rPr>
        <w:t xml:space="preserve"> </w:t>
      </w:r>
      <w:r w:rsidR="002A3162" w:rsidRPr="00233992">
        <w:rPr>
          <w:rFonts w:eastAsiaTheme="minorHAnsi"/>
          <w:sz w:val="22"/>
          <w:szCs w:val="22"/>
          <w:lang w:eastAsia="en-US"/>
        </w:rPr>
        <w:t xml:space="preserve">different </w:t>
      </w:r>
      <w:r w:rsidR="00150F08" w:rsidRPr="00233992">
        <w:rPr>
          <w:rFonts w:eastAsiaTheme="minorHAnsi"/>
          <w:sz w:val="22"/>
          <w:szCs w:val="22"/>
          <w:lang w:eastAsia="en-US"/>
        </w:rPr>
        <w:t>activities</w:t>
      </w:r>
      <w:r w:rsidR="00901D09" w:rsidRPr="00233992">
        <w:rPr>
          <w:rFonts w:eastAsiaTheme="minorHAnsi"/>
          <w:sz w:val="22"/>
          <w:szCs w:val="22"/>
          <w:lang w:eastAsia="en-US"/>
        </w:rPr>
        <w:t xml:space="preserve"> </w:t>
      </w:r>
      <w:r w:rsidR="00AC4B48" w:rsidRPr="00233992">
        <w:rPr>
          <w:rFonts w:eastAsiaTheme="minorHAnsi"/>
          <w:sz w:val="22"/>
          <w:szCs w:val="22"/>
          <w:lang w:eastAsia="en-US"/>
        </w:rPr>
        <w:t>within</w:t>
      </w:r>
      <w:r w:rsidR="004B49C3" w:rsidRPr="00233992">
        <w:rPr>
          <w:rFonts w:eastAsiaTheme="minorHAnsi"/>
          <w:sz w:val="22"/>
          <w:szCs w:val="22"/>
          <w:lang w:eastAsia="en-US"/>
        </w:rPr>
        <w:t xml:space="preserve"> the same </w:t>
      </w:r>
      <w:r w:rsidR="00CF77B9" w:rsidRPr="00233992">
        <w:rPr>
          <w:rFonts w:eastAsiaTheme="minorHAnsi"/>
          <w:sz w:val="22"/>
          <w:szCs w:val="22"/>
          <w:lang w:eastAsia="en-US"/>
        </w:rPr>
        <w:t>industry</w:t>
      </w:r>
      <w:r w:rsidR="002A3162" w:rsidRPr="00233992">
        <w:rPr>
          <w:rFonts w:eastAsiaTheme="minorHAnsi"/>
          <w:sz w:val="22"/>
          <w:szCs w:val="22"/>
          <w:lang w:eastAsia="en-US"/>
        </w:rPr>
        <w:t>.</w:t>
      </w:r>
      <w:r w:rsidR="00267C98" w:rsidRPr="00233992">
        <w:rPr>
          <w:rFonts w:eastAsiaTheme="minorHAnsi"/>
          <w:sz w:val="22"/>
          <w:szCs w:val="22"/>
          <w:lang w:eastAsia="en-US"/>
        </w:rPr>
        <w:t xml:space="preserve"> </w:t>
      </w:r>
      <w:r w:rsidR="00C074E1" w:rsidRPr="00233992">
        <w:rPr>
          <w:rFonts w:eastAsiaTheme="minorHAnsi"/>
          <w:sz w:val="22"/>
          <w:szCs w:val="22"/>
          <w:lang w:eastAsia="en-US"/>
        </w:rPr>
        <w:t>In this test, w</w:t>
      </w:r>
      <w:r w:rsidR="00267C98" w:rsidRPr="00233992">
        <w:rPr>
          <w:rFonts w:eastAsiaTheme="minorHAnsi"/>
          <w:sz w:val="22"/>
          <w:szCs w:val="22"/>
          <w:lang w:eastAsia="en-US"/>
        </w:rPr>
        <w:t xml:space="preserve">e retain only firms with </w:t>
      </w:r>
      <w:r w:rsidR="00CF77B9" w:rsidRPr="00233992">
        <w:rPr>
          <w:rFonts w:eastAsiaTheme="minorHAnsi"/>
          <w:sz w:val="22"/>
          <w:szCs w:val="22"/>
          <w:lang w:eastAsia="en-US"/>
        </w:rPr>
        <w:t xml:space="preserve">a </w:t>
      </w:r>
      <w:r w:rsidR="00267C98" w:rsidRPr="00233992">
        <w:rPr>
          <w:rFonts w:eastAsiaTheme="minorHAnsi"/>
          <w:sz w:val="22"/>
          <w:szCs w:val="22"/>
          <w:lang w:eastAsia="en-US"/>
        </w:rPr>
        <w:t xml:space="preserve">unique business segment. </w:t>
      </w:r>
      <w:r w:rsidR="00CF77B9" w:rsidRPr="00233992">
        <w:rPr>
          <w:rFonts w:eastAsiaTheme="minorHAnsi"/>
          <w:sz w:val="22"/>
          <w:szCs w:val="22"/>
          <w:lang w:eastAsia="en-US"/>
        </w:rPr>
        <w:t>This choice</w:t>
      </w:r>
      <w:r w:rsidR="009750FB">
        <w:rPr>
          <w:rFonts w:eastAsiaTheme="minorHAnsi"/>
          <w:sz w:val="22"/>
          <w:szCs w:val="22"/>
          <w:lang w:eastAsia="en-US"/>
        </w:rPr>
        <w:t xml:space="preserve"> further</w:t>
      </w:r>
      <w:r w:rsidR="00CF77B9" w:rsidRPr="00233992">
        <w:rPr>
          <w:rFonts w:eastAsiaTheme="minorHAnsi"/>
          <w:sz w:val="22"/>
          <w:szCs w:val="22"/>
          <w:lang w:eastAsia="en-US"/>
        </w:rPr>
        <w:t xml:space="preserve"> mitigates potential concerns that </w:t>
      </w:r>
      <w:r w:rsidR="00C777EB" w:rsidRPr="00233992">
        <w:rPr>
          <w:rFonts w:eastAsiaTheme="minorHAnsi"/>
          <w:sz w:val="22"/>
          <w:szCs w:val="22"/>
          <w:lang w:eastAsia="en-US"/>
        </w:rPr>
        <w:t>firms</w:t>
      </w:r>
      <w:r w:rsidR="00CF77B9" w:rsidRPr="00233992">
        <w:rPr>
          <w:rFonts w:eastAsiaTheme="minorHAnsi"/>
          <w:sz w:val="22"/>
          <w:szCs w:val="22"/>
          <w:lang w:eastAsia="en-US"/>
        </w:rPr>
        <w:t xml:space="preserve"> </w:t>
      </w:r>
      <w:r w:rsidR="001A64D6" w:rsidRPr="00233992">
        <w:rPr>
          <w:rFonts w:eastAsiaTheme="minorHAnsi"/>
          <w:sz w:val="22"/>
          <w:szCs w:val="22"/>
          <w:lang w:eastAsia="en-US"/>
        </w:rPr>
        <w:t xml:space="preserve">could </w:t>
      </w:r>
      <w:r w:rsidR="00AC4B48" w:rsidRPr="00233992">
        <w:rPr>
          <w:rFonts w:eastAsiaTheme="minorHAnsi"/>
          <w:sz w:val="22"/>
          <w:szCs w:val="22"/>
          <w:lang w:eastAsia="en-US"/>
        </w:rPr>
        <w:t>exhibit</w:t>
      </w:r>
      <w:r w:rsidR="00CF77B9" w:rsidRPr="00233992">
        <w:rPr>
          <w:rFonts w:eastAsiaTheme="minorHAnsi"/>
          <w:sz w:val="22"/>
          <w:szCs w:val="22"/>
          <w:lang w:eastAsia="en-US"/>
        </w:rPr>
        <w:t xml:space="preserve"> different features. </w:t>
      </w:r>
      <w:r w:rsidR="00267C98" w:rsidRPr="00233992">
        <w:rPr>
          <w:rFonts w:eastAsiaTheme="minorHAnsi"/>
          <w:sz w:val="22"/>
          <w:szCs w:val="22"/>
          <w:lang w:eastAsia="en-US"/>
        </w:rPr>
        <w:t xml:space="preserve">We </w:t>
      </w:r>
      <w:r w:rsidRPr="00233992">
        <w:rPr>
          <w:rFonts w:eastAsiaTheme="minorHAnsi"/>
          <w:sz w:val="22"/>
          <w:szCs w:val="22"/>
          <w:lang w:eastAsia="en-US"/>
        </w:rPr>
        <w:t xml:space="preserve">tabulate </w:t>
      </w:r>
      <w:r w:rsidR="009750FB">
        <w:rPr>
          <w:rFonts w:eastAsiaTheme="minorHAnsi"/>
          <w:sz w:val="22"/>
          <w:szCs w:val="22"/>
          <w:lang w:eastAsia="en-US"/>
        </w:rPr>
        <w:t>our</w:t>
      </w:r>
      <w:r w:rsidRPr="00233992">
        <w:rPr>
          <w:rFonts w:eastAsiaTheme="minorHAnsi"/>
          <w:sz w:val="22"/>
          <w:szCs w:val="22"/>
          <w:lang w:eastAsia="en-US"/>
        </w:rPr>
        <w:t xml:space="preserve"> </w:t>
      </w:r>
      <w:r w:rsidR="00F941A1" w:rsidRPr="00233992">
        <w:rPr>
          <w:rFonts w:eastAsiaTheme="minorHAnsi"/>
          <w:sz w:val="22"/>
          <w:szCs w:val="22"/>
          <w:lang w:eastAsia="en-US"/>
        </w:rPr>
        <w:t xml:space="preserve">results </w:t>
      </w:r>
      <w:r w:rsidRPr="00233992">
        <w:rPr>
          <w:rFonts w:eastAsiaTheme="minorHAnsi"/>
          <w:sz w:val="22"/>
          <w:szCs w:val="22"/>
          <w:lang w:eastAsia="en-US"/>
        </w:rPr>
        <w:t xml:space="preserve">in </w:t>
      </w:r>
      <w:r w:rsidR="00D95BE9">
        <w:rPr>
          <w:rFonts w:eastAsiaTheme="minorHAnsi"/>
          <w:sz w:val="22"/>
          <w:szCs w:val="22"/>
          <w:lang w:eastAsia="en-US"/>
        </w:rPr>
        <w:t>column 3</w:t>
      </w:r>
      <w:r w:rsidR="00110865" w:rsidRPr="00233992">
        <w:rPr>
          <w:rFonts w:eastAsiaTheme="minorHAnsi"/>
          <w:sz w:val="22"/>
          <w:szCs w:val="22"/>
          <w:lang w:eastAsia="en-US"/>
        </w:rPr>
        <w:t xml:space="preserve"> of Table </w:t>
      </w:r>
      <w:r w:rsidR="00A053A8">
        <w:rPr>
          <w:sz w:val="22"/>
          <w:szCs w:val="22"/>
          <w:lang w:eastAsia="fr-FR"/>
        </w:rPr>
        <w:t>14</w:t>
      </w:r>
      <w:r w:rsidRPr="00233992">
        <w:rPr>
          <w:rFonts w:eastAsiaTheme="minorHAnsi"/>
          <w:sz w:val="22"/>
          <w:szCs w:val="22"/>
          <w:lang w:eastAsia="en-US"/>
        </w:rPr>
        <w:t xml:space="preserve">. </w:t>
      </w:r>
      <w:r w:rsidR="00F710BD" w:rsidRPr="00233992">
        <w:rPr>
          <w:rFonts w:eastAsiaTheme="minorHAnsi"/>
          <w:sz w:val="22"/>
          <w:szCs w:val="22"/>
          <w:lang w:eastAsia="en-US"/>
        </w:rPr>
        <w:t xml:space="preserve">The </w:t>
      </w:r>
      <w:r w:rsidRPr="00233992">
        <w:rPr>
          <w:rFonts w:eastAsiaTheme="minorHAnsi"/>
          <w:sz w:val="22"/>
          <w:szCs w:val="22"/>
          <w:lang w:eastAsia="en-US"/>
        </w:rPr>
        <w:t xml:space="preserve">coefficient </w:t>
      </w:r>
      <w:r w:rsidR="002A3162" w:rsidRPr="00233992">
        <w:rPr>
          <w:rFonts w:eastAsiaTheme="minorHAnsi"/>
          <w:sz w:val="22"/>
          <w:szCs w:val="22"/>
          <w:lang w:eastAsia="en-US"/>
        </w:rPr>
        <w:t>on</w:t>
      </w:r>
      <w:r w:rsidR="00F941A1" w:rsidRPr="00233992">
        <w:rPr>
          <w:rFonts w:eastAsiaTheme="minorHAnsi"/>
          <w:sz w:val="22"/>
          <w:szCs w:val="22"/>
          <w:lang w:eastAsia="en-US"/>
        </w:rPr>
        <w:t xml:space="preserve"> </w:t>
      </w:r>
      <w:r w:rsidR="002A3162" w:rsidRPr="00233992">
        <w:rPr>
          <w:rFonts w:eastAsiaTheme="minorHAnsi"/>
          <w:iCs/>
          <w:sz w:val="22"/>
          <w:szCs w:val="22"/>
          <w:lang w:eastAsia="en-US"/>
        </w:rPr>
        <w:t>CFIUS Block</w:t>
      </w:r>
      <w:r w:rsidR="002A3162" w:rsidRPr="00233992">
        <w:rPr>
          <w:rFonts w:eastAsiaTheme="minorHAnsi"/>
          <w:sz w:val="22"/>
          <w:szCs w:val="22"/>
          <w:lang w:eastAsia="en-US"/>
        </w:rPr>
        <w:t xml:space="preserve"> </w:t>
      </w:r>
      <w:r w:rsidR="00D95BE9">
        <w:rPr>
          <w:rFonts w:eastAsiaTheme="minorHAnsi"/>
          <w:sz w:val="22"/>
          <w:szCs w:val="22"/>
          <w:lang w:eastAsia="en-US"/>
        </w:rPr>
        <w:t>remains</w:t>
      </w:r>
      <w:r w:rsidR="00CF77B9" w:rsidRPr="00233992">
        <w:rPr>
          <w:rFonts w:eastAsiaTheme="minorHAnsi"/>
          <w:sz w:val="22"/>
          <w:szCs w:val="22"/>
          <w:lang w:eastAsia="en-US"/>
        </w:rPr>
        <w:t xml:space="preserve"> </w:t>
      </w:r>
      <w:r w:rsidRPr="00233992">
        <w:rPr>
          <w:rFonts w:eastAsiaTheme="minorHAnsi"/>
          <w:sz w:val="22"/>
          <w:szCs w:val="22"/>
          <w:lang w:eastAsia="en-US"/>
        </w:rPr>
        <w:t xml:space="preserve">negative and statistically significant. </w:t>
      </w:r>
      <w:r w:rsidR="001A64D6" w:rsidRPr="00233992">
        <w:rPr>
          <w:rFonts w:eastAsiaTheme="minorHAnsi"/>
          <w:sz w:val="22"/>
          <w:szCs w:val="22"/>
          <w:lang w:eastAsia="en-US"/>
        </w:rPr>
        <w:t xml:space="preserve">In sum, </w:t>
      </w:r>
      <w:r w:rsidR="00EA012A" w:rsidRPr="00233992">
        <w:rPr>
          <w:rFonts w:eastAsiaTheme="minorHAnsi"/>
          <w:sz w:val="22"/>
          <w:szCs w:val="22"/>
          <w:lang w:eastAsia="en-US"/>
        </w:rPr>
        <w:t xml:space="preserve">industry </w:t>
      </w:r>
      <w:r w:rsidR="00A66101" w:rsidRPr="00233992">
        <w:rPr>
          <w:rFonts w:eastAsiaTheme="minorHAnsi"/>
          <w:sz w:val="22"/>
          <w:szCs w:val="22"/>
          <w:lang w:eastAsia="en-US"/>
        </w:rPr>
        <w:t xml:space="preserve">misclassifications do </w:t>
      </w:r>
      <w:r w:rsidR="00A403BD" w:rsidRPr="00233992">
        <w:rPr>
          <w:rFonts w:eastAsiaTheme="minorHAnsi"/>
          <w:sz w:val="22"/>
          <w:szCs w:val="22"/>
          <w:lang w:eastAsia="en-US"/>
        </w:rPr>
        <w:t xml:space="preserve">not </w:t>
      </w:r>
      <w:r w:rsidR="00A66101" w:rsidRPr="00233992">
        <w:rPr>
          <w:rFonts w:eastAsiaTheme="minorHAnsi"/>
          <w:sz w:val="22"/>
          <w:szCs w:val="22"/>
          <w:lang w:eastAsia="en-US"/>
        </w:rPr>
        <w:t xml:space="preserve">appear to drive </w:t>
      </w:r>
      <w:r w:rsidR="001A64D6" w:rsidRPr="00233992">
        <w:rPr>
          <w:rFonts w:eastAsiaTheme="minorHAnsi"/>
          <w:sz w:val="22"/>
          <w:szCs w:val="22"/>
          <w:lang w:eastAsia="en-US"/>
        </w:rPr>
        <w:t>o</w:t>
      </w:r>
      <w:r w:rsidR="00DD1520" w:rsidRPr="00233992">
        <w:rPr>
          <w:rFonts w:eastAsiaTheme="minorHAnsi"/>
          <w:sz w:val="22"/>
          <w:szCs w:val="22"/>
          <w:lang w:eastAsia="en-US"/>
        </w:rPr>
        <w:t xml:space="preserve">ur results. </w:t>
      </w:r>
    </w:p>
    <w:p w14:paraId="0D0C1B34" w14:textId="53551302" w:rsidR="00D95BE9" w:rsidRPr="00233992" w:rsidRDefault="00D95BE9" w:rsidP="00233992">
      <w:pPr>
        <w:spacing w:line="480" w:lineRule="auto"/>
        <w:jc w:val="both"/>
        <w:rPr>
          <w:rFonts w:eastAsiaTheme="minorHAnsi"/>
          <w:sz w:val="22"/>
          <w:szCs w:val="22"/>
          <w:lang w:eastAsia="en-US"/>
        </w:rPr>
      </w:pPr>
      <w:r w:rsidRPr="00233992">
        <w:rPr>
          <w:rFonts w:eastAsiaTheme="minorHAnsi"/>
          <w:sz w:val="22"/>
          <w:szCs w:val="22"/>
          <w:lang w:eastAsia="en-US"/>
        </w:rPr>
        <w:tab/>
      </w:r>
      <w:r>
        <w:rPr>
          <w:rFonts w:eastAsiaTheme="minorHAnsi"/>
          <w:sz w:val="22"/>
          <w:szCs w:val="22"/>
          <w:lang w:eastAsia="en-US"/>
        </w:rPr>
        <w:t>Fourth</w:t>
      </w:r>
      <w:r w:rsidRPr="00233992">
        <w:rPr>
          <w:rFonts w:eastAsiaTheme="minorHAnsi"/>
          <w:sz w:val="22"/>
          <w:szCs w:val="22"/>
          <w:lang w:eastAsia="en-US"/>
        </w:rPr>
        <w:t>, our analysis is centered on CFIUS interventions involving list</w:t>
      </w:r>
      <w:r>
        <w:rPr>
          <w:rFonts w:eastAsiaTheme="minorHAnsi"/>
          <w:sz w:val="22"/>
          <w:szCs w:val="22"/>
          <w:lang w:eastAsia="en-US"/>
        </w:rPr>
        <w:t xml:space="preserve">ed targets and </w:t>
      </w:r>
      <w:r w:rsidRPr="00233992">
        <w:rPr>
          <w:rFonts w:eastAsiaTheme="minorHAnsi"/>
          <w:sz w:val="22"/>
          <w:szCs w:val="22"/>
          <w:lang w:eastAsia="en-US"/>
        </w:rPr>
        <w:t xml:space="preserve">omits private targets and asset deals. </w:t>
      </w:r>
      <w:r>
        <w:rPr>
          <w:rFonts w:eastAsiaTheme="minorHAnsi"/>
          <w:sz w:val="22"/>
          <w:szCs w:val="22"/>
          <w:lang w:eastAsia="en-US"/>
        </w:rPr>
        <w:t>This</w:t>
      </w:r>
      <w:r w:rsidRPr="00233992">
        <w:rPr>
          <w:rFonts w:eastAsiaTheme="minorHAnsi"/>
          <w:sz w:val="22"/>
          <w:szCs w:val="22"/>
          <w:lang w:eastAsia="en-US"/>
        </w:rPr>
        <w:t xml:space="preserve"> choice is motivated by </w:t>
      </w:r>
      <w:r>
        <w:rPr>
          <w:rFonts w:eastAsiaTheme="minorHAnsi"/>
          <w:sz w:val="22"/>
          <w:szCs w:val="22"/>
          <w:lang w:eastAsia="en-US"/>
        </w:rPr>
        <w:t>a few reasons. First, we</w:t>
      </w:r>
      <w:r w:rsidRPr="00233992">
        <w:rPr>
          <w:rFonts w:eastAsiaTheme="minorHAnsi"/>
          <w:sz w:val="22"/>
          <w:szCs w:val="22"/>
          <w:lang w:eastAsia="en-US"/>
        </w:rPr>
        <w:t xml:space="preserve"> </w:t>
      </w:r>
      <w:r>
        <w:rPr>
          <w:rFonts w:eastAsiaTheme="minorHAnsi"/>
          <w:sz w:val="22"/>
          <w:szCs w:val="22"/>
          <w:lang w:eastAsia="en-US"/>
        </w:rPr>
        <w:t>want</w:t>
      </w:r>
      <w:r w:rsidRPr="00233992">
        <w:rPr>
          <w:rFonts w:eastAsiaTheme="minorHAnsi"/>
          <w:sz w:val="22"/>
          <w:szCs w:val="22"/>
          <w:lang w:eastAsia="en-US"/>
        </w:rPr>
        <w:t xml:space="preserve"> to match the type of firms whose takeovers were blocked to the firms whose investments we analyze—namely U</w:t>
      </w:r>
      <w:r>
        <w:rPr>
          <w:rFonts w:eastAsiaTheme="minorHAnsi"/>
          <w:sz w:val="22"/>
          <w:szCs w:val="22"/>
          <w:lang w:eastAsia="en-US"/>
        </w:rPr>
        <w:t>.</w:t>
      </w:r>
      <w:r w:rsidRPr="00233992">
        <w:rPr>
          <w:rFonts w:eastAsiaTheme="minorHAnsi"/>
          <w:sz w:val="22"/>
          <w:szCs w:val="22"/>
          <w:lang w:eastAsia="en-US"/>
        </w:rPr>
        <w:t>S</w:t>
      </w:r>
      <w:r>
        <w:rPr>
          <w:rFonts w:eastAsiaTheme="minorHAnsi"/>
          <w:sz w:val="22"/>
          <w:szCs w:val="22"/>
          <w:lang w:eastAsia="en-US"/>
        </w:rPr>
        <w:t>.</w:t>
      </w:r>
      <w:r w:rsidRPr="00233992">
        <w:rPr>
          <w:rFonts w:eastAsiaTheme="minorHAnsi"/>
          <w:sz w:val="22"/>
          <w:szCs w:val="22"/>
          <w:lang w:eastAsia="en-US"/>
        </w:rPr>
        <w:t xml:space="preserve"> incorporated listed firms. </w:t>
      </w:r>
      <w:r>
        <w:rPr>
          <w:rFonts w:eastAsiaTheme="minorHAnsi"/>
          <w:sz w:val="22"/>
          <w:szCs w:val="22"/>
          <w:lang w:eastAsia="en-US"/>
        </w:rPr>
        <w:t>Second</w:t>
      </w:r>
      <w:r w:rsidRPr="00233992">
        <w:rPr>
          <w:rFonts w:eastAsiaTheme="minorHAnsi"/>
          <w:sz w:val="22"/>
          <w:szCs w:val="22"/>
          <w:lang w:eastAsia="en-US"/>
        </w:rPr>
        <w:t xml:space="preserve">, the TNIC classification (Hoberg </w:t>
      </w:r>
      <w:r w:rsidRPr="009E743F">
        <w:rPr>
          <w:rFonts w:eastAsiaTheme="minorHAnsi"/>
          <w:sz w:val="22"/>
          <w:szCs w:val="22"/>
          <w:lang w:eastAsia="en-US"/>
        </w:rPr>
        <w:t>&amp;</w:t>
      </w:r>
      <w:r>
        <w:rPr>
          <w:rFonts w:eastAsiaTheme="minorHAnsi"/>
          <w:sz w:val="22"/>
          <w:szCs w:val="22"/>
          <w:lang w:eastAsia="en-US"/>
        </w:rPr>
        <w:t xml:space="preserve"> </w:t>
      </w:r>
      <w:r w:rsidRPr="00233992">
        <w:rPr>
          <w:rFonts w:eastAsiaTheme="minorHAnsi"/>
          <w:sz w:val="22"/>
          <w:szCs w:val="22"/>
          <w:lang w:eastAsia="en-US"/>
        </w:rPr>
        <w:t xml:space="preserve">Phillips, 2010, 2016) </w:t>
      </w:r>
      <w:r>
        <w:rPr>
          <w:rFonts w:eastAsiaTheme="minorHAnsi"/>
          <w:sz w:val="22"/>
          <w:szCs w:val="22"/>
          <w:lang w:eastAsia="en-US"/>
        </w:rPr>
        <w:t xml:space="preserve">is </w:t>
      </w:r>
      <w:r w:rsidRPr="00233992">
        <w:rPr>
          <w:rFonts w:eastAsiaTheme="minorHAnsi"/>
          <w:sz w:val="22"/>
          <w:szCs w:val="22"/>
          <w:lang w:eastAsia="en-US"/>
        </w:rPr>
        <w:t xml:space="preserve">available only for listed firms. </w:t>
      </w:r>
      <w:r>
        <w:rPr>
          <w:rFonts w:eastAsiaTheme="minorHAnsi"/>
          <w:sz w:val="22"/>
          <w:szCs w:val="22"/>
          <w:lang w:eastAsia="en-US"/>
        </w:rPr>
        <w:t>Third, asset deals refer to set of assets and it is therefore difficult to identify their industry classification. Finally, our data construction process (see Appendix A for more details) suggests that some CFIUS interventions involving private targets were invisible and remained undetected.</w:t>
      </w:r>
      <w:r w:rsidRPr="00233992">
        <w:rPr>
          <w:rFonts w:eastAsiaTheme="minorHAnsi"/>
          <w:sz w:val="22"/>
          <w:szCs w:val="22"/>
          <w:lang w:eastAsia="en-US"/>
        </w:rPr>
        <w:t xml:space="preserve"> As we show in </w:t>
      </w:r>
      <w:r w:rsidR="00355232">
        <w:rPr>
          <w:rFonts w:eastAsiaTheme="minorHAnsi"/>
          <w:sz w:val="22"/>
          <w:szCs w:val="22"/>
          <w:lang w:eastAsia="en-US"/>
        </w:rPr>
        <w:t>column 4</w:t>
      </w:r>
      <w:r w:rsidRPr="00233992">
        <w:rPr>
          <w:rFonts w:eastAsiaTheme="minorHAnsi"/>
          <w:sz w:val="22"/>
          <w:szCs w:val="22"/>
          <w:lang w:eastAsia="en-US"/>
        </w:rPr>
        <w:t xml:space="preserve"> of Table </w:t>
      </w:r>
      <w:r>
        <w:rPr>
          <w:sz w:val="22"/>
          <w:szCs w:val="22"/>
          <w:lang w:eastAsia="fr-FR"/>
        </w:rPr>
        <w:t>14</w:t>
      </w:r>
      <w:r w:rsidRPr="00233992">
        <w:rPr>
          <w:rFonts w:eastAsiaTheme="minorHAnsi"/>
          <w:sz w:val="22"/>
          <w:szCs w:val="22"/>
          <w:lang w:eastAsia="en-US"/>
        </w:rPr>
        <w:t xml:space="preserve">, including all types of transactions—asset deals, listed and private targets—yields similar results. Using the </w:t>
      </w:r>
      <w:r w:rsidRPr="00233992">
        <w:rPr>
          <w:rFonts w:eastAsiaTheme="minorHAnsi"/>
          <w:color w:val="000000" w:themeColor="text1"/>
          <w:sz w:val="22"/>
          <w:szCs w:val="22"/>
          <w:lang w:eastAsia="en-US"/>
        </w:rPr>
        <w:t>SIC three-digit code classification</w:t>
      </w:r>
      <w:r w:rsidRPr="00233992">
        <w:rPr>
          <w:rFonts w:eastAsiaTheme="minorHAnsi"/>
          <w:sz w:val="22"/>
          <w:szCs w:val="22"/>
          <w:lang w:eastAsia="en-US"/>
        </w:rPr>
        <w:t xml:space="preserve">, the treatment group consists of the peers belonging to the industry of the target of every blocked acquisition. </w:t>
      </w:r>
      <w:r>
        <w:rPr>
          <w:rFonts w:eastAsiaTheme="minorHAnsi"/>
          <w:sz w:val="22"/>
          <w:szCs w:val="22"/>
          <w:lang w:eastAsia="en-US"/>
        </w:rPr>
        <w:t xml:space="preserve">In case of asset deals, we use the industry classification of the vendor. </w:t>
      </w:r>
      <w:r w:rsidR="00355232">
        <w:rPr>
          <w:rFonts w:eastAsiaTheme="minorHAnsi"/>
          <w:sz w:val="22"/>
          <w:szCs w:val="22"/>
          <w:lang w:eastAsia="en-US"/>
        </w:rPr>
        <w:t>The coefficient</w:t>
      </w:r>
      <w:r w:rsidRPr="00233992">
        <w:rPr>
          <w:rFonts w:eastAsiaTheme="minorHAnsi"/>
          <w:sz w:val="22"/>
          <w:szCs w:val="22"/>
          <w:lang w:eastAsia="en-US"/>
        </w:rPr>
        <w:t xml:space="preserve"> on </w:t>
      </w:r>
      <w:r w:rsidRPr="00233992">
        <w:rPr>
          <w:rFonts w:eastAsiaTheme="minorHAnsi"/>
          <w:iCs/>
          <w:sz w:val="22"/>
          <w:szCs w:val="22"/>
          <w:lang w:eastAsia="en-US"/>
        </w:rPr>
        <w:t>CFIUS Block all deals</w:t>
      </w:r>
      <w:r w:rsidRPr="00233992">
        <w:rPr>
          <w:rFonts w:eastAsiaTheme="minorHAnsi"/>
          <w:sz w:val="22"/>
          <w:szCs w:val="22"/>
          <w:lang w:eastAsia="en-US"/>
        </w:rPr>
        <w:t xml:space="preserve"> </w:t>
      </w:r>
      <w:r w:rsidR="00355232">
        <w:rPr>
          <w:rFonts w:eastAsiaTheme="minorHAnsi"/>
          <w:sz w:val="22"/>
          <w:szCs w:val="22"/>
          <w:lang w:eastAsia="en-US"/>
        </w:rPr>
        <w:t>is</w:t>
      </w:r>
      <w:r w:rsidRPr="00233992">
        <w:rPr>
          <w:rFonts w:eastAsiaTheme="minorHAnsi"/>
          <w:sz w:val="22"/>
          <w:szCs w:val="22"/>
          <w:lang w:eastAsia="en-US"/>
        </w:rPr>
        <w:t xml:space="preserve"> negative and statistically significant (</w:t>
      </w:r>
      <w:r>
        <w:rPr>
          <w:rFonts w:eastAsiaTheme="minorHAnsi"/>
          <w:sz w:val="22"/>
          <w:szCs w:val="22"/>
          <w:lang w:eastAsia="en-US"/>
        </w:rPr>
        <w:t>c</w:t>
      </w:r>
      <w:r w:rsidR="00355232">
        <w:rPr>
          <w:rFonts w:eastAsiaTheme="minorHAnsi"/>
          <w:sz w:val="22"/>
          <w:szCs w:val="22"/>
          <w:lang w:eastAsia="en-US"/>
        </w:rPr>
        <w:t>olumn</w:t>
      </w:r>
      <w:r w:rsidRPr="00233992">
        <w:rPr>
          <w:rFonts w:eastAsiaTheme="minorHAnsi"/>
          <w:sz w:val="22"/>
          <w:szCs w:val="22"/>
          <w:lang w:eastAsia="en-US"/>
        </w:rPr>
        <w:t xml:space="preserve"> </w:t>
      </w:r>
      <w:r w:rsidR="00355232">
        <w:rPr>
          <w:rFonts w:eastAsiaTheme="minorHAnsi"/>
          <w:sz w:val="22"/>
          <w:szCs w:val="22"/>
          <w:lang w:eastAsia="en-US"/>
        </w:rPr>
        <w:t>4</w:t>
      </w:r>
      <w:r w:rsidRPr="00233992">
        <w:rPr>
          <w:rFonts w:eastAsiaTheme="minorHAnsi"/>
          <w:sz w:val="22"/>
          <w:szCs w:val="22"/>
          <w:lang w:eastAsia="en-US"/>
        </w:rPr>
        <w:t>)</w:t>
      </w:r>
      <w:r>
        <w:rPr>
          <w:rFonts w:eastAsiaTheme="minorHAnsi"/>
          <w:sz w:val="22"/>
          <w:szCs w:val="22"/>
          <w:lang w:eastAsia="en-US"/>
        </w:rPr>
        <w:t>.</w:t>
      </w:r>
    </w:p>
    <w:p w14:paraId="3A77871C" w14:textId="1362CCB9" w:rsidR="00FB3831" w:rsidRDefault="00FB3831" w:rsidP="00233992">
      <w:pPr>
        <w:spacing w:line="480" w:lineRule="auto"/>
        <w:jc w:val="both"/>
        <w:rPr>
          <w:rFonts w:eastAsiaTheme="minorHAnsi"/>
          <w:sz w:val="22"/>
          <w:szCs w:val="22"/>
          <w:lang w:eastAsia="en-US"/>
        </w:rPr>
      </w:pPr>
      <w:r w:rsidRPr="00233992">
        <w:rPr>
          <w:rFonts w:eastAsiaTheme="minorHAnsi"/>
          <w:sz w:val="22"/>
          <w:szCs w:val="22"/>
          <w:lang w:eastAsia="en-US"/>
        </w:rPr>
        <w:tab/>
      </w:r>
      <w:r w:rsidR="00D95BE9">
        <w:rPr>
          <w:rFonts w:eastAsiaTheme="minorHAnsi"/>
          <w:sz w:val="22"/>
          <w:szCs w:val="22"/>
          <w:lang w:eastAsia="en-US"/>
        </w:rPr>
        <w:t>Finally</w:t>
      </w:r>
      <w:r w:rsidRPr="00233992">
        <w:rPr>
          <w:rFonts w:eastAsiaTheme="minorHAnsi"/>
          <w:sz w:val="22"/>
          <w:szCs w:val="22"/>
          <w:lang w:eastAsia="en-US"/>
        </w:rPr>
        <w:t>, we analy</w:t>
      </w:r>
      <w:r w:rsidR="00A66101" w:rsidRPr="00233992">
        <w:rPr>
          <w:rFonts w:eastAsiaTheme="minorHAnsi"/>
          <w:sz w:val="22"/>
          <w:szCs w:val="22"/>
          <w:lang w:eastAsia="en-US"/>
        </w:rPr>
        <w:t xml:space="preserve">ze </w:t>
      </w:r>
      <w:r w:rsidRPr="00233992">
        <w:rPr>
          <w:rFonts w:eastAsiaTheme="minorHAnsi"/>
          <w:sz w:val="22"/>
          <w:szCs w:val="22"/>
          <w:lang w:eastAsia="en-US"/>
        </w:rPr>
        <w:t xml:space="preserve">the length of the treatment effect. </w:t>
      </w:r>
      <w:r w:rsidR="008C37DA" w:rsidRPr="00233992">
        <w:rPr>
          <w:rFonts w:eastAsiaTheme="minorHAnsi"/>
          <w:iCs/>
          <w:sz w:val="22"/>
          <w:szCs w:val="22"/>
          <w:lang w:eastAsia="en-US"/>
        </w:rPr>
        <w:t>CFIUS Block</w:t>
      </w:r>
      <w:r w:rsidRPr="00233992">
        <w:rPr>
          <w:rFonts w:eastAsiaTheme="minorHAnsi"/>
          <w:sz w:val="22"/>
          <w:szCs w:val="22"/>
          <w:lang w:eastAsia="en-US"/>
        </w:rPr>
        <w:t xml:space="preserve"> take</w:t>
      </w:r>
      <w:r w:rsidR="008C37DA" w:rsidRPr="00233992">
        <w:rPr>
          <w:rFonts w:eastAsiaTheme="minorHAnsi"/>
          <w:sz w:val="22"/>
          <w:szCs w:val="22"/>
          <w:lang w:eastAsia="en-US"/>
        </w:rPr>
        <w:t>s</w:t>
      </w:r>
      <w:r w:rsidRPr="00233992">
        <w:rPr>
          <w:rFonts w:eastAsiaTheme="minorHAnsi"/>
          <w:sz w:val="22"/>
          <w:szCs w:val="22"/>
          <w:lang w:eastAsia="en-US"/>
        </w:rPr>
        <w:t xml:space="preserve"> the value of one in the three</w:t>
      </w:r>
      <w:r w:rsidR="009750FB">
        <w:rPr>
          <w:rFonts w:eastAsiaTheme="minorHAnsi"/>
          <w:sz w:val="22"/>
          <w:szCs w:val="22"/>
          <w:lang w:eastAsia="en-US"/>
        </w:rPr>
        <w:t>-</w:t>
      </w:r>
      <w:r w:rsidRPr="00233992">
        <w:rPr>
          <w:rFonts w:eastAsiaTheme="minorHAnsi"/>
          <w:sz w:val="22"/>
          <w:szCs w:val="22"/>
          <w:lang w:eastAsia="en-US"/>
        </w:rPr>
        <w:t>year</w:t>
      </w:r>
      <w:r w:rsidR="009750FB">
        <w:rPr>
          <w:rFonts w:eastAsiaTheme="minorHAnsi"/>
          <w:sz w:val="22"/>
          <w:szCs w:val="22"/>
          <w:lang w:eastAsia="en-US"/>
        </w:rPr>
        <w:t xml:space="preserve"> period</w:t>
      </w:r>
      <w:r w:rsidRPr="00233992">
        <w:rPr>
          <w:rFonts w:eastAsiaTheme="minorHAnsi"/>
          <w:sz w:val="22"/>
          <w:szCs w:val="22"/>
          <w:lang w:eastAsia="en-US"/>
        </w:rPr>
        <w:t xml:space="preserve"> after </w:t>
      </w:r>
      <w:r w:rsidR="008C37DA" w:rsidRPr="00233992">
        <w:rPr>
          <w:rFonts w:eastAsiaTheme="minorHAnsi"/>
          <w:sz w:val="22"/>
          <w:szCs w:val="22"/>
          <w:lang w:eastAsia="en-US"/>
        </w:rPr>
        <w:t>CFIUS interventions</w:t>
      </w:r>
      <w:r w:rsidRPr="00233992">
        <w:rPr>
          <w:rFonts w:eastAsiaTheme="minorHAnsi"/>
          <w:sz w:val="22"/>
          <w:szCs w:val="22"/>
          <w:lang w:eastAsia="en-US"/>
        </w:rPr>
        <w:t xml:space="preserve"> and zero otherwise. In Table</w:t>
      </w:r>
      <w:r w:rsidR="00A053A8">
        <w:rPr>
          <w:rFonts w:eastAsiaTheme="minorHAnsi"/>
          <w:sz w:val="22"/>
          <w:szCs w:val="22"/>
          <w:lang w:eastAsia="en-US"/>
        </w:rPr>
        <w:t xml:space="preserve"> 6</w:t>
      </w:r>
      <w:r w:rsidRPr="00233992">
        <w:rPr>
          <w:rFonts w:eastAsiaTheme="minorHAnsi"/>
          <w:sz w:val="22"/>
          <w:szCs w:val="22"/>
          <w:lang w:eastAsia="en-US"/>
        </w:rPr>
        <w:t>, we employ several indicator time variables that capture the effects in the single year</w:t>
      </w:r>
      <w:r w:rsidR="001A64D6" w:rsidRPr="00233992">
        <w:rPr>
          <w:rFonts w:eastAsiaTheme="minorHAnsi"/>
          <w:sz w:val="22"/>
          <w:szCs w:val="22"/>
          <w:lang w:eastAsia="en-US"/>
        </w:rPr>
        <w:t>s</w:t>
      </w:r>
      <w:r w:rsidRPr="00233992">
        <w:rPr>
          <w:rFonts w:eastAsiaTheme="minorHAnsi"/>
          <w:sz w:val="22"/>
          <w:szCs w:val="22"/>
          <w:lang w:eastAsia="en-US"/>
        </w:rPr>
        <w:t xml:space="preserve"> before and after the shock. </w:t>
      </w:r>
      <w:r w:rsidR="00C074E1" w:rsidRPr="00233992">
        <w:rPr>
          <w:rFonts w:eastAsiaTheme="minorHAnsi"/>
          <w:sz w:val="22"/>
          <w:szCs w:val="22"/>
          <w:lang w:eastAsia="en-US"/>
        </w:rPr>
        <w:t>In this test, w</w:t>
      </w:r>
      <w:r w:rsidRPr="00233992">
        <w:rPr>
          <w:rFonts w:eastAsiaTheme="minorHAnsi"/>
          <w:sz w:val="22"/>
          <w:szCs w:val="22"/>
          <w:lang w:eastAsia="en-US"/>
        </w:rPr>
        <w:t xml:space="preserve">e </w:t>
      </w:r>
      <w:r w:rsidR="00C074E1" w:rsidRPr="00233992">
        <w:rPr>
          <w:rFonts w:eastAsiaTheme="minorHAnsi"/>
          <w:sz w:val="22"/>
          <w:szCs w:val="22"/>
          <w:lang w:eastAsia="en-US"/>
        </w:rPr>
        <w:t>examine</w:t>
      </w:r>
      <w:r w:rsidRPr="00233992">
        <w:rPr>
          <w:rFonts w:eastAsiaTheme="minorHAnsi"/>
          <w:sz w:val="22"/>
          <w:szCs w:val="22"/>
          <w:lang w:eastAsia="en-US"/>
        </w:rPr>
        <w:t xml:space="preserve"> additional </w:t>
      </w:r>
      <w:r w:rsidR="001A64D6" w:rsidRPr="00233992">
        <w:rPr>
          <w:rFonts w:eastAsiaTheme="minorHAnsi"/>
          <w:sz w:val="22"/>
          <w:szCs w:val="22"/>
          <w:lang w:eastAsia="en-US"/>
        </w:rPr>
        <w:t>lengths of the treatment effect</w:t>
      </w:r>
      <w:r w:rsidR="00A66101" w:rsidRPr="00233992">
        <w:rPr>
          <w:rFonts w:eastAsiaTheme="minorHAnsi"/>
          <w:sz w:val="22"/>
          <w:szCs w:val="22"/>
          <w:lang w:eastAsia="en-US"/>
        </w:rPr>
        <w:t>,</w:t>
      </w:r>
      <w:r w:rsidRPr="00233992">
        <w:rPr>
          <w:rFonts w:eastAsiaTheme="minorHAnsi"/>
          <w:sz w:val="22"/>
          <w:szCs w:val="22"/>
          <w:lang w:eastAsia="en-US"/>
        </w:rPr>
        <w:t xml:space="preserve"> such as one, two, and four years. We tabulate </w:t>
      </w:r>
      <w:r w:rsidR="00150F08" w:rsidRPr="00233992">
        <w:rPr>
          <w:rFonts w:eastAsiaTheme="minorHAnsi"/>
          <w:sz w:val="22"/>
          <w:szCs w:val="22"/>
          <w:lang w:eastAsia="en-US"/>
        </w:rPr>
        <w:t>the</w:t>
      </w:r>
      <w:r w:rsidRPr="00233992">
        <w:rPr>
          <w:rFonts w:eastAsiaTheme="minorHAnsi"/>
          <w:sz w:val="22"/>
          <w:szCs w:val="22"/>
          <w:lang w:eastAsia="en-US"/>
        </w:rPr>
        <w:t xml:space="preserve"> results </w:t>
      </w:r>
      <w:r w:rsidR="0091054D" w:rsidRPr="00233992">
        <w:rPr>
          <w:rFonts w:eastAsiaTheme="minorHAnsi"/>
          <w:sz w:val="22"/>
          <w:szCs w:val="22"/>
          <w:lang w:eastAsia="en-US"/>
        </w:rPr>
        <w:t xml:space="preserve">in Table </w:t>
      </w:r>
      <w:r w:rsidR="00C16423">
        <w:rPr>
          <w:sz w:val="22"/>
          <w:szCs w:val="22"/>
          <w:lang w:eastAsia="fr-FR"/>
        </w:rPr>
        <w:t>15</w:t>
      </w:r>
      <w:r w:rsidRPr="00233992">
        <w:rPr>
          <w:rFonts w:eastAsiaTheme="minorHAnsi"/>
          <w:sz w:val="22"/>
          <w:szCs w:val="22"/>
          <w:lang w:eastAsia="en-US"/>
        </w:rPr>
        <w:t xml:space="preserve">. The coefficient on </w:t>
      </w:r>
      <w:r w:rsidRPr="00233992">
        <w:rPr>
          <w:rFonts w:eastAsiaTheme="minorHAnsi"/>
          <w:iCs/>
          <w:sz w:val="22"/>
          <w:szCs w:val="22"/>
          <w:lang w:eastAsia="en-US"/>
        </w:rPr>
        <w:t xml:space="preserve">CFIUS Block </w:t>
      </w:r>
      <w:r w:rsidRPr="00233992">
        <w:rPr>
          <w:rFonts w:eastAsiaTheme="minorHAnsi"/>
          <w:sz w:val="22"/>
          <w:szCs w:val="22"/>
          <w:lang w:eastAsia="en-US"/>
        </w:rPr>
        <w:t xml:space="preserve">is negative and </w:t>
      </w:r>
      <w:r w:rsidR="0091054D" w:rsidRPr="00233992">
        <w:rPr>
          <w:rFonts w:eastAsiaTheme="minorHAnsi"/>
          <w:sz w:val="22"/>
          <w:szCs w:val="22"/>
          <w:lang w:eastAsia="en-US"/>
        </w:rPr>
        <w:t xml:space="preserve">statistically </w:t>
      </w:r>
      <w:r w:rsidRPr="00233992">
        <w:rPr>
          <w:rFonts w:eastAsiaTheme="minorHAnsi"/>
          <w:sz w:val="22"/>
          <w:szCs w:val="22"/>
          <w:lang w:eastAsia="en-US"/>
        </w:rPr>
        <w:t xml:space="preserve">significant across </w:t>
      </w:r>
      <w:r w:rsidR="001A64D6" w:rsidRPr="00233992">
        <w:rPr>
          <w:rFonts w:eastAsiaTheme="minorHAnsi"/>
          <w:sz w:val="22"/>
          <w:szCs w:val="22"/>
          <w:lang w:eastAsia="en-US"/>
        </w:rPr>
        <w:t>the</w:t>
      </w:r>
      <w:r w:rsidRPr="00233992">
        <w:rPr>
          <w:rFonts w:eastAsiaTheme="minorHAnsi"/>
          <w:sz w:val="22"/>
          <w:szCs w:val="22"/>
          <w:lang w:eastAsia="en-US"/>
        </w:rPr>
        <w:t xml:space="preserve"> models (</w:t>
      </w:r>
      <w:r w:rsidR="00A053A8">
        <w:rPr>
          <w:rFonts w:eastAsiaTheme="minorHAnsi"/>
          <w:sz w:val="22"/>
          <w:szCs w:val="22"/>
          <w:lang w:eastAsia="en-US"/>
        </w:rPr>
        <w:t>c</w:t>
      </w:r>
      <w:r w:rsidRPr="00233992">
        <w:rPr>
          <w:rFonts w:eastAsiaTheme="minorHAnsi"/>
          <w:sz w:val="22"/>
          <w:szCs w:val="22"/>
          <w:lang w:eastAsia="en-US"/>
        </w:rPr>
        <w:t>olumn</w:t>
      </w:r>
      <w:r w:rsidR="00A66101" w:rsidRPr="00233992">
        <w:rPr>
          <w:rFonts w:eastAsiaTheme="minorHAnsi"/>
          <w:sz w:val="22"/>
          <w:szCs w:val="22"/>
          <w:lang w:eastAsia="en-US"/>
        </w:rPr>
        <w:t>s</w:t>
      </w:r>
      <w:r w:rsidRPr="00233992">
        <w:rPr>
          <w:rFonts w:eastAsiaTheme="minorHAnsi"/>
          <w:sz w:val="22"/>
          <w:szCs w:val="22"/>
          <w:lang w:eastAsia="en-US"/>
        </w:rPr>
        <w:t xml:space="preserve"> 1</w:t>
      </w:r>
      <w:r w:rsidR="0096148F" w:rsidRPr="00233992">
        <w:rPr>
          <w:sz w:val="22"/>
          <w:szCs w:val="22"/>
        </w:rPr>
        <w:t>–</w:t>
      </w:r>
      <w:r w:rsidRPr="00233992">
        <w:rPr>
          <w:rFonts w:eastAsiaTheme="minorHAnsi"/>
          <w:sz w:val="22"/>
          <w:szCs w:val="22"/>
          <w:lang w:eastAsia="en-US"/>
        </w:rPr>
        <w:t xml:space="preserve">4). </w:t>
      </w:r>
      <w:r w:rsidR="00150F08" w:rsidRPr="00233992">
        <w:rPr>
          <w:rFonts w:eastAsiaTheme="minorHAnsi"/>
          <w:sz w:val="22"/>
          <w:szCs w:val="22"/>
          <w:lang w:eastAsia="en-US"/>
        </w:rPr>
        <w:t>Notably</w:t>
      </w:r>
      <w:r w:rsidRPr="00233992">
        <w:rPr>
          <w:rFonts w:eastAsiaTheme="minorHAnsi"/>
          <w:sz w:val="22"/>
          <w:szCs w:val="22"/>
          <w:lang w:eastAsia="en-US"/>
        </w:rPr>
        <w:t xml:space="preserve">, the economic magnitude of the effects is bigger in the </w:t>
      </w:r>
      <w:r w:rsidR="00D80DC5" w:rsidRPr="00233992">
        <w:rPr>
          <w:rFonts w:eastAsiaTheme="minorHAnsi"/>
          <w:sz w:val="22"/>
          <w:szCs w:val="22"/>
          <w:lang w:eastAsia="en-US"/>
        </w:rPr>
        <w:t xml:space="preserve">two-year period </w:t>
      </w:r>
      <w:r w:rsidRPr="00233992">
        <w:rPr>
          <w:rFonts w:eastAsiaTheme="minorHAnsi"/>
          <w:sz w:val="22"/>
          <w:szCs w:val="22"/>
          <w:lang w:eastAsia="en-US"/>
        </w:rPr>
        <w:lastRenderedPageBreak/>
        <w:t xml:space="preserve">after the shock. The size of the coefficient </w:t>
      </w:r>
      <w:r w:rsidR="00EA012A" w:rsidRPr="00233992">
        <w:rPr>
          <w:rFonts w:eastAsiaTheme="minorHAnsi"/>
          <w:sz w:val="22"/>
          <w:szCs w:val="22"/>
          <w:lang w:eastAsia="en-US"/>
        </w:rPr>
        <w:t xml:space="preserve">on </w:t>
      </w:r>
      <w:r w:rsidR="00EA012A" w:rsidRPr="00233992">
        <w:rPr>
          <w:rFonts w:eastAsiaTheme="minorHAnsi"/>
          <w:iCs/>
          <w:sz w:val="22"/>
          <w:szCs w:val="22"/>
          <w:lang w:eastAsia="en-US"/>
        </w:rPr>
        <w:t>CFIUS Block</w:t>
      </w:r>
      <w:r w:rsidR="00EA012A" w:rsidRPr="00233992">
        <w:rPr>
          <w:rFonts w:eastAsiaTheme="minorHAnsi"/>
          <w:i/>
          <w:iCs/>
          <w:sz w:val="22"/>
          <w:szCs w:val="22"/>
          <w:lang w:eastAsia="en-US"/>
        </w:rPr>
        <w:t xml:space="preserve"> </w:t>
      </w:r>
      <w:r w:rsidR="0091054D" w:rsidRPr="00233992">
        <w:rPr>
          <w:rFonts w:eastAsiaTheme="minorHAnsi"/>
          <w:sz w:val="22"/>
          <w:szCs w:val="22"/>
          <w:lang w:eastAsia="en-US"/>
        </w:rPr>
        <w:t>decreases</w:t>
      </w:r>
      <w:r w:rsidRPr="00233992">
        <w:rPr>
          <w:rFonts w:eastAsiaTheme="minorHAnsi"/>
          <w:sz w:val="22"/>
          <w:szCs w:val="22"/>
          <w:lang w:eastAsia="en-US"/>
        </w:rPr>
        <w:t xml:space="preserve"> as the duration increases, suggesting that the effects tend to </w:t>
      </w:r>
      <w:r w:rsidR="0091054D" w:rsidRPr="00233992">
        <w:rPr>
          <w:rFonts w:eastAsiaTheme="minorHAnsi"/>
          <w:sz w:val="22"/>
          <w:szCs w:val="22"/>
          <w:lang w:eastAsia="en-US"/>
        </w:rPr>
        <w:t>decline</w:t>
      </w:r>
      <w:r w:rsidR="00C16423">
        <w:rPr>
          <w:rFonts w:eastAsiaTheme="minorHAnsi"/>
          <w:sz w:val="22"/>
          <w:szCs w:val="22"/>
          <w:lang w:eastAsia="en-US"/>
        </w:rPr>
        <w:t xml:space="preserve"> over time.</w:t>
      </w:r>
    </w:p>
    <w:p w14:paraId="18D12470" w14:textId="3D9452F5" w:rsidR="00C16423" w:rsidRPr="00C16423" w:rsidRDefault="00C16423" w:rsidP="00C16423">
      <w:pPr>
        <w:pStyle w:val="Normal2"/>
        <w:jc w:val="center"/>
        <w:rPr>
          <w:sz w:val="22"/>
          <w:szCs w:val="22"/>
        </w:rPr>
      </w:pPr>
      <w:r w:rsidRPr="00233992">
        <w:rPr>
          <w:sz w:val="22"/>
          <w:szCs w:val="22"/>
          <w:lang w:eastAsia="fr-FR"/>
        </w:rPr>
        <w:t xml:space="preserve">[Insert Table </w:t>
      </w:r>
      <w:r>
        <w:rPr>
          <w:sz w:val="22"/>
          <w:szCs w:val="22"/>
          <w:lang w:eastAsia="fr-FR"/>
        </w:rPr>
        <w:t>15</w:t>
      </w:r>
      <w:r w:rsidRPr="00233992">
        <w:rPr>
          <w:sz w:val="22"/>
          <w:szCs w:val="22"/>
          <w:lang w:eastAsia="fr-FR"/>
        </w:rPr>
        <w:t xml:space="preserve"> here]</w:t>
      </w:r>
    </w:p>
    <w:p w14:paraId="35236B25" w14:textId="440C5472" w:rsidR="00245A4A" w:rsidRPr="00233992" w:rsidRDefault="00245A4A" w:rsidP="00233992">
      <w:pPr>
        <w:spacing w:line="480" w:lineRule="auto"/>
        <w:jc w:val="both"/>
        <w:rPr>
          <w:rFonts w:eastAsiaTheme="minorHAnsi"/>
          <w:sz w:val="22"/>
          <w:szCs w:val="22"/>
          <w:lang w:eastAsia="en-US"/>
        </w:rPr>
      </w:pPr>
    </w:p>
    <w:p w14:paraId="2AD23E83" w14:textId="77777777" w:rsidR="00245A4A" w:rsidRPr="00233992" w:rsidRDefault="00245A4A" w:rsidP="00233992">
      <w:pPr>
        <w:pStyle w:val="Paragraphedeliste"/>
        <w:numPr>
          <w:ilvl w:val="0"/>
          <w:numId w:val="5"/>
        </w:numPr>
        <w:spacing w:line="480" w:lineRule="auto"/>
        <w:jc w:val="both"/>
        <w:rPr>
          <w:rFonts w:eastAsiaTheme="minorHAnsi"/>
          <w:b/>
          <w:bCs/>
          <w:sz w:val="22"/>
          <w:szCs w:val="22"/>
          <w:lang w:eastAsia="en-US"/>
        </w:rPr>
      </w:pPr>
      <w:r w:rsidRPr="00233992">
        <w:rPr>
          <w:rFonts w:eastAsiaTheme="minorHAnsi"/>
          <w:b/>
          <w:bCs/>
          <w:sz w:val="22"/>
          <w:szCs w:val="22"/>
          <w:lang w:eastAsia="en-US"/>
        </w:rPr>
        <w:t>Conclusion</w:t>
      </w:r>
    </w:p>
    <w:p w14:paraId="5FDF77D3" w14:textId="635F7A72" w:rsidR="00245A4A" w:rsidRPr="00233992" w:rsidRDefault="00C163DC" w:rsidP="0020531C">
      <w:pPr>
        <w:spacing w:line="480" w:lineRule="auto"/>
        <w:jc w:val="both"/>
        <w:rPr>
          <w:sz w:val="22"/>
          <w:szCs w:val="22"/>
        </w:rPr>
      </w:pPr>
      <w:r w:rsidRPr="00233992">
        <w:rPr>
          <w:rFonts w:eastAsiaTheme="minorHAnsi"/>
          <w:color w:val="000000" w:themeColor="text1"/>
          <w:sz w:val="22"/>
          <w:szCs w:val="22"/>
          <w:lang w:eastAsia="en-US"/>
        </w:rPr>
        <w:tab/>
      </w:r>
      <w:r w:rsidR="00A66101" w:rsidRPr="00233992">
        <w:rPr>
          <w:rFonts w:eastAsiaTheme="minorHAnsi"/>
          <w:color w:val="000000" w:themeColor="text1"/>
          <w:sz w:val="22"/>
          <w:szCs w:val="22"/>
          <w:lang w:eastAsia="en-US"/>
        </w:rPr>
        <w:t xml:space="preserve">The </w:t>
      </w:r>
      <w:r w:rsidR="00A66101" w:rsidRPr="00233992">
        <w:rPr>
          <w:sz w:val="22"/>
          <w:szCs w:val="22"/>
        </w:rPr>
        <w:t xml:space="preserve">Committee on Foreign Investment in the United States (CFIUS) is a governmental body that can </w:t>
      </w:r>
      <w:r w:rsidR="008F4491" w:rsidRPr="00233992">
        <w:rPr>
          <w:sz w:val="22"/>
          <w:szCs w:val="22"/>
        </w:rPr>
        <w:t>deny regulatory approval of</w:t>
      </w:r>
      <w:r w:rsidR="008F4491" w:rsidRPr="00233992" w:rsidDel="008F4491">
        <w:rPr>
          <w:sz w:val="22"/>
          <w:szCs w:val="22"/>
        </w:rPr>
        <w:t xml:space="preserve"> </w:t>
      </w:r>
      <w:r w:rsidR="00A66101" w:rsidRPr="00233992">
        <w:rPr>
          <w:sz w:val="22"/>
          <w:szCs w:val="22"/>
        </w:rPr>
        <w:t>foreign takeovers on national security grounds</w:t>
      </w:r>
      <w:r w:rsidR="00245A4A" w:rsidRPr="00233992">
        <w:rPr>
          <w:sz w:val="22"/>
          <w:szCs w:val="22"/>
        </w:rPr>
        <w:t xml:space="preserve">. </w:t>
      </w:r>
      <w:r w:rsidR="00FC7D56" w:rsidRPr="00233992">
        <w:rPr>
          <w:sz w:val="22"/>
          <w:szCs w:val="22"/>
        </w:rPr>
        <w:t xml:space="preserve">We </w:t>
      </w:r>
      <w:r w:rsidR="00FC7D56">
        <w:rPr>
          <w:sz w:val="22"/>
          <w:szCs w:val="22"/>
        </w:rPr>
        <w:t xml:space="preserve">document a sharp increase in CFIUS interventions during </w:t>
      </w:r>
      <w:r w:rsidR="009750FB">
        <w:rPr>
          <w:sz w:val="22"/>
          <w:szCs w:val="22"/>
        </w:rPr>
        <w:t>the</w:t>
      </w:r>
      <w:r w:rsidR="00FC7D56">
        <w:rPr>
          <w:sz w:val="22"/>
          <w:szCs w:val="22"/>
        </w:rPr>
        <w:t xml:space="preserve"> 2008-2019 sample period, and especially after 2016, the year of the Trump election. Most </w:t>
      </w:r>
      <w:r w:rsidR="00020D0E">
        <w:rPr>
          <w:sz w:val="22"/>
          <w:szCs w:val="22"/>
        </w:rPr>
        <w:t>CFIUS interventions refer to</w:t>
      </w:r>
      <w:r w:rsidR="00FC7D56">
        <w:rPr>
          <w:sz w:val="22"/>
          <w:szCs w:val="22"/>
        </w:rPr>
        <w:t xml:space="preserve"> Chinese buyers and </w:t>
      </w:r>
      <w:r w:rsidR="00020D0E">
        <w:rPr>
          <w:sz w:val="22"/>
          <w:szCs w:val="22"/>
        </w:rPr>
        <w:t>involve targets</w:t>
      </w:r>
      <w:r w:rsidR="00FC7D56">
        <w:rPr>
          <w:sz w:val="22"/>
          <w:szCs w:val="22"/>
        </w:rPr>
        <w:t xml:space="preserve"> in tech industries</w:t>
      </w:r>
      <w:r w:rsidR="0020531C">
        <w:rPr>
          <w:sz w:val="22"/>
          <w:szCs w:val="22"/>
        </w:rPr>
        <w:t>.</w:t>
      </w:r>
      <w:r w:rsidR="005B3ADB">
        <w:rPr>
          <w:sz w:val="22"/>
          <w:szCs w:val="22"/>
        </w:rPr>
        <w:t xml:space="preserve"> Our results indicate that </w:t>
      </w:r>
      <w:r w:rsidR="005B3ADB" w:rsidRPr="005B3ADB">
        <w:rPr>
          <w:sz w:val="22"/>
          <w:szCs w:val="22"/>
        </w:rPr>
        <w:t xml:space="preserve">CFIUS interventions </w:t>
      </w:r>
      <w:r w:rsidR="000A0FA1">
        <w:rPr>
          <w:sz w:val="22"/>
          <w:szCs w:val="22"/>
        </w:rPr>
        <w:t>are followed by</w:t>
      </w:r>
      <w:r w:rsidR="007A1C26">
        <w:rPr>
          <w:sz w:val="22"/>
          <w:szCs w:val="22"/>
        </w:rPr>
        <w:t xml:space="preserve"> </w:t>
      </w:r>
      <w:r w:rsidR="005B3ADB" w:rsidRPr="005B3ADB">
        <w:rPr>
          <w:sz w:val="22"/>
          <w:szCs w:val="22"/>
        </w:rPr>
        <w:t>a negative market reaction, a decrease in foreign takeovers</w:t>
      </w:r>
      <w:r w:rsidR="005B3ADB">
        <w:rPr>
          <w:sz w:val="22"/>
          <w:szCs w:val="22"/>
        </w:rPr>
        <w:t>,</w:t>
      </w:r>
      <w:r w:rsidR="005B3ADB" w:rsidRPr="005B3ADB">
        <w:rPr>
          <w:sz w:val="22"/>
          <w:szCs w:val="22"/>
        </w:rPr>
        <w:t xml:space="preserve"> and a reduction in corporate investment in industries of the blocked-acquisition targets. </w:t>
      </w:r>
      <w:r w:rsidR="00245A4A" w:rsidRPr="00233992">
        <w:rPr>
          <w:sz w:val="22"/>
          <w:szCs w:val="22"/>
        </w:rPr>
        <w:t xml:space="preserve">The </w:t>
      </w:r>
      <w:r w:rsidR="00A76FC8" w:rsidRPr="00233992">
        <w:rPr>
          <w:sz w:val="22"/>
          <w:szCs w:val="22"/>
        </w:rPr>
        <w:t xml:space="preserve">reduction </w:t>
      </w:r>
      <w:r w:rsidR="005B3ADB">
        <w:rPr>
          <w:sz w:val="22"/>
          <w:szCs w:val="22"/>
        </w:rPr>
        <w:t xml:space="preserve">in corporate investment </w:t>
      </w:r>
      <w:r w:rsidR="00A76FC8" w:rsidRPr="00233992">
        <w:rPr>
          <w:sz w:val="22"/>
          <w:szCs w:val="22"/>
        </w:rPr>
        <w:t>is</w:t>
      </w:r>
      <w:r w:rsidR="00245A4A" w:rsidRPr="00233992">
        <w:rPr>
          <w:sz w:val="22"/>
          <w:szCs w:val="22"/>
        </w:rPr>
        <w:t xml:space="preserve"> </w:t>
      </w:r>
      <w:r w:rsidR="0054674B" w:rsidRPr="00233992">
        <w:rPr>
          <w:sz w:val="22"/>
          <w:szCs w:val="22"/>
        </w:rPr>
        <w:t xml:space="preserve">more pronounced among </w:t>
      </w:r>
      <w:r w:rsidR="00245A4A" w:rsidRPr="00233992">
        <w:rPr>
          <w:sz w:val="22"/>
          <w:szCs w:val="22"/>
        </w:rPr>
        <w:t xml:space="preserve">firms that are financially constrained. </w:t>
      </w:r>
      <w:r w:rsidR="003E057B" w:rsidRPr="00233992">
        <w:rPr>
          <w:sz w:val="22"/>
          <w:szCs w:val="22"/>
        </w:rPr>
        <w:t xml:space="preserve">We find no evidence of our results being driven by anticipation, </w:t>
      </w:r>
      <w:r w:rsidR="00A66101" w:rsidRPr="00233992">
        <w:rPr>
          <w:sz w:val="22"/>
          <w:szCs w:val="22"/>
        </w:rPr>
        <w:t xml:space="preserve">a </w:t>
      </w:r>
      <w:r w:rsidR="00093F7D" w:rsidRPr="00233992">
        <w:rPr>
          <w:sz w:val="22"/>
          <w:szCs w:val="22"/>
        </w:rPr>
        <w:t xml:space="preserve">violation of </w:t>
      </w:r>
      <w:r w:rsidR="00A66101" w:rsidRPr="00233992">
        <w:rPr>
          <w:sz w:val="22"/>
          <w:szCs w:val="22"/>
        </w:rPr>
        <w:t xml:space="preserve">the </w:t>
      </w:r>
      <w:r w:rsidR="00093F7D" w:rsidRPr="00233992">
        <w:rPr>
          <w:sz w:val="22"/>
          <w:szCs w:val="22"/>
        </w:rPr>
        <w:t>parallel trends</w:t>
      </w:r>
      <w:r w:rsidR="00A66101" w:rsidRPr="00233992">
        <w:rPr>
          <w:sz w:val="22"/>
          <w:szCs w:val="22"/>
        </w:rPr>
        <w:t xml:space="preserve"> assumption</w:t>
      </w:r>
      <w:r w:rsidR="003E057B" w:rsidRPr="00233992">
        <w:rPr>
          <w:sz w:val="22"/>
          <w:szCs w:val="22"/>
        </w:rPr>
        <w:t>, or CFIUS selecting industries based on characteristics that could be correlated with (future) decline</w:t>
      </w:r>
      <w:r w:rsidR="00B36789" w:rsidRPr="00233992">
        <w:rPr>
          <w:sz w:val="22"/>
          <w:szCs w:val="22"/>
        </w:rPr>
        <w:t>s</w:t>
      </w:r>
      <w:r w:rsidR="003E057B" w:rsidRPr="00233992">
        <w:rPr>
          <w:sz w:val="22"/>
          <w:szCs w:val="22"/>
        </w:rPr>
        <w:t xml:space="preserve"> in investments.</w:t>
      </w:r>
      <w:r w:rsidR="0054674B" w:rsidRPr="00233992">
        <w:rPr>
          <w:sz w:val="22"/>
          <w:szCs w:val="22"/>
        </w:rPr>
        <w:t xml:space="preserve"> </w:t>
      </w:r>
      <w:r w:rsidR="00AE709D" w:rsidRPr="00233992">
        <w:rPr>
          <w:sz w:val="22"/>
          <w:szCs w:val="22"/>
        </w:rPr>
        <w:t>Finally,</w:t>
      </w:r>
      <w:r w:rsidR="0054674B" w:rsidRPr="00233992">
        <w:rPr>
          <w:sz w:val="22"/>
          <w:szCs w:val="22"/>
        </w:rPr>
        <w:t xml:space="preserve"> we conduct a battery of </w:t>
      </w:r>
      <w:r w:rsidR="000F13CA" w:rsidRPr="00233992">
        <w:rPr>
          <w:sz w:val="22"/>
          <w:szCs w:val="22"/>
        </w:rPr>
        <w:t xml:space="preserve">additional analyses and </w:t>
      </w:r>
      <w:r w:rsidR="0054674B" w:rsidRPr="00233992">
        <w:rPr>
          <w:sz w:val="22"/>
          <w:szCs w:val="22"/>
        </w:rPr>
        <w:t xml:space="preserve">robustness tests to </w:t>
      </w:r>
      <w:r w:rsidR="00FC6F6D" w:rsidRPr="00233992">
        <w:rPr>
          <w:sz w:val="22"/>
          <w:szCs w:val="22"/>
        </w:rPr>
        <w:t xml:space="preserve">further </w:t>
      </w:r>
      <w:r w:rsidR="0054674B" w:rsidRPr="00233992">
        <w:rPr>
          <w:sz w:val="22"/>
          <w:szCs w:val="22"/>
        </w:rPr>
        <w:t xml:space="preserve">validate our </w:t>
      </w:r>
      <w:r w:rsidR="00042121" w:rsidRPr="00233992">
        <w:rPr>
          <w:sz w:val="22"/>
          <w:szCs w:val="22"/>
        </w:rPr>
        <w:t>results</w:t>
      </w:r>
      <w:r w:rsidR="0054674B" w:rsidRPr="00233992">
        <w:rPr>
          <w:sz w:val="22"/>
          <w:szCs w:val="22"/>
        </w:rPr>
        <w:t>.</w:t>
      </w:r>
    </w:p>
    <w:p w14:paraId="56754423" w14:textId="23BC38EE" w:rsidR="00AD7386" w:rsidRDefault="00F2598A" w:rsidP="00233992">
      <w:pPr>
        <w:spacing w:line="480" w:lineRule="auto"/>
        <w:jc w:val="both"/>
        <w:rPr>
          <w:sz w:val="22"/>
          <w:szCs w:val="22"/>
        </w:rPr>
      </w:pPr>
      <w:r w:rsidRPr="00233992">
        <w:rPr>
          <w:rFonts w:eastAsiaTheme="minorHAnsi"/>
          <w:color w:val="000000" w:themeColor="text1"/>
          <w:sz w:val="22"/>
          <w:szCs w:val="22"/>
          <w:lang w:eastAsia="en-US"/>
        </w:rPr>
        <w:tab/>
      </w:r>
      <w:r w:rsidR="003E7449" w:rsidRPr="00233992">
        <w:rPr>
          <w:sz w:val="22"/>
          <w:szCs w:val="22"/>
        </w:rPr>
        <w:t>Our findings are subject to certain caveats and some caution should be used when interpreting them</w:t>
      </w:r>
      <w:r w:rsidR="009547B2" w:rsidRPr="00233992">
        <w:rPr>
          <w:sz w:val="22"/>
          <w:szCs w:val="22"/>
        </w:rPr>
        <w:t xml:space="preserve">. First, </w:t>
      </w:r>
      <w:r w:rsidR="003E7449" w:rsidRPr="00233992">
        <w:rPr>
          <w:sz w:val="22"/>
          <w:szCs w:val="22"/>
        </w:rPr>
        <w:t>o</w:t>
      </w:r>
      <w:r w:rsidR="009547B2" w:rsidRPr="00233992">
        <w:rPr>
          <w:sz w:val="22"/>
          <w:szCs w:val="22"/>
        </w:rPr>
        <w:t xml:space="preserve">ur analysis does not </w:t>
      </w:r>
      <w:r w:rsidR="00673E3C" w:rsidRPr="00233992">
        <w:rPr>
          <w:sz w:val="22"/>
          <w:szCs w:val="22"/>
        </w:rPr>
        <w:t xml:space="preserve">address other </w:t>
      </w:r>
      <w:r w:rsidR="003D5AE4" w:rsidRPr="00233992">
        <w:rPr>
          <w:sz w:val="22"/>
          <w:szCs w:val="22"/>
        </w:rPr>
        <w:t>potential</w:t>
      </w:r>
      <w:r w:rsidR="00673E3C" w:rsidRPr="00233992">
        <w:rPr>
          <w:sz w:val="22"/>
          <w:szCs w:val="22"/>
        </w:rPr>
        <w:t xml:space="preserve"> externalities of CFIUS </w:t>
      </w:r>
      <w:r w:rsidR="00D72357" w:rsidRPr="00233992">
        <w:rPr>
          <w:sz w:val="22"/>
          <w:szCs w:val="22"/>
        </w:rPr>
        <w:t>activit</w:t>
      </w:r>
      <w:r w:rsidR="00CE36A7" w:rsidRPr="00233992">
        <w:rPr>
          <w:sz w:val="22"/>
          <w:szCs w:val="22"/>
        </w:rPr>
        <w:t>ies</w:t>
      </w:r>
      <w:r w:rsidR="003D5AE4" w:rsidRPr="00233992">
        <w:rPr>
          <w:sz w:val="22"/>
          <w:szCs w:val="22"/>
        </w:rPr>
        <w:t>.</w:t>
      </w:r>
      <w:r w:rsidR="00673E3C" w:rsidRPr="00233992">
        <w:rPr>
          <w:sz w:val="22"/>
          <w:szCs w:val="22"/>
        </w:rPr>
        <w:t xml:space="preserve"> </w:t>
      </w:r>
      <w:r w:rsidR="00D0369A" w:rsidRPr="00233992">
        <w:rPr>
          <w:sz w:val="22"/>
          <w:szCs w:val="22"/>
        </w:rPr>
        <w:t xml:space="preserve">We acknowledge that there might be other channels through which CFIUS could affect </w:t>
      </w:r>
      <w:r w:rsidR="006B3E3D">
        <w:rPr>
          <w:sz w:val="22"/>
          <w:szCs w:val="22"/>
        </w:rPr>
        <w:t>U.S. firms</w:t>
      </w:r>
      <w:r w:rsidR="00D0369A" w:rsidRPr="00233992">
        <w:rPr>
          <w:sz w:val="22"/>
          <w:szCs w:val="22"/>
        </w:rPr>
        <w:t xml:space="preserve">. </w:t>
      </w:r>
      <w:r w:rsidR="003D5AE4" w:rsidRPr="00233992">
        <w:rPr>
          <w:sz w:val="22"/>
          <w:szCs w:val="22"/>
        </w:rPr>
        <w:t xml:space="preserve">As such, </w:t>
      </w:r>
      <w:r w:rsidR="00D72357" w:rsidRPr="00233992">
        <w:rPr>
          <w:sz w:val="22"/>
          <w:szCs w:val="22"/>
        </w:rPr>
        <w:t>given the</w:t>
      </w:r>
      <w:r w:rsidR="007F0724" w:rsidRPr="00233992">
        <w:rPr>
          <w:sz w:val="22"/>
          <w:szCs w:val="22"/>
        </w:rPr>
        <w:t xml:space="preserve"> </w:t>
      </w:r>
      <w:r w:rsidR="0004056B">
        <w:rPr>
          <w:sz w:val="22"/>
          <w:szCs w:val="22"/>
        </w:rPr>
        <w:t>limited empirical evidence</w:t>
      </w:r>
      <w:r w:rsidR="007F0724" w:rsidRPr="00233992">
        <w:rPr>
          <w:sz w:val="22"/>
          <w:szCs w:val="22"/>
        </w:rPr>
        <w:t xml:space="preserve"> </w:t>
      </w:r>
      <w:r w:rsidR="00752655" w:rsidRPr="00233992">
        <w:rPr>
          <w:sz w:val="22"/>
          <w:szCs w:val="22"/>
        </w:rPr>
        <w:t xml:space="preserve">on economic facets of </w:t>
      </w:r>
      <w:r w:rsidR="001753E5" w:rsidRPr="00233992">
        <w:rPr>
          <w:sz w:val="22"/>
          <w:szCs w:val="22"/>
        </w:rPr>
        <w:t>national security policies</w:t>
      </w:r>
      <w:r w:rsidR="00D72357" w:rsidRPr="00233992">
        <w:rPr>
          <w:sz w:val="22"/>
          <w:szCs w:val="22"/>
        </w:rPr>
        <w:t xml:space="preserve">, </w:t>
      </w:r>
      <w:r w:rsidR="003D5AE4" w:rsidRPr="00233992">
        <w:rPr>
          <w:sz w:val="22"/>
          <w:szCs w:val="22"/>
        </w:rPr>
        <w:t>we</w:t>
      </w:r>
      <w:r w:rsidR="00673E3C" w:rsidRPr="00233992">
        <w:rPr>
          <w:sz w:val="22"/>
          <w:szCs w:val="22"/>
        </w:rPr>
        <w:t xml:space="preserve"> do </w:t>
      </w:r>
      <w:r w:rsidR="003D5AE4" w:rsidRPr="00233992">
        <w:rPr>
          <w:sz w:val="22"/>
          <w:szCs w:val="22"/>
        </w:rPr>
        <w:t xml:space="preserve">not </w:t>
      </w:r>
      <w:r w:rsidR="00673E3C" w:rsidRPr="00233992">
        <w:rPr>
          <w:sz w:val="22"/>
          <w:szCs w:val="22"/>
        </w:rPr>
        <w:t xml:space="preserve">argue that they are on balance beneficial or costly to firms or the </w:t>
      </w:r>
      <w:r w:rsidR="009A3249" w:rsidRPr="00233992">
        <w:rPr>
          <w:sz w:val="22"/>
          <w:szCs w:val="22"/>
        </w:rPr>
        <w:t>U</w:t>
      </w:r>
      <w:r w:rsidR="008A3E91">
        <w:rPr>
          <w:sz w:val="22"/>
          <w:szCs w:val="22"/>
        </w:rPr>
        <w:t>.</w:t>
      </w:r>
      <w:r w:rsidR="009A3249" w:rsidRPr="00233992">
        <w:rPr>
          <w:sz w:val="22"/>
          <w:szCs w:val="22"/>
        </w:rPr>
        <w:t>S</w:t>
      </w:r>
      <w:r w:rsidR="008A3E91">
        <w:rPr>
          <w:sz w:val="22"/>
          <w:szCs w:val="22"/>
        </w:rPr>
        <w:t>.</w:t>
      </w:r>
      <w:r w:rsidR="009A3249" w:rsidRPr="00233992">
        <w:rPr>
          <w:sz w:val="22"/>
          <w:szCs w:val="22"/>
        </w:rPr>
        <w:t xml:space="preserve"> </w:t>
      </w:r>
      <w:r w:rsidR="00673E3C" w:rsidRPr="00233992">
        <w:rPr>
          <w:sz w:val="22"/>
          <w:szCs w:val="22"/>
        </w:rPr>
        <w:t>economy. These questions remain</w:t>
      </w:r>
      <w:r w:rsidR="003D5AE4" w:rsidRPr="00233992">
        <w:rPr>
          <w:sz w:val="22"/>
          <w:szCs w:val="22"/>
        </w:rPr>
        <w:t xml:space="preserve"> outside of </w:t>
      </w:r>
      <w:r w:rsidR="00A66101" w:rsidRPr="00233992">
        <w:rPr>
          <w:sz w:val="22"/>
          <w:szCs w:val="22"/>
        </w:rPr>
        <w:t xml:space="preserve">our </w:t>
      </w:r>
      <w:r w:rsidR="003D5AE4" w:rsidRPr="00233992">
        <w:rPr>
          <w:sz w:val="22"/>
          <w:szCs w:val="22"/>
        </w:rPr>
        <w:t xml:space="preserve">scope. </w:t>
      </w:r>
      <w:r w:rsidR="00AB6C46" w:rsidRPr="00233992">
        <w:rPr>
          <w:sz w:val="22"/>
          <w:szCs w:val="22"/>
        </w:rPr>
        <w:t xml:space="preserve">Second, </w:t>
      </w:r>
      <w:r w:rsidR="005203FD" w:rsidRPr="005203FD">
        <w:rPr>
          <w:sz w:val="22"/>
          <w:szCs w:val="22"/>
        </w:rPr>
        <w:t>our findings cannot be generalized without further consideration</w:t>
      </w:r>
      <w:r w:rsidR="005203FD">
        <w:rPr>
          <w:sz w:val="22"/>
          <w:szCs w:val="22"/>
        </w:rPr>
        <w:t>s</w:t>
      </w:r>
      <w:r w:rsidR="005203FD" w:rsidRPr="005203FD">
        <w:rPr>
          <w:sz w:val="22"/>
          <w:szCs w:val="22"/>
        </w:rPr>
        <w:t xml:space="preserve"> </w:t>
      </w:r>
      <w:r w:rsidR="005203FD">
        <w:rPr>
          <w:sz w:val="22"/>
          <w:szCs w:val="22"/>
        </w:rPr>
        <w:t xml:space="preserve">to other contexts. </w:t>
      </w:r>
      <w:r w:rsidR="005078D3">
        <w:rPr>
          <w:sz w:val="22"/>
          <w:szCs w:val="22"/>
        </w:rPr>
        <w:t>Finally</w:t>
      </w:r>
      <w:r w:rsidR="00AB6C46" w:rsidRPr="00233992">
        <w:rPr>
          <w:sz w:val="22"/>
          <w:szCs w:val="22"/>
        </w:rPr>
        <w:t xml:space="preserve">, various policies </w:t>
      </w:r>
      <w:r w:rsidR="00576BE0" w:rsidRPr="00233992">
        <w:rPr>
          <w:rFonts w:eastAsiaTheme="minorHAnsi"/>
          <w:color w:val="000000" w:themeColor="text1"/>
          <w:sz w:val="22"/>
          <w:szCs w:val="22"/>
          <w:lang w:eastAsia="en-US"/>
        </w:rPr>
        <w:t xml:space="preserve">such as trade tariffs </w:t>
      </w:r>
      <w:r w:rsidR="00AB6C46" w:rsidRPr="00233992">
        <w:rPr>
          <w:sz w:val="22"/>
          <w:szCs w:val="22"/>
        </w:rPr>
        <w:t>cha</w:t>
      </w:r>
      <w:r w:rsidR="00D055A2" w:rsidRPr="00233992">
        <w:rPr>
          <w:sz w:val="22"/>
          <w:szCs w:val="22"/>
        </w:rPr>
        <w:t>nged the U</w:t>
      </w:r>
      <w:r w:rsidR="008A3E91">
        <w:rPr>
          <w:sz w:val="22"/>
          <w:szCs w:val="22"/>
        </w:rPr>
        <w:t>.</w:t>
      </w:r>
      <w:r w:rsidR="00D055A2" w:rsidRPr="00233992">
        <w:rPr>
          <w:sz w:val="22"/>
          <w:szCs w:val="22"/>
        </w:rPr>
        <w:t>S</w:t>
      </w:r>
      <w:r w:rsidR="008A3E91">
        <w:rPr>
          <w:sz w:val="22"/>
          <w:szCs w:val="22"/>
        </w:rPr>
        <w:t>.</w:t>
      </w:r>
      <w:r w:rsidR="00AB6C46" w:rsidRPr="00233992">
        <w:rPr>
          <w:sz w:val="22"/>
          <w:szCs w:val="22"/>
        </w:rPr>
        <w:t xml:space="preserve"> regulatory framework, especially during the Trump administration. We acknowledge that this could also affect </w:t>
      </w:r>
      <w:r w:rsidR="00D0369A" w:rsidRPr="00233992">
        <w:rPr>
          <w:sz w:val="22"/>
          <w:szCs w:val="22"/>
        </w:rPr>
        <w:t xml:space="preserve">corporate </w:t>
      </w:r>
      <w:r w:rsidR="003E7449" w:rsidRPr="00233992">
        <w:rPr>
          <w:sz w:val="22"/>
          <w:szCs w:val="22"/>
        </w:rPr>
        <w:t>investment</w:t>
      </w:r>
      <w:r w:rsidR="00AB6C46" w:rsidRPr="00233992">
        <w:rPr>
          <w:sz w:val="22"/>
          <w:szCs w:val="22"/>
        </w:rPr>
        <w:t xml:space="preserve">. </w:t>
      </w:r>
      <w:r w:rsidR="00B80277">
        <w:rPr>
          <w:rFonts w:eastAsiaTheme="minorHAnsi"/>
          <w:color w:val="000000" w:themeColor="text1"/>
          <w:sz w:val="22"/>
          <w:szCs w:val="22"/>
          <w:lang w:eastAsia="en-US"/>
        </w:rPr>
        <w:t>Yet t</w:t>
      </w:r>
      <w:r w:rsidR="0002396B" w:rsidRPr="00233992">
        <w:rPr>
          <w:rFonts w:eastAsiaTheme="minorHAnsi"/>
          <w:color w:val="000000" w:themeColor="text1"/>
          <w:sz w:val="22"/>
          <w:szCs w:val="22"/>
          <w:lang w:eastAsia="en-US"/>
        </w:rPr>
        <w:t xml:space="preserve">he limited overlap between the scope of such </w:t>
      </w:r>
      <w:r w:rsidR="00752655" w:rsidRPr="00233992">
        <w:rPr>
          <w:rFonts w:eastAsiaTheme="minorHAnsi"/>
          <w:color w:val="000000" w:themeColor="text1"/>
          <w:sz w:val="22"/>
          <w:szCs w:val="22"/>
          <w:lang w:eastAsia="en-US"/>
        </w:rPr>
        <w:t xml:space="preserve">protectionist </w:t>
      </w:r>
      <w:r w:rsidR="0002396B" w:rsidRPr="00233992">
        <w:rPr>
          <w:rFonts w:eastAsiaTheme="minorHAnsi"/>
          <w:color w:val="000000" w:themeColor="text1"/>
          <w:sz w:val="22"/>
          <w:szCs w:val="22"/>
          <w:lang w:eastAsia="en-US"/>
        </w:rPr>
        <w:t>policies and our treatment group based on CFIUS interventions mitigates</w:t>
      </w:r>
      <w:r w:rsidR="007C4836" w:rsidRPr="00233992">
        <w:rPr>
          <w:rFonts w:eastAsiaTheme="minorHAnsi"/>
          <w:color w:val="000000" w:themeColor="text1"/>
          <w:sz w:val="22"/>
          <w:szCs w:val="22"/>
          <w:lang w:eastAsia="en-US"/>
        </w:rPr>
        <w:t xml:space="preserve"> </w:t>
      </w:r>
      <w:r w:rsidR="0039412A">
        <w:rPr>
          <w:rFonts w:eastAsiaTheme="minorHAnsi"/>
          <w:color w:val="000000" w:themeColor="text1"/>
          <w:sz w:val="22"/>
          <w:szCs w:val="22"/>
          <w:lang w:eastAsia="en-US"/>
        </w:rPr>
        <w:t>such</w:t>
      </w:r>
      <w:r w:rsidR="0002396B" w:rsidRPr="00233992">
        <w:rPr>
          <w:rFonts w:eastAsiaTheme="minorHAnsi"/>
          <w:color w:val="000000" w:themeColor="text1"/>
          <w:sz w:val="22"/>
          <w:szCs w:val="22"/>
          <w:lang w:eastAsia="en-US"/>
        </w:rPr>
        <w:t xml:space="preserve"> concern</w:t>
      </w:r>
      <w:r w:rsidR="0039412A">
        <w:rPr>
          <w:rFonts w:eastAsiaTheme="minorHAnsi"/>
          <w:color w:val="000000" w:themeColor="text1"/>
          <w:sz w:val="22"/>
          <w:szCs w:val="22"/>
          <w:lang w:eastAsia="en-US"/>
        </w:rPr>
        <w:t>s</w:t>
      </w:r>
      <w:r w:rsidR="0002396B" w:rsidRPr="00233992">
        <w:rPr>
          <w:sz w:val="22"/>
          <w:szCs w:val="22"/>
        </w:rPr>
        <w:t>.</w:t>
      </w:r>
    </w:p>
    <w:p w14:paraId="31622493" w14:textId="355FC714" w:rsidR="0093047F" w:rsidRPr="007A2A9F" w:rsidRDefault="0093047F" w:rsidP="00233992">
      <w:pPr>
        <w:spacing w:line="480" w:lineRule="auto"/>
        <w:jc w:val="both"/>
        <w:rPr>
          <w:rFonts w:eastAsiaTheme="minorHAnsi"/>
          <w:color w:val="000000" w:themeColor="text1"/>
          <w:sz w:val="22"/>
          <w:szCs w:val="22"/>
          <w:lang w:eastAsia="en-US"/>
        </w:rPr>
      </w:pPr>
      <w:r w:rsidRPr="00233992">
        <w:rPr>
          <w:rFonts w:eastAsiaTheme="minorHAnsi"/>
          <w:color w:val="000000" w:themeColor="text1"/>
          <w:sz w:val="22"/>
          <w:szCs w:val="22"/>
          <w:lang w:eastAsia="en-US"/>
        </w:rPr>
        <w:lastRenderedPageBreak/>
        <w:tab/>
        <w:t xml:space="preserve">Our study makes several contributions to this research stream. </w:t>
      </w:r>
      <w:r w:rsidR="007A2A9F">
        <w:rPr>
          <w:rFonts w:eastAsiaTheme="minorHAnsi"/>
          <w:color w:val="000000" w:themeColor="text1"/>
          <w:sz w:val="22"/>
          <w:szCs w:val="22"/>
          <w:lang w:eastAsia="en-US"/>
        </w:rPr>
        <w:t>We</w:t>
      </w:r>
      <w:r w:rsidR="00F10DDF" w:rsidRPr="00F10DDF">
        <w:rPr>
          <w:rFonts w:eastAsiaTheme="minorHAnsi"/>
          <w:color w:val="000000" w:themeColor="text1"/>
          <w:sz w:val="22"/>
          <w:szCs w:val="22"/>
          <w:lang w:eastAsia="en-US"/>
        </w:rPr>
        <w:t xml:space="preserve"> analyze a comprehensive sample of CFIUS denials of regulatory approval, their pattern, and consequences</w:t>
      </w:r>
      <w:r w:rsidR="00F10DDF">
        <w:rPr>
          <w:rFonts w:eastAsiaTheme="minorHAnsi"/>
          <w:color w:val="000000" w:themeColor="text1"/>
          <w:sz w:val="22"/>
          <w:szCs w:val="22"/>
          <w:lang w:eastAsia="en-US"/>
        </w:rPr>
        <w:t xml:space="preserve">, thus contributing to the </w:t>
      </w:r>
      <w:r w:rsidR="00D23653">
        <w:rPr>
          <w:rFonts w:eastAsiaTheme="minorHAnsi"/>
          <w:color w:val="000000" w:themeColor="text1"/>
          <w:sz w:val="22"/>
          <w:szCs w:val="22"/>
          <w:lang w:eastAsia="en-US"/>
        </w:rPr>
        <w:t>ongoing debate</w:t>
      </w:r>
      <w:r w:rsidR="007A2A9F">
        <w:rPr>
          <w:rFonts w:eastAsiaTheme="minorHAnsi"/>
          <w:color w:val="000000" w:themeColor="text1"/>
          <w:sz w:val="22"/>
          <w:szCs w:val="22"/>
          <w:lang w:eastAsia="en-US"/>
        </w:rPr>
        <w:t xml:space="preserve"> on </w:t>
      </w:r>
      <w:r w:rsidR="00D23653">
        <w:rPr>
          <w:rFonts w:eastAsiaTheme="minorHAnsi"/>
          <w:color w:val="000000" w:themeColor="text1"/>
          <w:sz w:val="22"/>
          <w:szCs w:val="22"/>
          <w:lang w:eastAsia="en-US"/>
        </w:rPr>
        <w:t>this policy area</w:t>
      </w:r>
      <w:r w:rsidR="007A2A9F">
        <w:rPr>
          <w:rFonts w:eastAsiaTheme="minorHAnsi"/>
          <w:color w:val="000000" w:themeColor="text1"/>
          <w:sz w:val="22"/>
          <w:szCs w:val="22"/>
          <w:lang w:eastAsia="en-US"/>
        </w:rPr>
        <w:t xml:space="preserve"> (</w:t>
      </w:r>
      <w:r w:rsidR="007A2A9F" w:rsidRPr="007A2A9F">
        <w:rPr>
          <w:rFonts w:eastAsiaTheme="minorHAnsi"/>
          <w:color w:val="000000" w:themeColor="text1"/>
          <w:sz w:val="22"/>
          <w:szCs w:val="22"/>
          <w:lang w:eastAsia="en-US"/>
        </w:rPr>
        <w:t>Josselyn, 2014; Tipler, 2014; Griffin, 2017; Deen Westbrook, 2019; Tarbert, 2020).</w:t>
      </w:r>
      <w:r w:rsidR="007A2A9F">
        <w:rPr>
          <w:rFonts w:eastAsiaTheme="minorHAnsi"/>
          <w:color w:val="000000" w:themeColor="text1"/>
          <w:sz w:val="22"/>
          <w:szCs w:val="22"/>
          <w:lang w:eastAsia="en-US"/>
        </w:rPr>
        <w:t xml:space="preserve"> </w:t>
      </w:r>
      <w:r w:rsidRPr="00233992">
        <w:rPr>
          <w:sz w:val="22"/>
          <w:szCs w:val="22"/>
        </w:rPr>
        <w:t xml:space="preserve">To our knowledge, this paper is the first one to examine how the implementation of national security policies </w:t>
      </w:r>
      <w:r w:rsidR="000A0FA1">
        <w:rPr>
          <w:sz w:val="22"/>
          <w:szCs w:val="22"/>
        </w:rPr>
        <w:t xml:space="preserve">by CFIUS </w:t>
      </w:r>
      <w:r w:rsidRPr="00233992">
        <w:rPr>
          <w:sz w:val="22"/>
          <w:szCs w:val="22"/>
        </w:rPr>
        <w:t>affects corporate investment</w:t>
      </w:r>
      <w:r w:rsidR="007A2A9F">
        <w:rPr>
          <w:sz w:val="22"/>
          <w:szCs w:val="22"/>
        </w:rPr>
        <w:t xml:space="preserve">, thus complementing empirical papers on </w:t>
      </w:r>
      <w:r w:rsidR="007A2A9F" w:rsidRPr="00233992">
        <w:rPr>
          <w:sz w:val="22"/>
          <w:szCs w:val="22"/>
        </w:rPr>
        <w:t>economic facets of national security policies (</w:t>
      </w:r>
      <w:r w:rsidR="007A2A9F">
        <w:rPr>
          <w:sz w:val="22"/>
          <w:szCs w:val="22"/>
        </w:rPr>
        <w:t xml:space="preserve">Connell </w:t>
      </w:r>
      <w:r w:rsidR="000F2ED2" w:rsidRPr="009E743F">
        <w:rPr>
          <w:rFonts w:eastAsiaTheme="minorHAnsi"/>
          <w:sz w:val="22"/>
          <w:szCs w:val="22"/>
          <w:lang w:eastAsia="en-US"/>
        </w:rPr>
        <w:t>&amp;</w:t>
      </w:r>
      <w:r w:rsidR="000F2ED2">
        <w:rPr>
          <w:rFonts w:eastAsiaTheme="minorHAnsi"/>
          <w:sz w:val="22"/>
          <w:szCs w:val="22"/>
          <w:lang w:eastAsia="en-US"/>
        </w:rPr>
        <w:t xml:space="preserve"> </w:t>
      </w:r>
      <w:r w:rsidR="007A2A9F">
        <w:rPr>
          <w:sz w:val="22"/>
          <w:szCs w:val="22"/>
        </w:rPr>
        <w:t xml:space="preserve">Huang, 2014; </w:t>
      </w:r>
      <w:r w:rsidR="007A2A9F" w:rsidRPr="00FD51DA">
        <w:rPr>
          <w:sz w:val="22"/>
          <w:szCs w:val="22"/>
        </w:rPr>
        <w:t>Frattaroli</w:t>
      </w:r>
      <w:r w:rsidR="007A2A9F">
        <w:rPr>
          <w:sz w:val="22"/>
          <w:szCs w:val="22"/>
        </w:rPr>
        <w:t xml:space="preserve">, 2020; </w:t>
      </w:r>
      <w:r w:rsidR="007A2A9F" w:rsidRPr="00233992">
        <w:rPr>
          <w:sz w:val="22"/>
          <w:szCs w:val="22"/>
        </w:rPr>
        <w:t xml:space="preserve">Godsell </w:t>
      </w:r>
      <w:r w:rsidR="007A2A9F" w:rsidRPr="0044359F">
        <w:rPr>
          <w:sz w:val="22"/>
          <w:szCs w:val="22"/>
        </w:rPr>
        <w:t>et al</w:t>
      </w:r>
      <w:r w:rsidR="007A2A9F" w:rsidRPr="00233992">
        <w:rPr>
          <w:sz w:val="22"/>
          <w:szCs w:val="22"/>
        </w:rPr>
        <w:t>., 2023).</w:t>
      </w:r>
      <w:r w:rsidRPr="00233992">
        <w:rPr>
          <w:sz w:val="22"/>
          <w:szCs w:val="22"/>
        </w:rPr>
        <w:t xml:space="preserve"> </w:t>
      </w:r>
      <w:r w:rsidR="007A2A9F">
        <w:rPr>
          <w:sz w:val="22"/>
          <w:szCs w:val="22"/>
        </w:rPr>
        <w:t>Finally</w:t>
      </w:r>
      <w:r w:rsidRPr="00233992">
        <w:rPr>
          <w:sz w:val="22"/>
          <w:szCs w:val="22"/>
        </w:rPr>
        <w:t xml:space="preserve">, prior research examines restrictions on access to capital in developing economies such as Brazil and Chile </w:t>
      </w:r>
      <w:r>
        <w:rPr>
          <w:sz w:val="22"/>
          <w:szCs w:val="22"/>
        </w:rPr>
        <w:t>and in</w:t>
      </w:r>
      <w:r w:rsidR="007A2A9F">
        <w:rPr>
          <w:sz w:val="22"/>
          <w:szCs w:val="22"/>
        </w:rPr>
        <w:t xml:space="preserve"> developed economies such as</w:t>
      </w:r>
      <w:r>
        <w:rPr>
          <w:sz w:val="22"/>
          <w:szCs w:val="22"/>
        </w:rPr>
        <w:t xml:space="preserve"> France </w:t>
      </w:r>
      <w:r w:rsidRPr="00233992">
        <w:rPr>
          <w:sz w:val="22"/>
          <w:szCs w:val="22"/>
        </w:rPr>
        <w:t>(Forbes, 2007; Alfaro et al., 2017</w:t>
      </w:r>
      <w:r>
        <w:rPr>
          <w:sz w:val="22"/>
          <w:szCs w:val="22"/>
        </w:rPr>
        <w:t xml:space="preserve">; </w:t>
      </w:r>
      <w:r w:rsidRPr="00FD51DA">
        <w:rPr>
          <w:sz w:val="22"/>
          <w:szCs w:val="22"/>
        </w:rPr>
        <w:t>Frattaroli</w:t>
      </w:r>
      <w:r>
        <w:rPr>
          <w:sz w:val="22"/>
          <w:szCs w:val="22"/>
        </w:rPr>
        <w:t>, 2020</w:t>
      </w:r>
      <w:r w:rsidRPr="00233992">
        <w:rPr>
          <w:sz w:val="22"/>
          <w:szCs w:val="22"/>
        </w:rPr>
        <w:t xml:space="preserve">). We contribute to this literature by documenting </w:t>
      </w:r>
      <w:r>
        <w:rPr>
          <w:sz w:val="22"/>
          <w:szCs w:val="22"/>
        </w:rPr>
        <w:t xml:space="preserve">how </w:t>
      </w:r>
      <w:r w:rsidRPr="00233992">
        <w:rPr>
          <w:sz w:val="22"/>
          <w:szCs w:val="22"/>
        </w:rPr>
        <w:t xml:space="preserve">bans on foreign </w:t>
      </w:r>
      <w:r>
        <w:rPr>
          <w:sz w:val="22"/>
          <w:szCs w:val="22"/>
        </w:rPr>
        <w:t>takeovers</w:t>
      </w:r>
      <w:r w:rsidRPr="00233992">
        <w:rPr>
          <w:sz w:val="22"/>
          <w:szCs w:val="22"/>
        </w:rPr>
        <w:t xml:space="preserve"> </w:t>
      </w:r>
      <w:r>
        <w:rPr>
          <w:sz w:val="22"/>
          <w:szCs w:val="22"/>
        </w:rPr>
        <w:t xml:space="preserve">affect corporate investment </w:t>
      </w:r>
      <w:r w:rsidRPr="00233992">
        <w:rPr>
          <w:sz w:val="22"/>
          <w:szCs w:val="22"/>
        </w:rPr>
        <w:t>in the U</w:t>
      </w:r>
      <w:r>
        <w:rPr>
          <w:sz w:val="22"/>
          <w:szCs w:val="22"/>
        </w:rPr>
        <w:t>.</w:t>
      </w:r>
      <w:r w:rsidRPr="00233992">
        <w:rPr>
          <w:sz w:val="22"/>
          <w:szCs w:val="22"/>
        </w:rPr>
        <w:t>S</w:t>
      </w:r>
      <w:r>
        <w:rPr>
          <w:sz w:val="22"/>
          <w:szCs w:val="22"/>
        </w:rPr>
        <w:t>. economy.</w:t>
      </w:r>
    </w:p>
    <w:p w14:paraId="5657EBDD" w14:textId="77777777" w:rsidR="00245A4A" w:rsidRPr="00233992" w:rsidRDefault="00245A4A" w:rsidP="00233992">
      <w:pPr>
        <w:spacing w:line="480" w:lineRule="auto"/>
        <w:jc w:val="both"/>
        <w:rPr>
          <w:sz w:val="22"/>
          <w:szCs w:val="22"/>
        </w:rPr>
      </w:pPr>
    </w:p>
    <w:p w14:paraId="32910015" w14:textId="5ADF7368" w:rsidR="00F64AA7" w:rsidRDefault="00F64AA7">
      <w:pPr>
        <w:spacing w:after="160" w:line="259" w:lineRule="auto"/>
        <w:rPr>
          <w:sz w:val="22"/>
          <w:szCs w:val="22"/>
        </w:rPr>
      </w:pPr>
      <w:r>
        <w:rPr>
          <w:sz w:val="22"/>
          <w:szCs w:val="22"/>
        </w:rPr>
        <w:br w:type="page"/>
      </w:r>
    </w:p>
    <w:p w14:paraId="68F8ADE4" w14:textId="631B2655" w:rsidR="001D016B" w:rsidRPr="008F05EC" w:rsidRDefault="001D016B" w:rsidP="00233992">
      <w:pPr>
        <w:spacing w:line="480" w:lineRule="auto"/>
        <w:jc w:val="both"/>
        <w:rPr>
          <w:rFonts w:eastAsiaTheme="minorHAnsi"/>
          <w:b/>
          <w:bCs/>
          <w:sz w:val="22"/>
          <w:szCs w:val="22"/>
          <w:lang w:val="en-GB" w:eastAsia="en-US"/>
        </w:rPr>
      </w:pPr>
      <w:r w:rsidRPr="008F05EC">
        <w:rPr>
          <w:rFonts w:eastAsiaTheme="minorHAnsi"/>
          <w:b/>
          <w:bCs/>
          <w:sz w:val="22"/>
          <w:szCs w:val="22"/>
          <w:lang w:val="en-GB" w:eastAsia="en-US"/>
        </w:rPr>
        <w:lastRenderedPageBreak/>
        <w:t>References</w:t>
      </w:r>
    </w:p>
    <w:p w14:paraId="675929EB" w14:textId="611DAE92" w:rsidR="00B70C10" w:rsidRPr="008F05EC" w:rsidRDefault="001D016B" w:rsidP="00346D4F">
      <w:pPr>
        <w:pStyle w:val="EndNoteBibliography"/>
        <w:spacing w:after="0"/>
        <w:rPr>
          <w:noProof w:val="0"/>
          <w:sz w:val="22"/>
          <w:lang w:val="en-GB"/>
        </w:rPr>
      </w:pPr>
      <w:r w:rsidRPr="00233992">
        <w:rPr>
          <w:rFonts w:eastAsia="Times New Roman"/>
          <w:b/>
          <w:bCs/>
          <w:noProof w:val="0"/>
          <w:sz w:val="22"/>
          <w:lang w:eastAsia="fr-FR"/>
        </w:rPr>
        <w:fldChar w:fldCharType="begin"/>
      </w:r>
      <w:r w:rsidRPr="008F05EC">
        <w:rPr>
          <w:rFonts w:eastAsia="Times New Roman"/>
          <w:b/>
          <w:bCs/>
          <w:noProof w:val="0"/>
          <w:sz w:val="22"/>
          <w:lang w:val="en-GB" w:eastAsia="fr-FR"/>
        </w:rPr>
        <w:instrText xml:space="preserve"> ADDIN EN.REFLIST </w:instrText>
      </w:r>
      <w:r w:rsidRPr="00233992">
        <w:rPr>
          <w:rFonts w:eastAsia="Times New Roman"/>
          <w:b/>
          <w:bCs/>
          <w:noProof w:val="0"/>
          <w:sz w:val="22"/>
          <w:lang w:eastAsia="fr-FR"/>
        </w:rPr>
        <w:fldChar w:fldCharType="separate"/>
      </w:r>
    </w:p>
    <w:p w14:paraId="2286CF8E" w14:textId="2679541A" w:rsidR="0002040A" w:rsidRDefault="0002040A" w:rsidP="00346D4F">
      <w:pPr>
        <w:pStyle w:val="EndNoteBibliography"/>
        <w:spacing w:after="0"/>
        <w:ind w:left="720" w:hanging="720"/>
        <w:rPr>
          <w:noProof w:val="0"/>
          <w:sz w:val="22"/>
        </w:rPr>
      </w:pPr>
      <w:r w:rsidRPr="0002040A">
        <w:rPr>
          <w:noProof w:val="0"/>
          <w:sz w:val="22"/>
          <w:lang w:val="en-GB"/>
        </w:rPr>
        <w:t xml:space="preserve">Alesina, A., Ardagna, S., Nicoletti, G., and Schiantarelli, F. (2005): </w:t>
      </w:r>
      <w:r>
        <w:rPr>
          <w:noProof w:val="0"/>
          <w:sz w:val="22"/>
        </w:rPr>
        <w:t>Regulation and investment,</w:t>
      </w:r>
      <w:r w:rsidRPr="0002040A">
        <w:rPr>
          <w:noProof w:val="0"/>
          <w:sz w:val="22"/>
        </w:rPr>
        <w:t xml:space="preserve"> J</w:t>
      </w:r>
      <w:r w:rsidRPr="0002040A">
        <w:rPr>
          <w:i/>
          <w:noProof w:val="0"/>
          <w:sz w:val="22"/>
        </w:rPr>
        <w:t>ournal of the European Economic Association</w:t>
      </w:r>
      <w:r w:rsidRPr="0002040A">
        <w:rPr>
          <w:noProof w:val="0"/>
          <w:sz w:val="22"/>
        </w:rPr>
        <w:t xml:space="preserve"> 3</w:t>
      </w:r>
      <w:r>
        <w:rPr>
          <w:noProof w:val="0"/>
          <w:sz w:val="22"/>
        </w:rPr>
        <w:t>,</w:t>
      </w:r>
      <w:r w:rsidRPr="0002040A">
        <w:rPr>
          <w:noProof w:val="0"/>
          <w:sz w:val="22"/>
        </w:rPr>
        <w:t xml:space="preserve"> 791</w:t>
      </w:r>
      <w:r w:rsidRPr="00233992">
        <w:rPr>
          <w:sz w:val="22"/>
        </w:rPr>
        <w:t>–</w:t>
      </w:r>
      <w:r w:rsidRPr="0002040A">
        <w:rPr>
          <w:noProof w:val="0"/>
          <w:sz w:val="22"/>
        </w:rPr>
        <w:t>825.</w:t>
      </w:r>
    </w:p>
    <w:p w14:paraId="2D909B53" w14:textId="3741D443" w:rsidR="0002040A" w:rsidRPr="00233992" w:rsidRDefault="0002040A" w:rsidP="0002040A">
      <w:pPr>
        <w:pStyle w:val="EndNoteBibliography"/>
        <w:spacing w:after="0"/>
        <w:ind w:left="720" w:hanging="720"/>
        <w:rPr>
          <w:noProof w:val="0"/>
          <w:sz w:val="22"/>
        </w:rPr>
      </w:pPr>
      <w:r w:rsidRPr="00233992">
        <w:rPr>
          <w:noProof w:val="0"/>
          <w:sz w:val="22"/>
        </w:rPr>
        <w:t xml:space="preserve">Alfaro, L., Chari, A., and Kanczuk, F. (2017): The real effects of capital controls: Firm-level evidence from a policy experiment, </w:t>
      </w:r>
      <w:r w:rsidRPr="00233992">
        <w:rPr>
          <w:i/>
          <w:noProof w:val="0"/>
          <w:sz w:val="22"/>
        </w:rPr>
        <w:t>Journal of International Economics</w:t>
      </w:r>
      <w:r w:rsidRPr="00233992">
        <w:rPr>
          <w:noProof w:val="0"/>
          <w:sz w:val="22"/>
        </w:rPr>
        <w:t xml:space="preserve"> 108, 191</w:t>
      </w:r>
      <w:r w:rsidRPr="00233992">
        <w:rPr>
          <w:sz w:val="22"/>
        </w:rPr>
        <w:t>–</w:t>
      </w:r>
      <w:r w:rsidRPr="00233992">
        <w:rPr>
          <w:noProof w:val="0"/>
          <w:sz w:val="22"/>
        </w:rPr>
        <w:t>210.</w:t>
      </w:r>
    </w:p>
    <w:p w14:paraId="206A6563" w14:textId="66D70E16" w:rsidR="00B70C10" w:rsidRPr="00233992" w:rsidRDefault="00B70C10" w:rsidP="00346D4F">
      <w:pPr>
        <w:pStyle w:val="EndNoteBibliography"/>
        <w:spacing w:after="0"/>
        <w:ind w:left="720" w:hanging="720"/>
        <w:rPr>
          <w:noProof w:val="0"/>
          <w:sz w:val="22"/>
        </w:rPr>
      </w:pPr>
      <w:r w:rsidRPr="00233992">
        <w:rPr>
          <w:noProof w:val="0"/>
          <w:sz w:val="22"/>
        </w:rPr>
        <w:t xml:space="preserve">Almeida, H., and Campello, M. (2007): Financial constraints, asset tangibility, and corporate investment, </w:t>
      </w:r>
      <w:r w:rsidRPr="00233992">
        <w:rPr>
          <w:i/>
          <w:noProof w:val="0"/>
          <w:sz w:val="22"/>
        </w:rPr>
        <w:t>Review of Financial Studies</w:t>
      </w:r>
      <w:r w:rsidRPr="00233992">
        <w:rPr>
          <w:noProof w:val="0"/>
          <w:sz w:val="22"/>
        </w:rPr>
        <w:t xml:space="preserve"> 20,</w:t>
      </w:r>
      <w:r w:rsidR="00D630E1" w:rsidRPr="00233992">
        <w:rPr>
          <w:noProof w:val="0"/>
          <w:sz w:val="22"/>
        </w:rPr>
        <w:t xml:space="preserve"> 1429</w:t>
      </w:r>
      <w:r w:rsidR="00D630E1" w:rsidRPr="00233992">
        <w:rPr>
          <w:sz w:val="22"/>
        </w:rPr>
        <w:t>–</w:t>
      </w:r>
      <w:r w:rsidRPr="00233992">
        <w:rPr>
          <w:noProof w:val="0"/>
          <w:sz w:val="22"/>
        </w:rPr>
        <w:t>1460.</w:t>
      </w:r>
    </w:p>
    <w:p w14:paraId="2CC0563E" w14:textId="4FA550B0" w:rsidR="00B70C10" w:rsidRPr="00233992" w:rsidRDefault="00B70C10" w:rsidP="00346D4F">
      <w:pPr>
        <w:pStyle w:val="EndNoteBibliography"/>
        <w:spacing w:after="0"/>
        <w:ind w:left="720" w:hanging="720"/>
        <w:rPr>
          <w:noProof w:val="0"/>
          <w:sz w:val="22"/>
        </w:rPr>
      </w:pPr>
      <w:r w:rsidRPr="00233992">
        <w:rPr>
          <w:noProof w:val="0"/>
          <w:sz w:val="22"/>
          <w:lang w:val="en-GB"/>
        </w:rPr>
        <w:t xml:space="preserve">Almeida, H., Campello, M., and Weisbach, M. S. (2004): </w:t>
      </w:r>
      <w:r w:rsidRPr="00233992">
        <w:rPr>
          <w:noProof w:val="0"/>
          <w:sz w:val="22"/>
        </w:rPr>
        <w:t xml:space="preserve">The cash flow sensitivity of cash, </w:t>
      </w:r>
      <w:r w:rsidRPr="00233992">
        <w:rPr>
          <w:i/>
          <w:noProof w:val="0"/>
          <w:sz w:val="22"/>
        </w:rPr>
        <w:t>Journal of Finance</w:t>
      </w:r>
      <w:r w:rsidRPr="00233992">
        <w:rPr>
          <w:noProof w:val="0"/>
          <w:sz w:val="22"/>
        </w:rPr>
        <w:t xml:space="preserve"> 59,</w:t>
      </w:r>
      <w:r w:rsidR="00D630E1" w:rsidRPr="00233992">
        <w:rPr>
          <w:noProof w:val="0"/>
          <w:sz w:val="22"/>
        </w:rPr>
        <w:t xml:space="preserve"> 1777</w:t>
      </w:r>
      <w:r w:rsidR="00D630E1" w:rsidRPr="00233992">
        <w:rPr>
          <w:sz w:val="22"/>
        </w:rPr>
        <w:t>–</w:t>
      </w:r>
      <w:r w:rsidRPr="00233992">
        <w:rPr>
          <w:noProof w:val="0"/>
          <w:sz w:val="22"/>
        </w:rPr>
        <w:t>1804.</w:t>
      </w:r>
    </w:p>
    <w:p w14:paraId="14153F70" w14:textId="4A42DA36" w:rsidR="00471693" w:rsidRPr="00233992" w:rsidRDefault="00471693" w:rsidP="00346D4F">
      <w:pPr>
        <w:pStyle w:val="EndNoteBibliography"/>
        <w:spacing w:after="0"/>
        <w:ind w:left="720" w:hanging="720"/>
        <w:rPr>
          <w:noProof w:val="0"/>
          <w:sz w:val="22"/>
        </w:rPr>
      </w:pPr>
      <w:r w:rsidRPr="00233992">
        <w:rPr>
          <w:noProof w:val="0"/>
          <w:sz w:val="22"/>
          <w:lang w:val="en-GB"/>
        </w:rPr>
        <w:t xml:space="preserve">Alvarez, L. H., and Stenbacka, R. (2006): </w:t>
      </w:r>
      <w:r w:rsidRPr="00233992">
        <w:rPr>
          <w:noProof w:val="0"/>
          <w:sz w:val="22"/>
        </w:rPr>
        <w:t xml:space="preserve">Takeover timing, implementation uncertainty, and embedded divestment options, </w:t>
      </w:r>
      <w:r w:rsidRPr="00233992">
        <w:rPr>
          <w:i/>
          <w:noProof w:val="0"/>
          <w:sz w:val="22"/>
        </w:rPr>
        <w:t xml:space="preserve">Review of Finance </w:t>
      </w:r>
      <w:r w:rsidRPr="00233992">
        <w:rPr>
          <w:noProof w:val="0"/>
          <w:sz w:val="22"/>
        </w:rPr>
        <w:t>10, 417</w:t>
      </w:r>
      <w:r w:rsidRPr="00233992">
        <w:rPr>
          <w:sz w:val="22"/>
        </w:rPr>
        <w:t>–</w:t>
      </w:r>
      <w:r w:rsidRPr="00233992">
        <w:rPr>
          <w:noProof w:val="0"/>
          <w:sz w:val="22"/>
        </w:rPr>
        <w:t>441.</w:t>
      </w:r>
    </w:p>
    <w:p w14:paraId="69B942BE" w14:textId="7202B705" w:rsidR="00B70C10" w:rsidRDefault="00B70C10" w:rsidP="00346D4F">
      <w:pPr>
        <w:pStyle w:val="EndNoteBibliography"/>
        <w:spacing w:after="0"/>
        <w:ind w:left="720" w:hanging="720"/>
        <w:rPr>
          <w:noProof w:val="0"/>
          <w:sz w:val="22"/>
        </w:rPr>
      </w:pPr>
      <w:r w:rsidRPr="00233992">
        <w:rPr>
          <w:noProof w:val="0"/>
          <w:sz w:val="22"/>
        </w:rPr>
        <w:t>Angrist, J.</w:t>
      </w:r>
      <w:r w:rsidR="0007147D" w:rsidRPr="00233992">
        <w:rPr>
          <w:noProof w:val="0"/>
          <w:sz w:val="22"/>
        </w:rPr>
        <w:t xml:space="preserve"> </w:t>
      </w:r>
      <w:r w:rsidRPr="00233992">
        <w:rPr>
          <w:noProof w:val="0"/>
          <w:sz w:val="22"/>
        </w:rPr>
        <w:t xml:space="preserve">D., </w:t>
      </w:r>
      <w:r w:rsidR="00D630E1" w:rsidRPr="00233992">
        <w:rPr>
          <w:noProof w:val="0"/>
          <w:sz w:val="22"/>
        </w:rPr>
        <w:t xml:space="preserve">and </w:t>
      </w:r>
      <w:r w:rsidRPr="00233992">
        <w:rPr>
          <w:noProof w:val="0"/>
          <w:sz w:val="22"/>
        </w:rPr>
        <w:t>Pischke, J.</w:t>
      </w:r>
      <w:r w:rsidR="0007147D" w:rsidRPr="00233992">
        <w:rPr>
          <w:noProof w:val="0"/>
          <w:sz w:val="22"/>
        </w:rPr>
        <w:t xml:space="preserve"> </w:t>
      </w:r>
      <w:r w:rsidRPr="00233992">
        <w:rPr>
          <w:noProof w:val="0"/>
          <w:sz w:val="22"/>
        </w:rPr>
        <w:t xml:space="preserve">S. (2009): Mostly harmless econometrics: An empiricist’s companion, </w:t>
      </w:r>
      <w:r w:rsidRPr="00233992">
        <w:rPr>
          <w:i/>
          <w:noProof w:val="0"/>
          <w:sz w:val="22"/>
        </w:rPr>
        <w:t>Princeton University Press</w:t>
      </w:r>
      <w:r w:rsidRPr="00233992">
        <w:rPr>
          <w:noProof w:val="0"/>
          <w:sz w:val="22"/>
        </w:rPr>
        <w:t>.</w:t>
      </w:r>
    </w:p>
    <w:p w14:paraId="6D343F23" w14:textId="5F3ACC68" w:rsidR="003420B8" w:rsidRPr="003420B8" w:rsidRDefault="002B4BC6" w:rsidP="003420B8">
      <w:pPr>
        <w:pStyle w:val="EndNoteBibliography"/>
        <w:spacing w:after="0"/>
        <w:ind w:left="720" w:hanging="720"/>
        <w:rPr>
          <w:noProof w:val="0"/>
          <w:sz w:val="22"/>
        </w:rPr>
      </w:pPr>
      <w:r>
        <w:rPr>
          <w:noProof w:val="0"/>
          <w:sz w:val="22"/>
        </w:rPr>
        <w:t>Averch, H., and Johnson, L. L.</w:t>
      </w:r>
      <w:r w:rsidR="003420B8" w:rsidRPr="003420B8">
        <w:rPr>
          <w:noProof w:val="0"/>
          <w:sz w:val="22"/>
        </w:rPr>
        <w:t xml:space="preserve"> (1962): Behavior of the firm under regulatory constraint, </w:t>
      </w:r>
      <w:r w:rsidR="003420B8" w:rsidRPr="003420B8">
        <w:rPr>
          <w:i/>
          <w:noProof w:val="0"/>
          <w:sz w:val="22"/>
        </w:rPr>
        <w:t>American Economic Review</w:t>
      </w:r>
      <w:r w:rsidR="003420B8" w:rsidRPr="003420B8">
        <w:rPr>
          <w:noProof w:val="0"/>
          <w:sz w:val="22"/>
        </w:rPr>
        <w:t xml:space="preserve"> 52, 1052</w:t>
      </w:r>
      <w:r w:rsidR="003420B8" w:rsidRPr="00233992">
        <w:rPr>
          <w:sz w:val="22"/>
        </w:rPr>
        <w:t>–</w:t>
      </w:r>
      <w:r w:rsidR="003420B8" w:rsidRPr="003420B8">
        <w:rPr>
          <w:noProof w:val="0"/>
          <w:sz w:val="22"/>
        </w:rPr>
        <w:t>1069.</w:t>
      </w:r>
    </w:p>
    <w:p w14:paraId="03425209" w14:textId="1E7A47BF" w:rsidR="00B70C10" w:rsidRPr="00233992" w:rsidRDefault="00B70C10" w:rsidP="00346D4F">
      <w:pPr>
        <w:pStyle w:val="EndNoteBibliography"/>
        <w:spacing w:after="0"/>
        <w:ind w:left="720" w:hanging="720"/>
        <w:rPr>
          <w:noProof w:val="0"/>
          <w:sz w:val="22"/>
        </w:rPr>
      </w:pPr>
      <w:r w:rsidRPr="00233992">
        <w:rPr>
          <w:noProof w:val="0"/>
          <w:sz w:val="22"/>
        </w:rPr>
        <w:t>Baker, A.</w:t>
      </w:r>
      <w:r w:rsidR="0007147D" w:rsidRPr="00233992">
        <w:rPr>
          <w:noProof w:val="0"/>
          <w:sz w:val="22"/>
        </w:rPr>
        <w:t xml:space="preserve"> </w:t>
      </w:r>
      <w:r w:rsidRPr="00233992">
        <w:rPr>
          <w:noProof w:val="0"/>
          <w:sz w:val="22"/>
        </w:rPr>
        <w:t>C., Larcker, D.</w:t>
      </w:r>
      <w:r w:rsidR="0007147D" w:rsidRPr="00233992">
        <w:rPr>
          <w:noProof w:val="0"/>
          <w:sz w:val="22"/>
        </w:rPr>
        <w:t xml:space="preserve"> </w:t>
      </w:r>
      <w:r w:rsidRPr="00233992">
        <w:rPr>
          <w:noProof w:val="0"/>
          <w:sz w:val="22"/>
        </w:rPr>
        <w:t xml:space="preserve">F., </w:t>
      </w:r>
      <w:r w:rsidR="00D630E1" w:rsidRPr="00233992">
        <w:rPr>
          <w:noProof w:val="0"/>
          <w:sz w:val="22"/>
        </w:rPr>
        <w:t xml:space="preserve">and </w:t>
      </w:r>
      <w:r w:rsidRPr="00233992">
        <w:rPr>
          <w:noProof w:val="0"/>
          <w:sz w:val="22"/>
        </w:rPr>
        <w:t>Wang, C.</w:t>
      </w:r>
      <w:r w:rsidR="0007147D" w:rsidRPr="00233992">
        <w:rPr>
          <w:noProof w:val="0"/>
          <w:sz w:val="22"/>
        </w:rPr>
        <w:t xml:space="preserve"> </w:t>
      </w:r>
      <w:r w:rsidRPr="00233992">
        <w:rPr>
          <w:noProof w:val="0"/>
          <w:sz w:val="22"/>
        </w:rPr>
        <w:t>C.</w:t>
      </w:r>
      <w:r w:rsidR="0007147D" w:rsidRPr="00233992">
        <w:rPr>
          <w:noProof w:val="0"/>
          <w:sz w:val="22"/>
        </w:rPr>
        <w:t xml:space="preserve"> Y. (</w:t>
      </w:r>
      <w:r w:rsidRPr="00233992">
        <w:rPr>
          <w:noProof w:val="0"/>
          <w:sz w:val="22"/>
        </w:rPr>
        <w:t>2022</w:t>
      </w:r>
      <w:r w:rsidR="0007147D" w:rsidRPr="00233992">
        <w:rPr>
          <w:noProof w:val="0"/>
          <w:sz w:val="22"/>
        </w:rPr>
        <w:t>):</w:t>
      </w:r>
      <w:r w:rsidRPr="00233992">
        <w:rPr>
          <w:noProof w:val="0"/>
          <w:sz w:val="22"/>
        </w:rPr>
        <w:t xml:space="preserve"> How much should we trust staggered difference-in-differences estimates?</w:t>
      </w:r>
      <w:r w:rsidR="0007147D" w:rsidRPr="00233992">
        <w:rPr>
          <w:noProof w:val="0"/>
          <w:sz w:val="22"/>
        </w:rPr>
        <w:t>,</w:t>
      </w:r>
      <w:r w:rsidRPr="00233992">
        <w:rPr>
          <w:noProof w:val="0"/>
          <w:sz w:val="22"/>
        </w:rPr>
        <w:t xml:space="preserve"> </w:t>
      </w:r>
      <w:r w:rsidRPr="00233992">
        <w:rPr>
          <w:i/>
          <w:noProof w:val="0"/>
          <w:sz w:val="22"/>
        </w:rPr>
        <w:t>Journal of Financial Economics</w:t>
      </w:r>
      <w:r w:rsidR="0007147D" w:rsidRPr="00233992">
        <w:rPr>
          <w:noProof w:val="0"/>
          <w:sz w:val="22"/>
        </w:rPr>
        <w:t xml:space="preserve"> 144,</w:t>
      </w:r>
      <w:r w:rsidR="00D630E1" w:rsidRPr="00233992">
        <w:rPr>
          <w:noProof w:val="0"/>
          <w:sz w:val="22"/>
        </w:rPr>
        <w:t xml:space="preserve"> 370</w:t>
      </w:r>
      <w:r w:rsidR="00D630E1" w:rsidRPr="00233992">
        <w:rPr>
          <w:sz w:val="22"/>
        </w:rPr>
        <w:t>–</w:t>
      </w:r>
      <w:r w:rsidRPr="00233992">
        <w:rPr>
          <w:noProof w:val="0"/>
          <w:sz w:val="22"/>
        </w:rPr>
        <w:t>395.</w:t>
      </w:r>
    </w:p>
    <w:p w14:paraId="2251E309" w14:textId="3D8DE0A2" w:rsidR="00B70C10" w:rsidRPr="00233992" w:rsidRDefault="00B70C10" w:rsidP="00346D4F">
      <w:pPr>
        <w:pStyle w:val="EndNoteBibliography"/>
        <w:spacing w:after="0"/>
        <w:ind w:left="720" w:hanging="720"/>
        <w:rPr>
          <w:noProof w:val="0"/>
          <w:sz w:val="22"/>
        </w:rPr>
      </w:pPr>
      <w:r w:rsidRPr="00233992">
        <w:rPr>
          <w:noProof w:val="0"/>
          <w:sz w:val="22"/>
          <w:lang w:val="en-GB"/>
        </w:rPr>
        <w:t>Balakrishnan, K., Core, J.</w:t>
      </w:r>
      <w:r w:rsidR="00D630E1" w:rsidRPr="00233992">
        <w:rPr>
          <w:noProof w:val="0"/>
          <w:sz w:val="22"/>
          <w:lang w:val="en-GB"/>
        </w:rPr>
        <w:t xml:space="preserve"> </w:t>
      </w:r>
      <w:r w:rsidRPr="00233992">
        <w:rPr>
          <w:noProof w:val="0"/>
          <w:sz w:val="22"/>
          <w:lang w:val="en-GB"/>
        </w:rPr>
        <w:t xml:space="preserve">E., </w:t>
      </w:r>
      <w:r w:rsidR="00D630E1" w:rsidRPr="00233992">
        <w:rPr>
          <w:noProof w:val="0"/>
          <w:sz w:val="22"/>
          <w:lang w:val="en-GB"/>
        </w:rPr>
        <w:t xml:space="preserve">and </w:t>
      </w:r>
      <w:r w:rsidRPr="00233992">
        <w:rPr>
          <w:noProof w:val="0"/>
          <w:sz w:val="22"/>
          <w:lang w:val="en-GB"/>
        </w:rPr>
        <w:t>Verdi, R.</w:t>
      </w:r>
      <w:r w:rsidR="00D630E1" w:rsidRPr="00233992">
        <w:rPr>
          <w:noProof w:val="0"/>
          <w:sz w:val="22"/>
          <w:lang w:val="en-GB"/>
        </w:rPr>
        <w:t xml:space="preserve"> S.</w:t>
      </w:r>
      <w:r w:rsidRPr="00233992">
        <w:rPr>
          <w:noProof w:val="0"/>
          <w:sz w:val="22"/>
          <w:lang w:val="en-GB"/>
        </w:rPr>
        <w:t xml:space="preserve"> </w:t>
      </w:r>
      <w:r w:rsidR="00D630E1" w:rsidRPr="00233992">
        <w:rPr>
          <w:noProof w:val="0"/>
          <w:sz w:val="22"/>
          <w:lang w:val="en-GB"/>
        </w:rPr>
        <w:t>(2014):</w:t>
      </w:r>
      <w:r w:rsidRPr="00233992">
        <w:rPr>
          <w:noProof w:val="0"/>
          <w:sz w:val="22"/>
          <w:lang w:val="en-GB"/>
        </w:rPr>
        <w:t xml:space="preserve"> </w:t>
      </w:r>
      <w:r w:rsidRPr="00233992">
        <w:rPr>
          <w:noProof w:val="0"/>
          <w:sz w:val="22"/>
        </w:rPr>
        <w:t>The relation between reporting quality and financing and investment: Evidence fro</w:t>
      </w:r>
      <w:r w:rsidR="00D630E1" w:rsidRPr="00233992">
        <w:rPr>
          <w:noProof w:val="0"/>
          <w:sz w:val="22"/>
        </w:rPr>
        <w:t>m changes in financing capacity,</w:t>
      </w:r>
      <w:r w:rsidRPr="00233992">
        <w:rPr>
          <w:noProof w:val="0"/>
          <w:sz w:val="22"/>
        </w:rPr>
        <w:t xml:space="preserve"> </w:t>
      </w:r>
      <w:r w:rsidRPr="00233992">
        <w:rPr>
          <w:i/>
          <w:noProof w:val="0"/>
          <w:sz w:val="22"/>
        </w:rPr>
        <w:t>Journal of Accounting Research</w:t>
      </w:r>
      <w:r w:rsidR="00D630E1" w:rsidRPr="00233992">
        <w:rPr>
          <w:noProof w:val="0"/>
          <w:sz w:val="22"/>
        </w:rPr>
        <w:t xml:space="preserve"> 52, 1</w:t>
      </w:r>
      <w:r w:rsidR="00D630E1" w:rsidRPr="00233992">
        <w:rPr>
          <w:sz w:val="22"/>
        </w:rPr>
        <w:t>–</w:t>
      </w:r>
      <w:r w:rsidRPr="00233992">
        <w:rPr>
          <w:noProof w:val="0"/>
          <w:sz w:val="22"/>
        </w:rPr>
        <w:t>36.</w:t>
      </w:r>
    </w:p>
    <w:p w14:paraId="3A7F99DA" w14:textId="4308015B" w:rsidR="00B70C10" w:rsidRPr="00233992" w:rsidRDefault="00B70C10" w:rsidP="00346D4F">
      <w:pPr>
        <w:pStyle w:val="EndNoteBibliography"/>
        <w:spacing w:after="0"/>
        <w:ind w:left="720" w:hanging="720"/>
        <w:rPr>
          <w:noProof w:val="0"/>
          <w:sz w:val="22"/>
        </w:rPr>
      </w:pPr>
      <w:r w:rsidRPr="00233992">
        <w:rPr>
          <w:noProof w:val="0"/>
          <w:sz w:val="22"/>
        </w:rPr>
        <w:t xml:space="preserve">Bebchuk, L., Cohen, A., </w:t>
      </w:r>
      <w:r w:rsidR="00D630E1" w:rsidRPr="00233992">
        <w:rPr>
          <w:noProof w:val="0"/>
          <w:sz w:val="22"/>
        </w:rPr>
        <w:t>and Ferrell, A.</w:t>
      </w:r>
      <w:r w:rsidRPr="00233992">
        <w:rPr>
          <w:noProof w:val="0"/>
          <w:sz w:val="22"/>
        </w:rPr>
        <w:t xml:space="preserve"> </w:t>
      </w:r>
      <w:r w:rsidR="00D630E1" w:rsidRPr="00233992">
        <w:rPr>
          <w:noProof w:val="0"/>
          <w:sz w:val="22"/>
        </w:rPr>
        <w:t>(2009):</w:t>
      </w:r>
      <w:r w:rsidRPr="00233992">
        <w:rPr>
          <w:noProof w:val="0"/>
          <w:sz w:val="22"/>
        </w:rPr>
        <w:t xml:space="preserve"> What matters in corporate governance?</w:t>
      </w:r>
      <w:r w:rsidR="00D630E1" w:rsidRPr="00233992">
        <w:rPr>
          <w:noProof w:val="0"/>
          <w:sz w:val="22"/>
        </w:rPr>
        <w:t>,</w:t>
      </w:r>
      <w:r w:rsidRPr="00233992">
        <w:rPr>
          <w:noProof w:val="0"/>
          <w:sz w:val="22"/>
        </w:rPr>
        <w:t xml:space="preserve"> </w:t>
      </w:r>
      <w:r w:rsidRPr="00233992">
        <w:rPr>
          <w:i/>
          <w:noProof w:val="0"/>
          <w:sz w:val="22"/>
        </w:rPr>
        <w:t>Review of Financial Studies</w:t>
      </w:r>
      <w:r w:rsidR="00D630E1" w:rsidRPr="00233992">
        <w:rPr>
          <w:noProof w:val="0"/>
          <w:sz w:val="22"/>
        </w:rPr>
        <w:t xml:space="preserve"> 22, 783</w:t>
      </w:r>
      <w:r w:rsidR="00D630E1" w:rsidRPr="00233992">
        <w:rPr>
          <w:sz w:val="22"/>
        </w:rPr>
        <w:t>–</w:t>
      </w:r>
      <w:r w:rsidRPr="00233992">
        <w:rPr>
          <w:noProof w:val="0"/>
          <w:sz w:val="22"/>
        </w:rPr>
        <w:t>827.</w:t>
      </w:r>
    </w:p>
    <w:p w14:paraId="4C3E18E9" w14:textId="098FB34A" w:rsidR="00B70C10" w:rsidRPr="00233992" w:rsidRDefault="00B70C10" w:rsidP="00346D4F">
      <w:pPr>
        <w:pStyle w:val="EndNoteBibliography"/>
        <w:spacing w:after="0"/>
        <w:ind w:left="720" w:hanging="720"/>
        <w:rPr>
          <w:noProof w:val="0"/>
          <w:sz w:val="22"/>
        </w:rPr>
      </w:pPr>
      <w:r w:rsidRPr="00233992">
        <w:rPr>
          <w:noProof w:val="0"/>
          <w:sz w:val="22"/>
        </w:rPr>
        <w:t>Bertrand, M</w:t>
      </w:r>
      <w:r w:rsidR="00CB5619" w:rsidRPr="00233992">
        <w:rPr>
          <w:noProof w:val="0"/>
          <w:sz w:val="22"/>
        </w:rPr>
        <w:t>., Duflo, E., and Mullainathan, S. (</w:t>
      </w:r>
      <w:r w:rsidRPr="00233992">
        <w:rPr>
          <w:noProof w:val="0"/>
          <w:sz w:val="22"/>
        </w:rPr>
        <w:t>2004</w:t>
      </w:r>
      <w:r w:rsidR="00CB5619" w:rsidRPr="00233992">
        <w:rPr>
          <w:noProof w:val="0"/>
          <w:sz w:val="22"/>
        </w:rPr>
        <w:t>):</w:t>
      </w:r>
      <w:r w:rsidRPr="00233992">
        <w:rPr>
          <w:noProof w:val="0"/>
          <w:sz w:val="22"/>
        </w:rPr>
        <w:t xml:space="preserve"> How much should we trust differences-in-differences estimates?</w:t>
      </w:r>
      <w:r w:rsidR="00CB5619" w:rsidRPr="00233992">
        <w:rPr>
          <w:noProof w:val="0"/>
          <w:sz w:val="22"/>
        </w:rPr>
        <w:t>,</w:t>
      </w:r>
      <w:r w:rsidRPr="00233992">
        <w:rPr>
          <w:noProof w:val="0"/>
          <w:sz w:val="22"/>
        </w:rPr>
        <w:t xml:space="preserve"> </w:t>
      </w:r>
      <w:r w:rsidRPr="00233992">
        <w:rPr>
          <w:i/>
          <w:noProof w:val="0"/>
          <w:sz w:val="22"/>
        </w:rPr>
        <w:t>Quarterl</w:t>
      </w:r>
      <w:r w:rsidR="00D630E1" w:rsidRPr="00233992">
        <w:rPr>
          <w:i/>
          <w:noProof w:val="0"/>
          <w:sz w:val="22"/>
        </w:rPr>
        <w:t>y Journal of Economics</w:t>
      </w:r>
      <w:r w:rsidR="00D630E1" w:rsidRPr="00233992">
        <w:rPr>
          <w:noProof w:val="0"/>
          <w:sz w:val="22"/>
        </w:rPr>
        <w:t xml:space="preserve"> 119: 249</w:t>
      </w:r>
      <w:r w:rsidR="00D630E1" w:rsidRPr="00233992">
        <w:rPr>
          <w:sz w:val="22"/>
        </w:rPr>
        <w:t>–</w:t>
      </w:r>
      <w:r w:rsidRPr="00233992">
        <w:rPr>
          <w:noProof w:val="0"/>
          <w:sz w:val="22"/>
        </w:rPr>
        <w:t xml:space="preserve">275. </w:t>
      </w:r>
    </w:p>
    <w:p w14:paraId="054E7EE3" w14:textId="5AEBFAB2" w:rsidR="00B70C10" w:rsidRDefault="00B70C10" w:rsidP="00346D4F">
      <w:pPr>
        <w:pStyle w:val="EndNoteBibliography"/>
        <w:spacing w:after="0"/>
        <w:ind w:left="720" w:hanging="720"/>
        <w:rPr>
          <w:noProof w:val="0"/>
          <w:sz w:val="22"/>
        </w:rPr>
      </w:pPr>
      <w:r w:rsidRPr="00233992">
        <w:rPr>
          <w:noProof w:val="0"/>
          <w:sz w:val="22"/>
        </w:rPr>
        <w:t xml:space="preserve">Bertrand, M., </w:t>
      </w:r>
      <w:r w:rsidR="00CB5619" w:rsidRPr="00233992">
        <w:rPr>
          <w:noProof w:val="0"/>
          <w:sz w:val="22"/>
        </w:rPr>
        <w:t>and Mullainathan, S.</w:t>
      </w:r>
      <w:r w:rsidRPr="00233992">
        <w:rPr>
          <w:noProof w:val="0"/>
          <w:sz w:val="22"/>
        </w:rPr>
        <w:t xml:space="preserve"> </w:t>
      </w:r>
      <w:r w:rsidR="00CB5619" w:rsidRPr="00233992">
        <w:rPr>
          <w:noProof w:val="0"/>
          <w:sz w:val="22"/>
        </w:rPr>
        <w:t>(2003):</w:t>
      </w:r>
      <w:r w:rsidRPr="00233992">
        <w:rPr>
          <w:noProof w:val="0"/>
          <w:sz w:val="22"/>
        </w:rPr>
        <w:t xml:space="preserve"> Enjoying the quiet life? Corporate govern</w:t>
      </w:r>
      <w:r w:rsidR="00CB5619" w:rsidRPr="00233992">
        <w:rPr>
          <w:noProof w:val="0"/>
          <w:sz w:val="22"/>
        </w:rPr>
        <w:t>ance and managerial preferences,</w:t>
      </w:r>
      <w:r w:rsidRPr="00233992">
        <w:rPr>
          <w:noProof w:val="0"/>
          <w:sz w:val="22"/>
        </w:rPr>
        <w:t xml:space="preserve"> </w:t>
      </w:r>
      <w:r w:rsidRPr="00233992">
        <w:rPr>
          <w:i/>
          <w:noProof w:val="0"/>
          <w:sz w:val="22"/>
        </w:rPr>
        <w:t>Journal</w:t>
      </w:r>
      <w:r w:rsidR="00CB5619" w:rsidRPr="00233992">
        <w:rPr>
          <w:i/>
          <w:noProof w:val="0"/>
          <w:sz w:val="22"/>
        </w:rPr>
        <w:t xml:space="preserve"> of Political Economy</w:t>
      </w:r>
      <w:r w:rsidR="00CB5619" w:rsidRPr="00233992">
        <w:rPr>
          <w:noProof w:val="0"/>
          <w:sz w:val="22"/>
        </w:rPr>
        <w:t xml:space="preserve"> 111,</w:t>
      </w:r>
      <w:r w:rsidR="00D630E1" w:rsidRPr="00233992">
        <w:rPr>
          <w:noProof w:val="0"/>
          <w:sz w:val="22"/>
        </w:rPr>
        <w:t xml:space="preserve"> 1043</w:t>
      </w:r>
      <w:r w:rsidR="00D630E1" w:rsidRPr="00233992">
        <w:rPr>
          <w:sz w:val="22"/>
        </w:rPr>
        <w:t>–</w:t>
      </w:r>
      <w:r w:rsidRPr="00233992">
        <w:rPr>
          <w:noProof w:val="0"/>
          <w:sz w:val="22"/>
        </w:rPr>
        <w:t>1075.</w:t>
      </w:r>
    </w:p>
    <w:p w14:paraId="07AD12BD" w14:textId="0C17397B" w:rsidR="00B70C10" w:rsidRPr="00233992" w:rsidRDefault="00B70C10" w:rsidP="00346D4F">
      <w:pPr>
        <w:pStyle w:val="EndNoteBibliography"/>
        <w:spacing w:after="0"/>
        <w:ind w:left="720" w:hanging="720"/>
        <w:rPr>
          <w:noProof w:val="0"/>
          <w:sz w:val="22"/>
        </w:rPr>
      </w:pPr>
      <w:r w:rsidRPr="00233992">
        <w:rPr>
          <w:noProof w:val="0"/>
          <w:sz w:val="22"/>
        </w:rPr>
        <w:t xml:space="preserve">Callaway, B., </w:t>
      </w:r>
      <w:r w:rsidR="006D04E2" w:rsidRPr="00233992">
        <w:rPr>
          <w:noProof w:val="0"/>
          <w:sz w:val="22"/>
        </w:rPr>
        <w:t xml:space="preserve">and </w:t>
      </w:r>
      <w:r w:rsidRPr="00233992">
        <w:rPr>
          <w:noProof w:val="0"/>
          <w:sz w:val="22"/>
        </w:rPr>
        <w:t>Sant’Anna, P.</w:t>
      </w:r>
      <w:r w:rsidR="006D04E2" w:rsidRPr="00233992">
        <w:rPr>
          <w:noProof w:val="0"/>
          <w:sz w:val="22"/>
        </w:rPr>
        <w:t xml:space="preserve"> </w:t>
      </w:r>
      <w:r w:rsidRPr="00233992">
        <w:rPr>
          <w:noProof w:val="0"/>
          <w:sz w:val="22"/>
        </w:rPr>
        <w:t>H.</w:t>
      </w:r>
      <w:r w:rsidR="006D04E2" w:rsidRPr="00233992">
        <w:rPr>
          <w:noProof w:val="0"/>
          <w:sz w:val="22"/>
        </w:rPr>
        <w:t xml:space="preserve"> C.</w:t>
      </w:r>
      <w:r w:rsidRPr="00233992">
        <w:rPr>
          <w:noProof w:val="0"/>
          <w:sz w:val="22"/>
        </w:rPr>
        <w:t xml:space="preserve"> </w:t>
      </w:r>
      <w:r w:rsidR="006D04E2" w:rsidRPr="00233992">
        <w:rPr>
          <w:noProof w:val="0"/>
          <w:sz w:val="22"/>
        </w:rPr>
        <w:t>(2021):</w:t>
      </w:r>
      <w:r w:rsidRPr="00233992">
        <w:rPr>
          <w:noProof w:val="0"/>
          <w:sz w:val="22"/>
        </w:rPr>
        <w:t xml:space="preserve"> Difference-in-differe</w:t>
      </w:r>
      <w:r w:rsidR="006D04E2" w:rsidRPr="00233992">
        <w:rPr>
          <w:noProof w:val="0"/>
          <w:sz w:val="22"/>
        </w:rPr>
        <w:t>nces with multiple time periods,</w:t>
      </w:r>
      <w:r w:rsidRPr="00233992">
        <w:rPr>
          <w:noProof w:val="0"/>
          <w:sz w:val="22"/>
        </w:rPr>
        <w:t xml:space="preserve"> </w:t>
      </w:r>
      <w:r w:rsidRPr="00233992">
        <w:rPr>
          <w:i/>
          <w:noProof w:val="0"/>
          <w:sz w:val="22"/>
        </w:rPr>
        <w:t>J</w:t>
      </w:r>
      <w:r w:rsidR="006D04E2" w:rsidRPr="00233992">
        <w:rPr>
          <w:i/>
          <w:noProof w:val="0"/>
          <w:sz w:val="22"/>
        </w:rPr>
        <w:t>ournal of Econometrics</w:t>
      </w:r>
      <w:r w:rsidR="006D04E2" w:rsidRPr="00233992">
        <w:rPr>
          <w:noProof w:val="0"/>
          <w:sz w:val="22"/>
        </w:rPr>
        <w:t xml:space="preserve"> 225,</w:t>
      </w:r>
      <w:r w:rsidR="00D630E1" w:rsidRPr="00233992">
        <w:rPr>
          <w:noProof w:val="0"/>
          <w:sz w:val="22"/>
        </w:rPr>
        <w:t xml:space="preserve"> 200</w:t>
      </w:r>
      <w:r w:rsidR="00D630E1" w:rsidRPr="00233992">
        <w:rPr>
          <w:sz w:val="22"/>
        </w:rPr>
        <w:t>–</w:t>
      </w:r>
      <w:r w:rsidRPr="00233992">
        <w:rPr>
          <w:noProof w:val="0"/>
          <w:sz w:val="22"/>
        </w:rPr>
        <w:t>230.</w:t>
      </w:r>
    </w:p>
    <w:p w14:paraId="15B49083" w14:textId="23735769" w:rsidR="00B70C10" w:rsidRPr="00233992" w:rsidRDefault="00B70C10" w:rsidP="00346D4F">
      <w:pPr>
        <w:pStyle w:val="EndNoteBibliography"/>
        <w:spacing w:after="0"/>
        <w:ind w:left="720" w:hanging="720"/>
        <w:rPr>
          <w:noProof w:val="0"/>
          <w:sz w:val="22"/>
        </w:rPr>
      </w:pPr>
      <w:r w:rsidRPr="00233992">
        <w:rPr>
          <w:noProof w:val="0"/>
          <w:sz w:val="22"/>
        </w:rPr>
        <w:t>Campbell, J.</w:t>
      </w:r>
      <w:r w:rsidR="00170A9E" w:rsidRPr="00233992">
        <w:rPr>
          <w:noProof w:val="0"/>
          <w:sz w:val="22"/>
        </w:rPr>
        <w:t xml:space="preserve"> </w:t>
      </w:r>
      <w:r w:rsidRPr="00233992">
        <w:rPr>
          <w:noProof w:val="0"/>
          <w:sz w:val="22"/>
        </w:rPr>
        <w:t>L., Dhaliwal, D.</w:t>
      </w:r>
      <w:r w:rsidR="00170A9E" w:rsidRPr="00233992">
        <w:rPr>
          <w:noProof w:val="0"/>
          <w:sz w:val="22"/>
        </w:rPr>
        <w:t xml:space="preserve"> </w:t>
      </w:r>
      <w:r w:rsidRPr="00233992">
        <w:rPr>
          <w:noProof w:val="0"/>
          <w:sz w:val="22"/>
        </w:rPr>
        <w:t>S.,</w:t>
      </w:r>
      <w:r w:rsidR="00170A9E" w:rsidRPr="00233992">
        <w:rPr>
          <w:noProof w:val="0"/>
          <w:sz w:val="22"/>
        </w:rPr>
        <w:t xml:space="preserve"> and</w:t>
      </w:r>
      <w:r w:rsidRPr="00233992">
        <w:rPr>
          <w:noProof w:val="0"/>
          <w:sz w:val="22"/>
        </w:rPr>
        <w:t xml:space="preserve"> Schwartz Jr, W.</w:t>
      </w:r>
      <w:r w:rsidR="00170A9E" w:rsidRPr="00233992">
        <w:rPr>
          <w:noProof w:val="0"/>
          <w:sz w:val="22"/>
        </w:rPr>
        <w:t xml:space="preserve"> C.</w:t>
      </w:r>
      <w:r w:rsidRPr="00233992">
        <w:rPr>
          <w:noProof w:val="0"/>
          <w:sz w:val="22"/>
        </w:rPr>
        <w:t xml:space="preserve"> </w:t>
      </w:r>
      <w:r w:rsidR="00170A9E" w:rsidRPr="00233992">
        <w:rPr>
          <w:noProof w:val="0"/>
          <w:sz w:val="22"/>
        </w:rPr>
        <w:t>(2012):</w:t>
      </w:r>
      <w:r w:rsidRPr="00233992">
        <w:rPr>
          <w:noProof w:val="0"/>
          <w:sz w:val="22"/>
        </w:rPr>
        <w:t xml:space="preserve"> Financing constraints and the cost of capital: Evidence from the fun</w:t>
      </w:r>
      <w:r w:rsidR="00170A9E" w:rsidRPr="00233992">
        <w:rPr>
          <w:noProof w:val="0"/>
          <w:sz w:val="22"/>
        </w:rPr>
        <w:t>ding of corporate pension plans,</w:t>
      </w:r>
      <w:r w:rsidRPr="00233992">
        <w:rPr>
          <w:noProof w:val="0"/>
          <w:sz w:val="22"/>
        </w:rPr>
        <w:t xml:space="preserve"> </w:t>
      </w:r>
      <w:r w:rsidRPr="00233992">
        <w:rPr>
          <w:i/>
          <w:noProof w:val="0"/>
          <w:sz w:val="22"/>
        </w:rPr>
        <w:t>Revi</w:t>
      </w:r>
      <w:r w:rsidR="008C6636" w:rsidRPr="00233992">
        <w:rPr>
          <w:i/>
          <w:noProof w:val="0"/>
          <w:sz w:val="22"/>
        </w:rPr>
        <w:t>ew of Financial Studies</w:t>
      </w:r>
      <w:r w:rsidR="008C6636" w:rsidRPr="00233992">
        <w:rPr>
          <w:noProof w:val="0"/>
          <w:sz w:val="22"/>
        </w:rPr>
        <w:t xml:space="preserve"> 25,</w:t>
      </w:r>
      <w:r w:rsidR="00D630E1" w:rsidRPr="00233992">
        <w:rPr>
          <w:noProof w:val="0"/>
          <w:sz w:val="22"/>
        </w:rPr>
        <w:t xml:space="preserve"> 868</w:t>
      </w:r>
      <w:r w:rsidR="00D630E1" w:rsidRPr="00233992">
        <w:rPr>
          <w:sz w:val="22"/>
        </w:rPr>
        <w:t>–</w:t>
      </w:r>
      <w:r w:rsidRPr="00233992">
        <w:rPr>
          <w:noProof w:val="0"/>
          <w:sz w:val="22"/>
        </w:rPr>
        <w:t>912.</w:t>
      </w:r>
    </w:p>
    <w:p w14:paraId="1AED138A" w14:textId="1496FD6F" w:rsidR="006945C2" w:rsidRPr="00233992" w:rsidRDefault="006945C2" w:rsidP="00346D4F">
      <w:pPr>
        <w:pStyle w:val="EndNoteBibliography"/>
        <w:spacing w:after="0"/>
        <w:ind w:left="720" w:hanging="720"/>
        <w:rPr>
          <w:noProof w:val="0"/>
          <w:sz w:val="22"/>
        </w:rPr>
      </w:pPr>
      <w:r w:rsidRPr="00233992">
        <w:rPr>
          <w:noProof w:val="0"/>
          <w:sz w:val="22"/>
          <w:lang w:val="en-GB"/>
        </w:rPr>
        <w:t xml:space="preserve">Cao, C., Li, X., and Liu, G. (2019): </w:t>
      </w:r>
      <w:r w:rsidRPr="00233992">
        <w:rPr>
          <w:noProof w:val="0"/>
          <w:sz w:val="22"/>
        </w:rPr>
        <w:t xml:space="preserve">Political uncertainty and cross-border acquisitions, </w:t>
      </w:r>
      <w:r w:rsidRPr="00233992">
        <w:rPr>
          <w:i/>
          <w:noProof w:val="0"/>
          <w:sz w:val="22"/>
        </w:rPr>
        <w:t>Review of Finance</w:t>
      </w:r>
      <w:r w:rsidRPr="00233992">
        <w:rPr>
          <w:noProof w:val="0"/>
          <w:sz w:val="22"/>
        </w:rPr>
        <w:t xml:space="preserve"> 23, 439</w:t>
      </w:r>
      <w:r w:rsidRPr="00233992">
        <w:rPr>
          <w:sz w:val="22"/>
        </w:rPr>
        <w:t>–</w:t>
      </w:r>
      <w:r w:rsidRPr="00233992">
        <w:rPr>
          <w:noProof w:val="0"/>
          <w:sz w:val="22"/>
        </w:rPr>
        <w:t>470.</w:t>
      </w:r>
    </w:p>
    <w:p w14:paraId="4B18BFBD" w14:textId="5402914C" w:rsidR="00B70C10" w:rsidRPr="00233992" w:rsidRDefault="00B70C10" w:rsidP="00346D4F">
      <w:pPr>
        <w:pStyle w:val="EndNoteBibliography"/>
        <w:spacing w:after="0"/>
        <w:ind w:left="720" w:hanging="720"/>
        <w:rPr>
          <w:noProof w:val="0"/>
          <w:sz w:val="22"/>
        </w:rPr>
      </w:pPr>
      <w:r w:rsidRPr="00233992">
        <w:rPr>
          <w:noProof w:val="0"/>
          <w:sz w:val="22"/>
        </w:rPr>
        <w:t xml:space="preserve">Chaney, T., Sraer, D., </w:t>
      </w:r>
      <w:r w:rsidR="008C6636" w:rsidRPr="00233992">
        <w:rPr>
          <w:noProof w:val="0"/>
          <w:sz w:val="22"/>
        </w:rPr>
        <w:t>and Thesmar, D.</w:t>
      </w:r>
      <w:r w:rsidRPr="00233992">
        <w:rPr>
          <w:noProof w:val="0"/>
          <w:sz w:val="22"/>
        </w:rPr>
        <w:t xml:space="preserve"> </w:t>
      </w:r>
      <w:r w:rsidR="008C6636" w:rsidRPr="00233992">
        <w:rPr>
          <w:noProof w:val="0"/>
          <w:sz w:val="22"/>
        </w:rPr>
        <w:t>(2012):</w:t>
      </w:r>
      <w:r w:rsidRPr="00233992">
        <w:rPr>
          <w:noProof w:val="0"/>
          <w:sz w:val="22"/>
        </w:rPr>
        <w:t xml:space="preserve"> The collateral channel: How real estate sho</w:t>
      </w:r>
      <w:r w:rsidR="008C6636" w:rsidRPr="00233992">
        <w:rPr>
          <w:noProof w:val="0"/>
          <w:sz w:val="22"/>
        </w:rPr>
        <w:t>cks affect corporate investment,</w:t>
      </w:r>
      <w:r w:rsidRPr="00233992">
        <w:rPr>
          <w:noProof w:val="0"/>
          <w:sz w:val="22"/>
        </w:rPr>
        <w:t xml:space="preserve"> </w:t>
      </w:r>
      <w:r w:rsidRPr="00233992">
        <w:rPr>
          <w:i/>
          <w:noProof w:val="0"/>
          <w:sz w:val="22"/>
        </w:rPr>
        <w:t>Ame</w:t>
      </w:r>
      <w:r w:rsidR="00D630E1" w:rsidRPr="00233992">
        <w:rPr>
          <w:i/>
          <w:noProof w:val="0"/>
          <w:sz w:val="22"/>
        </w:rPr>
        <w:t>rican Economic Review</w:t>
      </w:r>
      <w:r w:rsidR="008C6636" w:rsidRPr="00233992">
        <w:rPr>
          <w:noProof w:val="0"/>
          <w:sz w:val="22"/>
        </w:rPr>
        <w:t xml:space="preserve"> 102,</w:t>
      </w:r>
      <w:r w:rsidR="00D630E1" w:rsidRPr="00233992">
        <w:rPr>
          <w:noProof w:val="0"/>
          <w:sz w:val="22"/>
        </w:rPr>
        <w:t xml:space="preserve"> 2381</w:t>
      </w:r>
      <w:r w:rsidR="00D630E1" w:rsidRPr="00233992">
        <w:rPr>
          <w:sz w:val="22"/>
        </w:rPr>
        <w:t>–</w:t>
      </w:r>
      <w:r w:rsidRPr="00233992">
        <w:rPr>
          <w:noProof w:val="0"/>
          <w:sz w:val="22"/>
        </w:rPr>
        <w:t>2409.</w:t>
      </w:r>
    </w:p>
    <w:p w14:paraId="0F80A0D0" w14:textId="6796656E" w:rsidR="00B70C10" w:rsidRPr="00233992" w:rsidRDefault="00B70C10" w:rsidP="00346D4F">
      <w:pPr>
        <w:pStyle w:val="EndNoteBibliography"/>
        <w:spacing w:after="0"/>
        <w:ind w:left="720" w:hanging="720"/>
        <w:rPr>
          <w:noProof w:val="0"/>
          <w:sz w:val="22"/>
        </w:rPr>
      </w:pPr>
      <w:r w:rsidRPr="00233992">
        <w:rPr>
          <w:noProof w:val="0"/>
          <w:sz w:val="22"/>
        </w:rPr>
        <w:t>Christensen, H.</w:t>
      </w:r>
      <w:r w:rsidR="00416260">
        <w:rPr>
          <w:noProof w:val="0"/>
          <w:sz w:val="22"/>
        </w:rPr>
        <w:t xml:space="preserve"> </w:t>
      </w:r>
      <w:r w:rsidRPr="00233992">
        <w:rPr>
          <w:noProof w:val="0"/>
          <w:sz w:val="22"/>
        </w:rPr>
        <w:t xml:space="preserve">B., Hail, L., </w:t>
      </w:r>
      <w:r w:rsidR="003873BE" w:rsidRPr="00233992">
        <w:rPr>
          <w:noProof w:val="0"/>
          <w:sz w:val="22"/>
        </w:rPr>
        <w:t xml:space="preserve">and </w:t>
      </w:r>
      <w:r w:rsidRPr="00233992">
        <w:rPr>
          <w:noProof w:val="0"/>
          <w:sz w:val="22"/>
        </w:rPr>
        <w:t xml:space="preserve">Leuz, C., 2013. Mandatory IFRS reporting and changes in enforcement. </w:t>
      </w:r>
      <w:r w:rsidRPr="00233992">
        <w:rPr>
          <w:i/>
          <w:noProof w:val="0"/>
          <w:sz w:val="22"/>
        </w:rPr>
        <w:t>Journal of A</w:t>
      </w:r>
      <w:r w:rsidR="00D630E1" w:rsidRPr="00233992">
        <w:rPr>
          <w:i/>
          <w:noProof w:val="0"/>
          <w:sz w:val="22"/>
        </w:rPr>
        <w:t>ccounting and Economics</w:t>
      </w:r>
      <w:r w:rsidR="00D630E1" w:rsidRPr="00233992">
        <w:rPr>
          <w:noProof w:val="0"/>
          <w:sz w:val="22"/>
        </w:rPr>
        <w:t xml:space="preserve"> 56: 147</w:t>
      </w:r>
      <w:r w:rsidR="00D630E1" w:rsidRPr="00233992">
        <w:rPr>
          <w:sz w:val="22"/>
        </w:rPr>
        <w:t>–</w:t>
      </w:r>
      <w:r w:rsidRPr="00233992">
        <w:rPr>
          <w:noProof w:val="0"/>
          <w:sz w:val="22"/>
        </w:rPr>
        <w:t>177.</w:t>
      </w:r>
    </w:p>
    <w:p w14:paraId="6ABCC4BC" w14:textId="104CD112" w:rsidR="00B70C10" w:rsidRDefault="00B70C10" w:rsidP="00346D4F">
      <w:pPr>
        <w:pStyle w:val="EndNoteBibliography"/>
        <w:spacing w:after="0"/>
        <w:ind w:left="720" w:hanging="720"/>
        <w:rPr>
          <w:noProof w:val="0"/>
          <w:sz w:val="22"/>
        </w:rPr>
      </w:pPr>
      <w:r w:rsidRPr="00233992">
        <w:rPr>
          <w:noProof w:val="0"/>
          <w:sz w:val="22"/>
        </w:rPr>
        <w:t>Connell, P., and Huang, T.</w:t>
      </w:r>
      <w:r w:rsidR="003873BE" w:rsidRPr="00233992">
        <w:rPr>
          <w:noProof w:val="0"/>
          <w:sz w:val="22"/>
        </w:rPr>
        <w:t xml:space="preserve"> (2014): An empirical analysis of CFIUS: Examining foreign investment r</w:t>
      </w:r>
      <w:r w:rsidRPr="00233992">
        <w:rPr>
          <w:noProof w:val="0"/>
          <w:sz w:val="22"/>
        </w:rPr>
        <w:t>egulation in the Un</w:t>
      </w:r>
      <w:r w:rsidR="003873BE" w:rsidRPr="00233992">
        <w:rPr>
          <w:noProof w:val="0"/>
          <w:sz w:val="22"/>
        </w:rPr>
        <w:t>ited States,</w:t>
      </w:r>
      <w:r w:rsidRPr="00233992">
        <w:rPr>
          <w:noProof w:val="0"/>
          <w:sz w:val="22"/>
        </w:rPr>
        <w:t xml:space="preserve"> </w:t>
      </w:r>
      <w:r w:rsidRPr="00233992">
        <w:rPr>
          <w:i/>
          <w:noProof w:val="0"/>
          <w:sz w:val="22"/>
        </w:rPr>
        <w:t>Yale Journal of International Law</w:t>
      </w:r>
      <w:r w:rsidR="003873BE" w:rsidRPr="00233992">
        <w:rPr>
          <w:noProof w:val="0"/>
          <w:sz w:val="22"/>
        </w:rPr>
        <w:t xml:space="preserve"> 39</w:t>
      </w:r>
      <w:r w:rsidRPr="00233992">
        <w:rPr>
          <w:noProof w:val="0"/>
          <w:sz w:val="22"/>
        </w:rPr>
        <w:t>, 131–163.</w:t>
      </w:r>
    </w:p>
    <w:p w14:paraId="07439BF0" w14:textId="31421045" w:rsidR="00511590" w:rsidRPr="00511590" w:rsidRDefault="00511590" w:rsidP="00346D4F">
      <w:pPr>
        <w:pStyle w:val="EndNoteBibliography"/>
        <w:spacing w:after="0"/>
        <w:ind w:left="720" w:hanging="720"/>
        <w:rPr>
          <w:i/>
          <w:iCs/>
          <w:noProof w:val="0"/>
          <w:sz w:val="22"/>
        </w:rPr>
      </w:pPr>
      <w:r>
        <w:rPr>
          <w:noProof w:val="0"/>
          <w:sz w:val="22"/>
        </w:rPr>
        <w:t xml:space="preserve">Deen Westbrook, A. (2019): </w:t>
      </w:r>
      <w:r w:rsidR="00013F94">
        <w:rPr>
          <w:noProof w:val="0"/>
          <w:sz w:val="22"/>
        </w:rPr>
        <w:t>Securing the nation or entrenching the board? The evolution of CFIUS review of corporate a</w:t>
      </w:r>
      <w:r w:rsidRPr="00511590">
        <w:rPr>
          <w:noProof w:val="0"/>
          <w:sz w:val="22"/>
        </w:rPr>
        <w:t>cquisitions</w:t>
      </w:r>
      <w:r>
        <w:rPr>
          <w:noProof w:val="0"/>
          <w:sz w:val="22"/>
        </w:rPr>
        <w:t xml:space="preserve">, </w:t>
      </w:r>
      <w:r>
        <w:rPr>
          <w:i/>
          <w:iCs/>
          <w:noProof w:val="0"/>
          <w:sz w:val="22"/>
        </w:rPr>
        <w:t xml:space="preserve">Marquette Law Review </w:t>
      </w:r>
      <w:r w:rsidRPr="00837752">
        <w:rPr>
          <w:noProof w:val="0"/>
          <w:sz w:val="22"/>
        </w:rPr>
        <w:t>102, 643</w:t>
      </w:r>
      <w:r w:rsidR="00013F94" w:rsidRPr="00233992">
        <w:rPr>
          <w:sz w:val="22"/>
        </w:rPr>
        <w:t>–</w:t>
      </w:r>
      <w:r w:rsidRPr="00837752">
        <w:rPr>
          <w:noProof w:val="0"/>
          <w:sz w:val="22"/>
        </w:rPr>
        <w:t>699.</w:t>
      </w:r>
    </w:p>
    <w:p w14:paraId="7DC0451D" w14:textId="7D522C72" w:rsidR="00B70C10" w:rsidRPr="00233992" w:rsidRDefault="00B70C10" w:rsidP="00346D4F">
      <w:pPr>
        <w:pStyle w:val="EndNoteBibliography"/>
        <w:spacing w:after="0"/>
        <w:ind w:left="720" w:hanging="720"/>
        <w:rPr>
          <w:noProof w:val="0"/>
          <w:sz w:val="22"/>
        </w:rPr>
      </w:pPr>
      <w:r w:rsidRPr="00233992">
        <w:rPr>
          <w:noProof w:val="0"/>
          <w:sz w:val="22"/>
        </w:rPr>
        <w:t>Desai, M.</w:t>
      </w:r>
      <w:r w:rsidR="003873BE" w:rsidRPr="00233992">
        <w:rPr>
          <w:noProof w:val="0"/>
          <w:sz w:val="22"/>
        </w:rPr>
        <w:t xml:space="preserve"> </w:t>
      </w:r>
      <w:r w:rsidRPr="00233992">
        <w:rPr>
          <w:noProof w:val="0"/>
          <w:sz w:val="22"/>
        </w:rPr>
        <w:t>A., Foley, C.</w:t>
      </w:r>
      <w:r w:rsidR="003873BE" w:rsidRPr="00233992">
        <w:rPr>
          <w:noProof w:val="0"/>
          <w:sz w:val="22"/>
        </w:rPr>
        <w:t xml:space="preserve"> </w:t>
      </w:r>
      <w:r w:rsidRPr="00233992">
        <w:rPr>
          <w:noProof w:val="0"/>
          <w:sz w:val="22"/>
        </w:rPr>
        <w:t xml:space="preserve">F., </w:t>
      </w:r>
      <w:r w:rsidR="00611941" w:rsidRPr="00233992">
        <w:rPr>
          <w:noProof w:val="0"/>
          <w:sz w:val="22"/>
        </w:rPr>
        <w:t xml:space="preserve">and </w:t>
      </w:r>
      <w:r w:rsidRPr="00233992">
        <w:rPr>
          <w:noProof w:val="0"/>
          <w:sz w:val="22"/>
        </w:rPr>
        <w:t>Hines Jr, J.</w:t>
      </w:r>
      <w:r w:rsidR="003873BE" w:rsidRPr="00233992">
        <w:rPr>
          <w:noProof w:val="0"/>
          <w:sz w:val="22"/>
        </w:rPr>
        <w:t xml:space="preserve"> R.</w:t>
      </w:r>
      <w:r w:rsidRPr="00233992">
        <w:rPr>
          <w:noProof w:val="0"/>
          <w:sz w:val="22"/>
        </w:rPr>
        <w:t xml:space="preserve"> </w:t>
      </w:r>
      <w:r w:rsidR="003873BE" w:rsidRPr="00233992">
        <w:rPr>
          <w:noProof w:val="0"/>
          <w:sz w:val="22"/>
        </w:rPr>
        <w:t>(2006):</w:t>
      </w:r>
      <w:r w:rsidRPr="00233992">
        <w:rPr>
          <w:noProof w:val="0"/>
          <w:sz w:val="22"/>
        </w:rPr>
        <w:t xml:space="preserve"> Capital controls, liberalizations</w:t>
      </w:r>
      <w:r w:rsidR="003873BE" w:rsidRPr="00233992">
        <w:rPr>
          <w:noProof w:val="0"/>
          <w:sz w:val="22"/>
        </w:rPr>
        <w:t>, and foreign direct investment,</w:t>
      </w:r>
      <w:r w:rsidRPr="00233992">
        <w:rPr>
          <w:noProof w:val="0"/>
          <w:sz w:val="22"/>
        </w:rPr>
        <w:t xml:space="preserve"> </w:t>
      </w:r>
      <w:r w:rsidRPr="00233992">
        <w:rPr>
          <w:i/>
          <w:noProof w:val="0"/>
          <w:sz w:val="22"/>
        </w:rPr>
        <w:t>Revie</w:t>
      </w:r>
      <w:r w:rsidR="00D630E1" w:rsidRPr="00233992">
        <w:rPr>
          <w:i/>
          <w:noProof w:val="0"/>
          <w:sz w:val="22"/>
        </w:rPr>
        <w:t xml:space="preserve">w of Financial Studies </w:t>
      </w:r>
      <w:r w:rsidR="003873BE" w:rsidRPr="00233992">
        <w:rPr>
          <w:noProof w:val="0"/>
          <w:sz w:val="22"/>
        </w:rPr>
        <w:t>19,</w:t>
      </w:r>
      <w:r w:rsidR="00D630E1" w:rsidRPr="00233992">
        <w:rPr>
          <w:noProof w:val="0"/>
          <w:sz w:val="22"/>
        </w:rPr>
        <w:t xml:space="preserve"> 1433</w:t>
      </w:r>
      <w:r w:rsidR="00D630E1" w:rsidRPr="00233992">
        <w:rPr>
          <w:sz w:val="22"/>
        </w:rPr>
        <w:t>–</w:t>
      </w:r>
      <w:r w:rsidRPr="00233992">
        <w:rPr>
          <w:noProof w:val="0"/>
          <w:sz w:val="22"/>
        </w:rPr>
        <w:t>1464.</w:t>
      </w:r>
    </w:p>
    <w:p w14:paraId="542867F0" w14:textId="1136660E" w:rsidR="00B70C10" w:rsidRPr="00233992" w:rsidRDefault="00B70C10" w:rsidP="00346D4F">
      <w:pPr>
        <w:pStyle w:val="EndNoteBibliography"/>
        <w:spacing w:after="0"/>
        <w:ind w:left="720" w:hanging="720"/>
        <w:rPr>
          <w:noProof w:val="0"/>
          <w:sz w:val="22"/>
        </w:rPr>
      </w:pPr>
      <w:r w:rsidRPr="00233992">
        <w:rPr>
          <w:noProof w:val="0"/>
          <w:sz w:val="22"/>
        </w:rPr>
        <w:t xml:space="preserve">Dessaint, O., Foucault, T., Frésard, L., </w:t>
      </w:r>
      <w:r w:rsidR="003873BE" w:rsidRPr="00233992">
        <w:rPr>
          <w:noProof w:val="0"/>
          <w:sz w:val="22"/>
        </w:rPr>
        <w:t>and Matray, A.</w:t>
      </w:r>
      <w:r w:rsidRPr="00233992">
        <w:rPr>
          <w:noProof w:val="0"/>
          <w:sz w:val="22"/>
        </w:rPr>
        <w:t xml:space="preserve"> </w:t>
      </w:r>
      <w:r w:rsidR="003873BE" w:rsidRPr="00233992">
        <w:rPr>
          <w:noProof w:val="0"/>
          <w:sz w:val="22"/>
        </w:rPr>
        <w:t>(2019):</w:t>
      </w:r>
      <w:r w:rsidRPr="00233992">
        <w:rPr>
          <w:noProof w:val="0"/>
          <w:sz w:val="22"/>
        </w:rPr>
        <w:t xml:space="preserve"> Noisy stock </w:t>
      </w:r>
      <w:r w:rsidR="003873BE" w:rsidRPr="00233992">
        <w:rPr>
          <w:noProof w:val="0"/>
          <w:sz w:val="22"/>
        </w:rPr>
        <w:t>prices and corporate investment,</w:t>
      </w:r>
      <w:r w:rsidRPr="00233992">
        <w:rPr>
          <w:noProof w:val="0"/>
          <w:sz w:val="22"/>
        </w:rPr>
        <w:t xml:space="preserve"> </w:t>
      </w:r>
      <w:r w:rsidRPr="00233992">
        <w:rPr>
          <w:i/>
          <w:noProof w:val="0"/>
          <w:sz w:val="22"/>
        </w:rPr>
        <w:t>Revie</w:t>
      </w:r>
      <w:r w:rsidR="00D630E1" w:rsidRPr="00233992">
        <w:rPr>
          <w:i/>
          <w:noProof w:val="0"/>
          <w:sz w:val="22"/>
        </w:rPr>
        <w:t>w of Financial Studies</w:t>
      </w:r>
      <w:r w:rsidR="003873BE" w:rsidRPr="00233992">
        <w:rPr>
          <w:noProof w:val="0"/>
          <w:sz w:val="22"/>
        </w:rPr>
        <w:t xml:space="preserve"> 32,</w:t>
      </w:r>
      <w:r w:rsidR="00D630E1" w:rsidRPr="00233992">
        <w:rPr>
          <w:noProof w:val="0"/>
          <w:sz w:val="22"/>
        </w:rPr>
        <w:t xml:space="preserve"> 2625</w:t>
      </w:r>
      <w:r w:rsidR="00D630E1" w:rsidRPr="00233992">
        <w:rPr>
          <w:sz w:val="22"/>
        </w:rPr>
        <w:t>–</w:t>
      </w:r>
      <w:r w:rsidRPr="00233992">
        <w:rPr>
          <w:noProof w:val="0"/>
          <w:sz w:val="22"/>
        </w:rPr>
        <w:t>2672.</w:t>
      </w:r>
    </w:p>
    <w:p w14:paraId="2D284C83" w14:textId="0FD498E0" w:rsidR="00B70C10" w:rsidRDefault="00B70C10" w:rsidP="00346D4F">
      <w:pPr>
        <w:pStyle w:val="EndNoteBibliography"/>
        <w:spacing w:after="0"/>
        <w:ind w:left="720" w:hanging="720"/>
        <w:rPr>
          <w:noProof w:val="0"/>
          <w:sz w:val="22"/>
        </w:rPr>
      </w:pPr>
      <w:r w:rsidRPr="00233992">
        <w:rPr>
          <w:noProof w:val="0"/>
          <w:sz w:val="22"/>
        </w:rPr>
        <w:t>Forbes, K.</w:t>
      </w:r>
      <w:r w:rsidR="003873BE" w:rsidRPr="00233992">
        <w:rPr>
          <w:noProof w:val="0"/>
          <w:sz w:val="22"/>
        </w:rPr>
        <w:t xml:space="preserve"> J. (2007):</w:t>
      </w:r>
      <w:r w:rsidRPr="00233992">
        <w:rPr>
          <w:noProof w:val="0"/>
          <w:sz w:val="22"/>
        </w:rPr>
        <w:t xml:space="preserve"> One cost of the Chilean capital controls: Increased financial const</w:t>
      </w:r>
      <w:r w:rsidR="003873BE" w:rsidRPr="00233992">
        <w:rPr>
          <w:noProof w:val="0"/>
          <w:sz w:val="22"/>
        </w:rPr>
        <w:t>raints for smaller traded firms,</w:t>
      </w:r>
      <w:r w:rsidRPr="00233992">
        <w:rPr>
          <w:noProof w:val="0"/>
          <w:sz w:val="22"/>
        </w:rPr>
        <w:t xml:space="preserve"> </w:t>
      </w:r>
      <w:r w:rsidRPr="00233992">
        <w:rPr>
          <w:i/>
          <w:noProof w:val="0"/>
          <w:sz w:val="22"/>
        </w:rPr>
        <w:t>Journal of Internati</w:t>
      </w:r>
      <w:r w:rsidR="00D630E1" w:rsidRPr="00233992">
        <w:rPr>
          <w:i/>
          <w:noProof w:val="0"/>
          <w:sz w:val="22"/>
        </w:rPr>
        <w:t>onal Economics</w:t>
      </w:r>
      <w:r w:rsidR="003873BE" w:rsidRPr="00233992">
        <w:rPr>
          <w:noProof w:val="0"/>
          <w:sz w:val="22"/>
        </w:rPr>
        <w:t xml:space="preserve"> 71,</w:t>
      </w:r>
      <w:r w:rsidR="00D630E1" w:rsidRPr="00233992">
        <w:rPr>
          <w:noProof w:val="0"/>
          <w:sz w:val="22"/>
        </w:rPr>
        <w:t xml:space="preserve"> 294</w:t>
      </w:r>
      <w:r w:rsidR="00D630E1" w:rsidRPr="00233992">
        <w:rPr>
          <w:sz w:val="22"/>
        </w:rPr>
        <w:t>–</w:t>
      </w:r>
      <w:r w:rsidRPr="00233992">
        <w:rPr>
          <w:noProof w:val="0"/>
          <w:sz w:val="22"/>
        </w:rPr>
        <w:t>323.</w:t>
      </w:r>
    </w:p>
    <w:p w14:paraId="69F98025" w14:textId="170F8B1A" w:rsidR="007D7C55" w:rsidRDefault="007D7C55" w:rsidP="00346D4F">
      <w:pPr>
        <w:pStyle w:val="EndNoteBibliography"/>
        <w:spacing w:after="0"/>
        <w:ind w:left="720" w:hanging="720"/>
        <w:rPr>
          <w:noProof w:val="0"/>
          <w:sz w:val="22"/>
        </w:rPr>
      </w:pPr>
      <w:r>
        <w:rPr>
          <w:noProof w:val="0"/>
          <w:sz w:val="22"/>
        </w:rPr>
        <w:t>Frattaroli, M. (2020):</w:t>
      </w:r>
      <w:r w:rsidRPr="007D7C55">
        <w:rPr>
          <w:noProof w:val="0"/>
          <w:sz w:val="22"/>
        </w:rPr>
        <w:t xml:space="preserve"> Does protectionist anti-takeover legislation l</w:t>
      </w:r>
      <w:r>
        <w:rPr>
          <w:noProof w:val="0"/>
          <w:sz w:val="22"/>
        </w:rPr>
        <w:t>ead to managerial entrenchment?,</w:t>
      </w:r>
      <w:r w:rsidRPr="007D7C55">
        <w:rPr>
          <w:noProof w:val="0"/>
          <w:sz w:val="22"/>
        </w:rPr>
        <w:t xml:space="preserve"> </w:t>
      </w:r>
      <w:r>
        <w:rPr>
          <w:i/>
          <w:noProof w:val="0"/>
          <w:sz w:val="22"/>
        </w:rPr>
        <w:t>Journal of Financial E</w:t>
      </w:r>
      <w:r w:rsidRPr="007D7C55">
        <w:rPr>
          <w:i/>
          <w:noProof w:val="0"/>
          <w:sz w:val="22"/>
        </w:rPr>
        <w:t>conomics</w:t>
      </w:r>
      <w:r>
        <w:rPr>
          <w:noProof w:val="0"/>
          <w:sz w:val="22"/>
        </w:rPr>
        <w:t xml:space="preserve"> 136</w:t>
      </w:r>
      <w:r w:rsidRPr="007D7C55">
        <w:rPr>
          <w:noProof w:val="0"/>
          <w:sz w:val="22"/>
        </w:rPr>
        <w:t>, 106</w:t>
      </w:r>
      <w:r w:rsidRPr="00233992">
        <w:rPr>
          <w:noProof w:val="0"/>
          <w:sz w:val="22"/>
        </w:rPr>
        <w:t>–</w:t>
      </w:r>
      <w:r w:rsidRPr="007D7C55">
        <w:rPr>
          <w:noProof w:val="0"/>
          <w:sz w:val="22"/>
        </w:rPr>
        <w:t>136.</w:t>
      </w:r>
    </w:p>
    <w:p w14:paraId="4A5810F4" w14:textId="4111E23F" w:rsidR="003D1457" w:rsidRPr="003D1457" w:rsidRDefault="003D1457" w:rsidP="003D1457">
      <w:pPr>
        <w:pStyle w:val="EndNoteBibliography"/>
        <w:spacing w:after="0"/>
        <w:ind w:left="720" w:hanging="720"/>
        <w:rPr>
          <w:noProof w:val="0"/>
          <w:sz w:val="22"/>
        </w:rPr>
      </w:pPr>
      <w:r w:rsidRPr="003D1457">
        <w:rPr>
          <w:noProof w:val="0"/>
          <w:sz w:val="22"/>
        </w:rPr>
        <w:t>Georgiev, G. S. (2008): The reformed CFIUS regulatory framework: mediating</w:t>
      </w:r>
      <w:r w:rsidR="00416260">
        <w:rPr>
          <w:noProof w:val="0"/>
          <w:sz w:val="22"/>
        </w:rPr>
        <w:t xml:space="preserve"> between continued openness to foreign investment and national s</w:t>
      </w:r>
      <w:r w:rsidRPr="003D1457">
        <w:rPr>
          <w:noProof w:val="0"/>
          <w:sz w:val="22"/>
        </w:rPr>
        <w:t xml:space="preserve">ecurity, </w:t>
      </w:r>
      <w:r w:rsidRPr="00416260">
        <w:rPr>
          <w:i/>
          <w:noProof w:val="0"/>
          <w:sz w:val="22"/>
        </w:rPr>
        <w:t>Yale Journal on Regulation</w:t>
      </w:r>
      <w:r w:rsidRPr="003D1457">
        <w:rPr>
          <w:noProof w:val="0"/>
          <w:sz w:val="22"/>
        </w:rPr>
        <w:t xml:space="preserve"> 25, 125</w:t>
      </w:r>
      <w:r w:rsidR="00416260" w:rsidRPr="00233992">
        <w:rPr>
          <w:noProof w:val="0"/>
          <w:sz w:val="22"/>
        </w:rPr>
        <w:t>–</w:t>
      </w:r>
      <w:r w:rsidRPr="003D1457">
        <w:rPr>
          <w:noProof w:val="0"/>
          <w:sz w:val="22"/>
        </w:rPr>
        <w:t>134.</w:t>
      </w:r>
    </w:p>
    <w:p w14:paraId="2F78D951" w14:textId="41A0B37B" w:rsidR="00B70C10" w:rsidRPr="00233992" w:rsidRDefault="00B70C10" w:rsidP="00346D4F">
      <w:pPr>
        <w:pStyle w:val="EndNoteBibliography"/>
        <w:spacing w:after="0"/>
        <w:ind w:left="720" w:hanging="720"/>
        <w:rPr>
          <w:noProof w:val="0"/>
          <w:sz w:val="22"/>
        </w:rPr>
      </w:pPr>
      <w:r w:rsidRPr="00233992">
        <w:rPr>
          <w:noProof w:val="0"/>
          <w:sz w:val="22"/>
        </w:rPr>
        <w:t>Godsell, D., Lel, U.,</w:t>
      </w:r>
      <w:r w:rsidR="00611941" w:rsidRPr="00233992">
        <w:rPr>
          <w:noProof w:val="0"/>
          <w:sz w:val="22"/>
        </w:rPr>
        <w:t xml:space="preserve"> and</w:t>
      </w:r>
      <w:r w:rsidRPr="00233992">
        <w:rPr>
          <w:noProof w:val="0"/>
          <w:sz w:val="22"/>
        </w:rPr>
        <w:t xml:space="preserve"> Miller, D.</w:t>
      </w:r>
      <w:r w:rsidR="00611941" w:rsidRPr="00233992">
        <w:rPr>
          <w:noProof w:val="0"/>
          <w:sz w:val="22"/>
        </w:rPr>
        <w:t xml:space="preserve"> P.</w:t>
      </w:r>
      <w:r w:rsidRPr="00233992">
        <w:rPr>
          <w:noProof w:val="0"/>
          <w:sz w:val="22"/>
        </w:rPr>
        <w:t xml:space="preserve"> </w:t>
      </w:r>
      <w:r w:rsidR="00611941" w:rsidRPr="00233992">
        <w:rPr>
          <w:noProof w:val="0"/>
          <w:sz w:val="22"/>
        </w:rPr>
        <w:t>(2023):</w:t>
      </w:r>
      <w:r w:rsidRPr="00233992">
        <w:rPr>
          <w:noProof w:val="0"/>
          <w:sz w:val="22"/>
        </w:rPr>
        <w:t xml:space="preserve"> U</w:t>
      </w:r>
      <w:r w:rsidR="008A3E91">
        <w:rPr>
          <w:noProof w:val="0"/>
          <w:sz w:val="22"/>
        </w:rPr>
        <w:t>.</w:t>
      </w:r>
      <w:r w:rsidRPr="00233992">
        <w:rPr>
          <w:noProof w:val="0"/>
          <w:sz w:val="22"/>
        </w:rPr>
        <w:t>S</w:t>
      </w:r>
      <w:r w:rsidR="008A3E91">
        <w:rPr>
          <w:noProof w:val="0"/>
          <w:sz w:val="22"/>
        </w:rPr>
        <w:t>.</w:t>
      </w:r>
      <w:r w:rsidRPr="00233992">
        <w:rPr>
          <w:noProof w:val="0"/>
          <w:sz w:val="22"/>
        </w:rPr>
        <w:t xml:space="preserve"> Nationa</w:t>
      </w:r>
      <w:r w:rsidR="00611941" w:rsidRPr="00233992">
        <w:rPr>
          <w:noProof w:val="0"/>
          <w:sz w:val="22"/>
        </w:rPr>
        <w:t>l Security and De-Globalization,</w:t>
      </w:r>
      <w:r w:rsidRPr="00233992">
        <w:rPr>
          <w:noProof w:val="0"/>
          <w:sz w:val="22"/>
        </w:rPr>
        <w:t xml:space="preserve"> </w:t>
      </w:r>
      <w:r w:rsidRPr="00233992">
        <w:rPr>
          <w:i/>
          <w:noProof w:val="0"/>
          <w:sz w:val="22"/>
        </w:rPr>
        <w:t>Journal of</w:t>
      </w:r>
      <w:r w:rsidR="00611941" w:rsidRPr="00233992">
        <w:rPr>
          <w:i/>
          <w:noProof w:val="0"/>
          <w:sz w:val="22"/>
        </w:rPr>
        <w:t xml:space="preserve"> International Business Studies </w:t>
      </w:r>
      <w:r w:rsidR="00367E2A" w:rsidRPr="00233992">
        <w:rPr>
          <w:noProof w:val="0"/>
          <w:sz w:val="22"/>
        </w:rPr>
        <w:t>54</w:t>
      </w:r>
      <w:r w:rsidR="00611941" w:rsidRPr="00233992">
        <w:rPr>
          <w:noProof w:val="0"/>
          <w:sz w:val="22"/>
        </w:rPr>
        <w:t>,</w:t>
      </w:r>
      <w:r w:rsidR="00367E2A" w:rsidRPr="00233992">
        <w:rPr>
          <w:noProof w:val="0"/>
          <w:sz w:val="22"/>
        </w:rPr>
        <w:t xml:space="preserve"> 1471–1494</w:t>
      </w:r>
      <w:r w:rsidRPr="00233992">
        <w:rPr>
          <w:noProof w:val="0"/>
          <w:sz w:val="22"/>
        </w:rPr>
        <w:t>.</w:t>
      </w:r>
    </w:p>
    <w:p w14:paraId="4A35CC6C" w14:textId="15926641" w:rsidR="00B70C10" w:rsidRPr="00233992" w:rsidRDefault="00B70C10" w:rsidP="00346D4F">
      <w:pPr>
        <w:pStyle w:val="EndNoteBibliography"/>
        <w:spacing w:after="0"/>
        <w:ind w:left="720" w:hanging="720"/>
        <w:rPr>
          <w:noProof w:val="0"/>
          <w:sz w:val="22"/>
        </w:rPr>
      </w:pPr>
      <w:r w:rsidRPr="00233992">
        <w:rPr>
          <w:noProof w:val="0"/>
          <w:sz w:val="22"/>
        </w:rPr>
        <w:lastRenderedPageBreak/>
        <w:t xml:space="preserve">Gompers, P., Ishii, J., </w:t>
      </w:r>
      <w:r w:rsidR="00367E2A" w:rsidRPr="00233992">
        <w:rPr>
          <w:noProof w:val="0"/>
          <w:sz w:val="22"/>
        </w:rPr>
        <w:t>and Metrick, A.</w:t>
      </w:r>
      <w:r w:rsidRPr="00233992">
        <w:rPr>
          <w:noProof w:val="0"/>
          <w:sz w:val="22"/>
        </w:rPr>
        <w:t xml:space="preserve"> </w:t>
      </w:r>
      <w:r w:rsidR="00367E2A" w:rsidRPr="00233992">
        <w:rPr>
          <w:noProof w:val="0"/>
          <w:sz w:val="22"/>
        </w:rPr>
        <w:t>(2003):</w:t>
      </w:r>
      <w:r w:rsidRPr="00233992">
        <w:rPr>
          <w:noProof w:val="0"/>
          <w:sz w:val="22"/>
        </w:rPr>
        <w:t xml:space="preserve"> Corpora</w:t>
      </w:r>
      <w:r w:rsidR="00367E2A" w:rsidRPr="00233992">
        <w:rPr>
          <w:noProof w:val="0"/>
          <w:sz w:val="22"/>
        </w:rPr>
        <w:t>te governance and equity prices,</w:t>
      </w:r>
      <w:r w:rsidRPr="00233992">
        <w:rPr>
          <w:noProof w:val="0"/>
          <w:sz w:val="22"/>
        </w:rPr>
        <w:t xml:space="preserve"> </w:t>
      </w:r>
      <w:r w:rsidRPr="00233992">
        <w:rPr>
          <w:i/>
          <w:noProof w:val="0"/>
          <w:sz w:val="22"/>
        </w:rPr>
        <w:t>Quarterl</w:t>
      </w:r>
      <w:r w:rsidR="00D630E1" w:rsidRPr="00233992">
        <w:rPr>
          <w:i/>
          <w:noProof w:val="0"/>
          <w:sz w:val="22"/>
        </w:rPr>
        <w:t>y Journa</w:t>
      </w:r>
      <w:r w:rsidR="00367E2A" w:rsidRPr="00233992">
        <w:rPr>
          <w:i/>
          <w:noProof w:val="0"/>
          <w:sz w:val="22"/>
        </w:rPr>
        <w:t>l of Economics</w:t>
      </w:r>
      <w:r w:rsidR="00367E2A" w:rsidRPr="00233992">
        <w:rPr>
          <w:noProof w:val="0"/>
          <w:sz w:val="22"/>
        </w:rPr>
        <w:t xml:space="preserve"> 118,</w:t>
      </w:r>
      <w:r w:rsidR="00D630E1" w:rsidRPr="00233992">
        <w:rPr>
          <w:noProof w:val="0"/>
          <w:sz w:val="22"/>
        </w:rPr>
        <w:t xml:space="preserve"> 107</w:t>
      </w:r>
      <w:r w:rsidR="00D630E1" w:rsidRPr="00233992">
        <w:rPr>
          <w:sz w:val="22"/>
        </w:rPr>
        <w:t>–</w:t>
      </w:r>
      <w:r w:rsidRPr="00233992">
        <w:rPr>
          <w:noProof w:val="0"/>
          <w:sz w:val="22"/>
        </w:rPr>
        <w:t>155.</w:t>
      </w:r>
    </w:p>
    <w:p w14:paraId="0CF01677" w14:textId="26530944" w:rsidR="00B70C10" w:rsidRDefault="00F17717" w:rsidP="00346D4F">
      <w:pPr>
        <w:pStyle w:val="EndNoteBibliography"/>
        <w:spacing w:after="0"/>
        <w:ind w:left="720" w:hanging="720"/>
        <w:rPr>
          <w:noProof w:val="0"/>
          <w:sz w:val="22"/>
        </w:rPr>
      </w:pPr>
      <w:r w:rsidRPr="00233992">
        <w:rPr>
          <w:noProof w:val="0"/>
          <w:sz w:val="22"/>
        </w:rPr>
        <w:t>Goodman-Bacon, A.</w:t>
      </w:r>
      <w:r w:rsidR="00B70C10" w:rsidRPr="00233992">
        <w:rPr>
          <w:noProof w:val="0"/>
          <w:sz w:val="22"/>
        </w:rPr>
        <w:t xml:space="preserve"> </w:t>
      </w:r>
      <w:r w:rsidRPr="00233992">
        <w:rPr>
          <w:noProof w:val="0"/>
          <w:sz w:val="22"/>
        </w:rPr>
        <w:t>(2021):</w:t>
      </w:r>
      <w:r w:rsidR="00B70C10" w:rsidRPr="00233992">
        <w:rPr>
          <w:noProof w:val="0"/>
          <w:sz w:val="22"/>
        </w:rPr>
        <w:t xml:space="preserve"> Difference-in-differences wit</w:t>
      </w:r>
      <w:r w:rsidRPr="00233992">
        <w:rPr>
          <w:noProof w:val="0"/>
          <w:sz w:val="22"/>
        </w:rPr>
        <w:t>h variation in treatment timing,</w:t>
      </w:r>
      <w:r w:rsidR="00B70C10" w:rsidRPr="00233992">
        <w:rPr>
          <w:noProof w:val="0"/>
          <w:sz w:val="22"/>
        </w:rPr>
        <w:t xml:space="preserve"> </w:t>
      </w:r>
      <w:r w:rsidR="00B70C10" w:rsidRPr="00233992">
        <w:rPr>
          <w:i/>
          <w:noProof w:val="0"/>
          <w:sz w:val="22"/>
        </w:rPr>
        <w:t>J</w:t>
      </w:r>
      <w:r w:rsidR="00D630E1" w:rsidRPr="00233992">
        <w:rPr>
          <w:i/>
          <w:noProof w:val="0"/>
          <w:sz w:val="22"/>
        </w:rPr>
        <w:t>ournal of Econometrics</w:t>
      </w:r>
      <w:r w:rsidRPr="00233992">
        <w:rPr>
          <w:noProof w:val="0"/>
          <w:sz w:val="22"/>
        </w:rPr>
        <w:t xml:space="preserve"> 225,</w:t>
      </w:r>
      <w:r w:rsidR="00D630E1" w:rsidRPr="00233992">
        <w:rPr>
          <w:noProof w:val="0"/>
          <w:sz w:val="22"/>
        </w:rPr>
        <w:t xml:space="preserve"> 254</w:t>
      </w:r>
      <w:r w:rsidR="00D630E1" w:rsidRPr="00233992">
        <w:rPr>
          <w:sz w:val="22"/>
        </w:rPr>
        <w:t>–</w:t>
      </w:r>
      <w:r w:rsidR="00B70C10" w:rsidRPr="00233992">
        <w:rPr>
          <w:noProof w:val="0"/>
          <w:sz w:val="22"/>
        </w:rPr>
        <w:t>277.</w:t>
      </w:r>
    </w:p>
    <w:p w14:paraId="5A9748F2" w14:textId="07EEA14B" w:rsidR="00E61F45" w:rsidRDefault="002B4BC6" w:rsidP="00346D4F">
      <w:pPr>
        <w:pStyle w:val="EndNoteBibliography"/>
        <w:spacing w:after="0"/>
        <w:ind w:left="720" w:hanging="720"/>
        <w:rPr>
          <w:noProof w:val="0"/>
          <w:sz w:val="22"/>
        </w:rPr>
      </w:pPr>
      <w:r>
        <w:rPr>
          <w:noProof w:val="0"/>
          <w:sz w:val="22"/>
        </w:rPr>
        <w:t>Grajek, M., and Röller, L.</w:t>
      </w:r>
      <w:r w:rsidR="00E61F45" w:rsidRPr="00E61F45">
        <w:rPr>
          <w:noProof w:val="0"/>
          <w:sz w:val="22"/>
        </w:rPr>
        <w:t xml:space="preserve"> (2012): Regulation and investment in network industries: Evidence from European telecoms, </w:t>
      </w:r>
      <w:r w:rsidR="00E61F45" w:rsidRPr="00E61F45">
        <w:rPr>
          <w:i/>
          <w:noProof w:val="0"/>
          <w:sz w:val="22"/>
        </w:rPr>
        <w:t>Journal of Law and Economics</w:t>
      </w:r>
      <w:r w:rsidR="00E61F45" w:rsidRPr="00E61F45">
        <w:rPr>
          <w:noProof w:val="0"/>
          <w:sz w:val="22"/>
        </w:rPr>
        <w:t xml:space="preserve"> 55, 189</w:t>
      </w:r>
      <w:r w:rsidR="00E61F45" w:rsidRPr="00233992">
        <w:rPr>
          <w:noProof w:val="0"/>
          <w:sz w:val="22"/>
        </w:rPr>
        <w:t>–</w:t>
      </w:r>
      <w:r w:rsidR="00E61F45" w:rsidRPr="00E61F45">
        <w:rPr>
          <w:noProof w:val="0"/>
          <w:sz w:val="22"/>
        </w:rPr>
        <w:t>216.</w:t>
      </w:r>
    </w:p>
    <w:p w14:paraId="72BB73AF" w14:textId="18AF66E5" w:rsidR="00BC4B8A" w:rsidRPr="00BC4B8A" w:rsidRDefault="00BC4B8A" w:rsidP="00346D4F">
      <w:pPr>
        <w:pStyle w:val="EndNoteBibliography"/>
        <w:spacing w:after="0"/>
        <w:ind w:left="720" w:hanging="720"/>
        <w:rPr>
          <w:noProof w:val="0"/>
          <w:sz w:val="22"/>
        </w:rPr>
      </w:pPr>
      <w:r>
        <w:rPr>
          <w:noProof w:val="0"/>
          <w:sz w:val="22"/>
        </w:rPr>
        <w:t>Gr</w:t>
      </w:r>
      <w:r w:rsidR="000D1271">
        <w:rPr>
          <w:noProof w:val="0"/>
          <w:sz w:val="22"/>
        </w:rPr>
        <w:t>iffin, P. (2017): CFIUS in the age of Chinese i</w:t>
      </w:r>
      <w:r>
        <w:rPr>
          <w:noProof w:val="0"/>
          <w:sz w:val="22"/>
        </w:rPr>
        <w:t xml:space="preserve">nvestment, </w:t>
      </w:r>
      <w:r>
        <w:rPr>
          <w:i/>
          <w:iCs/>
          <w:noProof w:val="0"/>
          <w:sz w:val="22"/>
        </w:rPr>
        <w:t xml:space="preserve">Fordham Law Review </w:t>
      </w:r>
      <w:r>
        <w:rPr>
          <w:noProof w:val="0"/>
          <w:sz w:val="22"/>
        </w:rPr>
        <w:t>85, 1757</w:t>
      </w:r>
      <w:r w:rsidR="000D1271" w:rsidRPr="00233992">
        <w:rPr>
          <w:noProof w:val="0"/>
          <w:sz w:val="22"/>
        </w:rPr>
        <w:t>–</w:t>
      </w:r>
      <w:r>
        <w:rPr>
          <w:noProof w:val="0"/>
          <w:sz w:val="22"/>
        </w:rPr>
        <w:t>1792.</w:t>
      </w:r>
    </w:p>
    <w:p w14:paraId="5CA2CAF0" w14:textId="340F373D" w:rsidR="005428F4" w:rsidRPr="00233992" w:rsidRDefault="005428F4" w:rsidP="00346D4F">
      <w:pPr>
        <w:pStyle w:val="EndNoteBibliography"/>
        <w:spacing w:after="0"/>
        <w:ind w:left="720" w:hanging="720"/>
        <w:rPr>
          <w:noProof w:val="0"/>
          <w:sz w:val="22"/>
        </w:rPr>
      </w:pPr>
      <w:r w:rsidRPr="005428F4">
        <w:rPr>
          <w:noProof w:val="0"/>
          <w:sz w:val="22"/>
        </w:rPr>
        <w:t>Harford, J.</w:t>
      </w:r>
      <w:r>
        <w:rPr>
          <w:noProof w:val="0"/>
          <w:sz w:val="22"/>
        </w:rPr>
        <w:t xml:space="preserve"> (2003): </w:t>
      </w:r>
      <w:r w:rsidRPr="005428F4">
        <w:rPr>
          <w:noProof w:val="0"/>
          <w:sz w:val="22"/>
        </w:rPr>
        <w:t>Takeover bids and target directors' incenti</w:t>
      </w:r>
      <w:r>
        <w:rPr>
          <w:noProof w:val="0"/>
          <w:sz w:val="22"/>
        </w:rPr>
        <w:t xml:space="preserve">ves: </w:t>
      </w:r>
      <w:r w:rsidR="00F80243">
        <w:rPr>
          <w:noProof w:val="0"/>
          <w:sz w:val="22"/>
        </w:rPr>
        <w:t>t</w:t>
      </w:r>
      <w:r w:rsidRPr="005428F4">
        <w:rPr>
          <w:noProof w:val="0"/>
          <w:sz w:val="22"/>
        </w:rPr>
        <w:t>he impact of a bid on di</w:t>
      </w:r>
      <w:r>
        <w:rPr>
          <w:noProof w:val="0"/>
          <w:sz w:val="22"/>
        </w:rPr>
        <w:t>rectors' wealth and board seats,</w:t>
      </w:r>
      <w:r w:rsidRPr="005428F4">
        <w:rPr>
          <w:noProof w:val="0"/>
          <w:sz w:val="22"/>
        </w:rPr>
        <w:t xml:space="preserve"> </w:t>
      </w:r>
      <w:r w:rsidRPr="005428F4">
        <w:rPr>
          <w:i/>
          <w:noProof w:val="0"/>
          <w:sz w:val="22"/>
        </w:rPr>
        <w:t>Journal of Financial Economics</w:t>
      </w:r>
      <w:r>
        <w:rPr>
          <w:noProof w:val="0"/>
          <w:sz w:val="22"/>
        </w:rPr>
        <w:t xml:space="preserve"> 69, </w:t>
      </w:r>
      <w:r w:rsidRPr="005428F4">
        <w:rPr>
          <w:noProof w:val="0"/>
          <w:sz w:val="22"/>
        </w:rPr>
        <w:t>51</w:t>
      </w:r>
      <w:r w:rsidRPr="00233992">
        <w:rPr>
          <w:noProof w:val="0"/>
          <w:sz w:val="22"/>
        </w:rPr>
        <w:t>–</w:t>
      </w:r>
      <w:r w:rsidRPr="005428F4">
        <w:rPr>
          <w:noProof w:val="0"/>
          <w:sz w:val="22"/>
        </w:rPr>
        <w:t>83.</w:t>
      </w:r>
    </w:p>
    <w:p w14:paraId="719A94CA" w14:textId="45404A59" w:rsidR="00B70C10" w:rsidRPr="00233992" w:rsidRDefault="00B70C10" w:rsidP="00346D4F">
      <w:pPr>
        <w:pStyle w:val="EndNoteBibliography"/>
        <w:spacing w:after="0"/>
        <w:ind w:left="720" w:hanging="720"/>
        <w:rPr>
          <w:noProof w:val="0"/>
          <w:sz w:val="22"/>
        </w:rPr>
      </w:pPr>
      <w:r w:rsidRPr="00233992">
        <w:rPr>
          <w:noProof w:val="0"/>
          <w:sz w:val="22"/>
        </w:rPr>
        <w:t>H</w:t>
      </w:r>
      <w:r w:rsidR="00F17717" w:rsidRPr="00233992">
        <w:rPr>
          <w:noProof w:val="0"/>
          <w:sz w:val="22"/>
        </w:rPr>
        <w:t>oberg, G., and Maksimovic, V. (2015):</w:t>
      </w:r>
      <w:r w:rsidRPr="00233992">
        <w:rPr>
          <w:noProof w:val="0"/>
          <w:sz w:val="22"/>
        </w:rPr>
        <w:t xml:space="preserve"> Redefining financial con</w:t>
      </w:r>
      <w:r w:rsidR="00F17717" w:rsidRPr="00233992">
        <w:rPr>
          <w:noProof w:val="0"/>
          <w:sz w:val="22"/>
        </w:rPr>
        <w:t>straints: A text-based analysis,</w:t>
      </w:r>
      <w:r w:rsidRPr="00233992">
        <w:rPr>
          <w:noProof w:val="0"/>
          <w:sz w:val="22"/>
        </w:rPr>
        <w:t xml:space="preserve"> </w:t>
      </w:r>
      <w:r w:rsidRPr="00233992">
        <w:rPr>
          <w:i/>
          <w:noProof w:val="0"/>
          <w:sz w:val="22"/>
        </w:rPr>
        <w:t>Review of Financial Studies</w:t>
      </w:r>
      <w:r w:rsidR="00F17717" w:rsidRPr="00233992">
        <w:rPr>
          <w:noProof w:val="0"/>
          <w:sz w:val="22"/>
        </w:rPr>
        <w:t xml:space="preserve"> 28,</w:t>
      </w:r>
      <w:r w:rsidRPr="00233992">
        <w:rPr>
          <w:noProof w:val="0"/>
          <w:sz w:val="22"/>
        </w:rPr>
        <w:t xml:space="preserve"> 1312–1352.</w:t>
      </w:r>
    </w:p>
    <w:p w14:paraId="524B071D" w14:textId="1EAD1AD0" w:rsidR="00B70C10" w:rsidRPr="00233992" w:rsidRDefault="00B70C10" w:rsidP="00346D4F">
      <w:pPr>
        <w:pStyle w:val="EndNoteBibliography"/>
        <w:spacing w:after="0"/>
        <w:ind w:left="720" w:hanging="720"/>
        <w:rPr>
          <w:noProof w:val="0"/>
          <w:sz w:val="22"/>
        </w:rPr>
      </w:pPr>
      <w:r w:rsidRPr="00233992">
        <w:rPr>
          <w:noProof w:val="0"/>
          <w:sz w:val="22"/>
        </w:rPr>
        <w:t>Hoberg, G.,</w:t>
      </w:r>
      <w:r w:rsidR="00F17717" w:rsidRPr="00233992">
        <w:rPr>
          <w:noProof w:val="0"/>
          <w:sz w:val="22"/>
        </w:rPr>
        <w:t xml:space="preserve"> and Phillips, G.</w:t>
      </w:r>
      <w:r w:rsidRPr="00233992">
        <w:rPr>
          <w:noProof w:val="0"/>
          <w:sz w:val="22"/>
        </w:rPr>
        <w:t xml:space="preserve"> </w:t>
      </w:r>
      <w:r w:rsidR="00F17717" w:rsidRPr="00233992">
        <w:rPr>
          <w:noProof w:val="0"/>
          <w:sz w:val="22"/>
        </w:rPr>
        <w:t>(</w:t>
      </w:r>
      <w:r w:rsidRPr="00233992">
        <w:rPr>
          <w:noProof w:val="0"/>
          <w:sz w:val="22"/>
        </w:rPr>
        <w:t>2010</w:t>
      </w:r>
      <w:r w:rsidR="00F17717" w:rsidRPr="00233992">
        <w:rPr>
          <w:noProof w:val="0"/>
          <w:sz w:val="22"/>
        </w:rPr>
        <w:t>):</w:t>
      </w:r>
      <w:r w:rsidRPr="00233992">
        <w:rPr>
          <w:noProof w:val="0"/>
          <w:sz w:val="22"/>
        </w:rPr>
        <w:t xml:space="preserve"> Product market synergies and competition in mergers and acqu</w:t>
      </w:r>
      <w:r w:rsidR="00F17717" w:rsidRPr="00233992">
        <w:rPr>
          <w:noProof w:val="0"/>
          <w:sz w:val="22"/>
        </w:rPr>
        <w:t>isitions: A text-based analysis,</w:t>
      </w:r>
      <w:r w:rsidRPr="00233992">
        <w:rPr>
          <w:noProof w:val="0"/>
          <w:sz w:val="22"/>
        </w:rPr>
        <w:t xml:space="preserve"> </w:t>
      </w:r>
      <w:r w:rsidRPr="00233992">
        <w:rPr>
          <w:i/>
          <w:noProof w:val="0"/>
          <w:sz w:val="22"/>
        </w:rPr>
        <w:t>Revie</w:t>
      </w:r>
      <w:r w:rsidR="00D630E1" w:rsidRPr="00233992">
        <w:rPr>
          <w:i/>
          <w:noProof w:val="0"/>
          <w:sz w:val="22"/>
        </w:rPr>
        <w:t>w of Financial Studies</w:t>
      </w:r>
      <w:r w:rsidR="00F17717" w:rsidRPr="00233992">
        <w:rPr>
          <w:noProof w:val="0"/>
          <w:sz w:val="22"/>
        </w:rPr>
        <w:t xml:space="preserve"> 23,</w:t>
      </w:r>
      <w:r w:rsidR="00D630E1" w:rsidRPr="00233992">
        <w:rPr>
          <w:noProof w:val="0"/>
          <w:sz w:val="22"/>
        </w:rPr>
        <w:t xml:space="preserve"> 3773</w:t>
      </w:r>
      <w:r w:rsidR="00D630E1" w:rsidRPr="00233992">
        <w:rPr>
          <w:sz w:val="22"/>
        </w:rPr>
        <w:t>–</w:t>
      </w:r>
      <w:r w:rsidRPr="00233992">
        <w:rPr>
          <w:noProof w:val="0"/>
          <w:sz w:val="22"/>
        </w:rPr>
        <w:t>3811.</w:t>
      </w:r>
    </w:p>
    <w:p w14:paraId="235CB595" w14:textId="0DDDEE60" w:rsidR="00B70C10" w:rsidRPr="00233992" w:rsidRDefault="00B70C10" w:rsidP="00346D4F">
      <w:pPr>
        <w:pStyle w:val="EndNoteBibliography"/>
        <w:spacing w:after="0"/>
        <w:ind w:left="720" w:hanging="720"/>
        <w:rPr>
          <w:noProof w:val="0"/>
          <w:sz w:val="22"/>
        </w:rPr>
      </w:pPr>
      <w:r w:rsidRPr="00233992">
        <w:rPr>
          <w:noProof w:val="0"/>
          <w:sz w:val="22"/>
        </w:rPr>
        <w:t xml:space="preserve">Hoberg, G., </w:t>
      </w:r>
      <w:r w:rsidR="00F17717" w:rsidRPr="00233992">
        <w:rPr>
          <w:noProof w:val="0"/>
          <w:sz w:val="22"/>
        </w:rPr>
        <w:t>and Phillips, G.</w:t>
      </w:r>
      <w:r w:rsidRPr="00233992">
        <w:rPr>
          <w:noProof w:val="0"/>
          <w:sz w:val="22"/>
        </w:rPr>
        <w:t xml:space="preserve"> </w:t>
      </w:r>
      <w:r w:rsidR="00F17717" w:rsidRPr="00233992">
        <w:rPr>
          <w:noProof w:val="0"/>
          <w:sz w:val="22"/>
        </w:rPr>
        <w:t>(2016):</w:t>
      </w:r>
      <w:r w:rsidRPr="00233992">
        <w:rPr>
          <w:noProof w:val="0"/>
          <w:sz w:val="22"/>
        </w:rPr>
        <w:t xml:space="preserve"> Text-based network industries and end</w:t>
      </w:r>
      <w:r w:rsidR="00F17717" w:rsidRPr="00233992">
        <w:rPr>
          <w:noProof w:val="0"/>
          <w:sz w:val="22"/>
        </w:rPr>
        <w:t>ogenous product differentiation,</w:t>
      </w:r>
      <w:r w:rsidRPr="00233992">
        <w:rPr>
          <w:noProof w:val="0"/>
          <w:sz w:val="22"/>
        </w:rPr>
        <w:t xml:space="preserve"> </w:t>
      </w:r>
      <w:r w:rsidRPr="00233992">
        <w:rPr>
          <w:i/>
          <w:noProof w:val="0"/>
          <w:sz w:val="22"/>
        </w:rPr>
        <w:t>Journal of Polit</w:t>
      </w:r>
      <w:r w:rsidR="00D630E1" w:rsidRPr="00233992">
        <w:rPr>
          <w:i/>
          <w:noProof w:val="0"/>
          <w:sz w:val="22"/>
        </w:rPr>
        <w:t>ical Economy</w:t>
      </w:r>
      <w:r w:rsidR="00D630E1" w:rsidRPr="00233992">
        <w:rPr>
          <w:noProof w:val="0"/>
          <w:sz w:val="22"/>
        </w:rPr>
        <w:t xml:space="preserve"> 12</w:t>
      </w:r>
      <w:r w:rsidR="00F17717" w:rsidRPr="00233992">
        <w:rPr>
          <w:noProof w:val="0"/>
          <w:sz w:val="22"/>
        </w:rPr>
        <w:t>4,</w:t>
      </w:r>
      <w:r w:rsidR="00D630E1" w:rsidRPr="00233992">
        <w:rPr>
          <w:noProof w:val="0"/>
          <w:sz w:val="22"/>
        </w:rPr>
        <w:t xml:space="preserve"> 1423</w:t>
      </w:r>
      <w:r w:rsidR="00D630E1" w:rsidRPr="00233992">
        <w:rPr>
          <w:sz w:val="22"/>
        </w:rPr>
        <w:t>–</w:t>
      </w:r>
      <w:r w:rsidRPr="00233992">
        <w:rPr>
          <w:noProof w:val="0"/>
          <w:sz w:val="22"/>
        </w:rPr>
        <w:t>1465.</w:t>
      </w:r>
    </w:p>
    <w:p w14:paraId="36AEEAFF" w14:textId="2AD16B7B" w:rsidR="00B70C10" w:rsidRDefault="00B70C10" w:rsidP="00346D4F">
      <w:pPr>
        <w:pStyle w:val="EndNoteBibliography"/>
        <w:spacing w:after="0"/>
        <w:ind w:left="720" w:hanging="720"/>
        <w:rPr>
          <w:noProof w:val="0"/>
          <w:sz w:val="22"/>
        </w:rPr>
      </w:pPr>
      <w:r w:rsidRPr="00233992">
        <w:rPr>
          <w:noProof w:val="0"/>
          <w:sz w:val="22"/>
        </w:rPr>
        <w:t>Jackson, J.</w:t>
      </w:r>
      <w:r w:rsidR="00F17717" w:rsidRPr="00233992">
        <w:rPr>
          <w:noProof w:val="0"/>
          <w:sz w:val="22"/>
        </w:rPr>
        <w:t xml:space="preserve"> K.</w:t>
      </w:r>
      <w:r w:rsidRPr="00233992">
        <w:rPr>
          <w:noProof w:val="0"/>
          <w:sz w:val="22"/>
        </w:rPr>
        <w:t xml:space="preserve"> </w:t>
      </w:r>
      <w:r w:rsidR="00F17717" w:rsidRPr="00233992">
        <w:rPr>
          <w:noProof w:val="0"/>
          <w:sz w:val="22"/>
        </w:rPr>
        <w:t>(2020):</w:t>
      </w:r>
      <w:r w:rsidRPr="00233992">
        <w:rPr>
          <w:noProof w:val="0"/>
          <w:sz w:val="22"/>
        </w:rPr>
        <w:t xml:space="preserve"> The Committee on Foreign Investme</w:t>
      </w:r>
      <w:r w:rsidR="00F17717" w:rsidRPr="00233992">
        <w:rPr>
          <w:noProof w:val="0"/>
          <w:sz w:val="22"/>
        </w:rPr>
        <w:t>nt in the United States (CFIUS),</w:t>
      </w:r>
      <w:r w:rsidRPr="00233992">
        <w:rPr>
          <w:noProof w:val="0"/>
          <w:sz w:val="22"/>
        </w:rPr>
        <w:t xml:space="preserve"> </w:t>
      </w:r>
      <w:r w:rsidRPr="00233992">
        <w:rPr>
          <w:i/>
          <w:noProof w:val="0"/>
          <w:sz w:val="22"/>
        </w:rPr>
        <w:t>Congressional Research Service</w:t>
      </w:r>
      <w:r w:rsidR="00F17717" w:rsidRPr="00233992">
        <w:rPr>
          <w:noProof w:val="0"/>
          <w:sz w:val="22"/>
        </w:rPr>
        <w:t>,</w:t>
      </w:r>
      <w:r w:rsidRPr="00233992">
        <w:rPr>
          <w:noProof w:val="0"/>
          <w:sz w:val="22"/>
        </w:rPr>
        <w:t xml:space="preserve"> RL33388.</w:t>
      </w:r>
      <w:r w:rsidR="004020B2" w:rsidRPr="00233992">
        <w:rPr>
          <w:noProof w:val="0"/>
          <w:sz w:val="22"/>
        </w:rPr>
        <w:t xml:space="preserve"> </w:t>
      </w:r>
    </w:p>
    <w:p w14:paraId="260FDB3F" w14:textId="080F3821" w:rsidR="002561DE" w:rsidRPr="00233992" w:rsidRDefault="002561DE" w:rsidP="00346D4F">
      <w:pPr>
        <w:pStyle w:val="EndNoteBibliography"/>
        <w:spacing w:after="0"/>
        <w:ind w:left="720" w:hanging="720"/>
        <w:rPr>
          <w:noProof w:val="0"/>
          <w:sz w:val="22"/>
        </w:rPr>
      </w:pPr>
      <w:r>
        <w:rPr>
          <w:noProof w:val="0"/>
          <w:sz w:val="22"/>
        </w:rPr>
        <w:t>Josselyn, A. S. (2014): National security at all costs: Why the CFIUS process may</w:t>
      </w:r>
      <w:r w:rsidR="00F30D59">
        <w:rPr>
          <w:noProof w:val="0"/>
          <w:sz w:val="22"/>
        </w:rPr>
        <w:t xml:space="preserve"> have overreached its purpose, </w:t>
      </w:r>
      <w:r>
        <w:rPr>
          <w:i/>
          <w:iCs/>
          <w:noProof w:val="0"/>
          <w:sz w:val="22"/>
        </w:rPr>
        <w:t>George Mason Law Review</w:t>
      </w:r>
      <w:r>
        <w:rPr>
          <w:noProof w:val="0"/>
          <w:sz w:val="22"/>
        </w:rPr>
        <w:t xml:space="preserve"> 21, 1347</w:t>
      </w:r>
      <w:r w:rsidR="00F30D59" w:rsidRPr="00233992">
        <w:rPr>
          <w:sz w:val="22"/>
        </w:rPr>
        <w:t>–</w:t>
      </w:r>
      <w:r>
        <w:rPr>
          <w:noProof w:val="0"/>
          <w:sz w:val="22"/>
        </w:rPr>
        <w:t>1379.</w:t>
      </w:r>
    </w:p>
    <w:p w14:paraId="6F7A189E" w14:textId="02551D70" w:rsidR="00B70C10" w:rsidRPr="00233992" w:rsidRDefault="00B70C10" w:rsidP="00346D4F">
      <w:pPr>
        <w:pStyle w:val="EndNoteBibliography"/>
        <w:spacing w:after="0"/>
        <w:ind w:left="720" w:hanging="720"/>
        <w:rPr>
          <w:noProof w:val="0"/>
          <w:sz w:val="22"/>
        </w:rPr>
      </w:pPr>
      <w:r w:rsidRPr="00233992">
        <w:rPr>
          <w:noProof w:val="0"/>
          <w:sz w:val="22"/>
        </w:rPr>
        <w:t xml:space="preserve">Koh, P., </w:t>
      </w:r>
      <w:r w:rsidR="00F17717" w:rsidRPr="00233992">
        <w:rPr>
          <w:noProof w:val="0"/>
          <w:sz w:val="22"/>
        </w:rPr>
        <w:t xml:space="preserve">and </w:t>
      </w:r>
      <w:r w:rsidRPr="00233992">
        <w:rPr>
          <w:noProof w:val="0"/>
          <w:sz w:val="22"/>
        </w:rPr>
        <w:t>Reeb, D.</w:t>
      </w:r>
      <w:r w:rsidR="00F17717" w:rsidRPr="00233992">
        <w:rPr>
          <w:noProof w:val="0"/>
          <w:sz w:val="22"/>
        </w:rPr>
        <w:t xml:space="preserve"> M.</w:t>
      </w:r>
      <w:r w:rsidRPr="00233992">
        <w:rPr>
          <w:noProof w:val="0"/>
          <w:sz w:val="22"/>
        </w:rPr>
        <w:t xml:space="preserve"> </w:t>
      </w:r>
      <w:r w:rsidR="00F17717" w:rsidRPr="00233992">
        <w:rPr>
          <w:noProof w:val="0"/>
          <w:sz w:val="22"/>
        </w:rPr>
        <w:t>(2015): Missing R&amp;D,</w:t>
      </w:r>
      <w:r w:rsidRPr="00233992">
        <w:rPr>
          <w:noProof w:val="0"/>
          <w:sz w:val="22"/>
        </w:rPr>
        <w:t xml:space="preserve"> </w:t>
      </w:r>
      <w:r w:rsidRPr="00233992">
        <w:rPr>
          <w:i/>
          <w:noProof w:val="0"/>
          <w:sz w:val="22"/>
        </w:rPr>
        <w:t xml:space="preserve">Journal of </w:t>
      </w:r>
      <w:r w:rsidR="00D630E1" w:rsidRPr="00233992">
        <w:rPr>
          <w:i/>
          <w:noProof w:val="0"/>
          <w:sz w:val="22"/>
        </w:rPr>
        <w:t>Accounting and Economics</w:t>
      </w:r>
      <w:r w:rsidR="00F17717" w:rsidRPr="00233992">
        <w:rPr>
          <w:noProof w:val="0"/>
          <w:sz w:val="22"/>
        </w:rPr>
        <w:t xml:space="preserve"> 60,</w:t>
      </w:r>
      <w:r w:rsidR="00D630E1" w:rsidRPr="00233992">
        <w:rPr>
          <w:noProof w:val="0"/>
          <w:sz w:val="22"/>
        </w:rPr>
        <w:t xml:space="preserve"> 73</w:t>
      </w:r>
      <w:r w:rsidR="00D630E1" w:rsidRPr="00233992">
        <w:rPr>
          <w:sz w:val="22"/>
        </w:rPr>
        <w:t>–</w:t>
      </w:r>
      <w:r w:rsidRPr="00233992">
        <w:rPr>
          <w:noProof w:val="0"/>
          <w:sz w:val="22"/>
        </w:rPr>
        <w:t>94.</w:t>
      </w:r>
    </w:p>
    <w:p w14:paraId="3A0F5963" w14:textId="1A63C331" w:rsidR="00B70C10" w:rsidRPr="00233992" w:rsidRDefault="00B70C10" w:rsidP="00346D4F">
      <w:pPr>
        <w:pStyle w:val="EndNoteBibliography"/>
        <w:spacing w:after="0"/>
        <w:ind w:left="720" w:hanging="720"/>
        <w:rPr>
          <w:noProof w:val="0"/>
          <w:sz w:val="22"/>
        </w:rPr>
      </w:pPr>
      <w:r w:rsidRPr="00233992">
        <w:rPr>
          <w:noProof w:val="0"/>
          <w:sz w:val="22"/>
          <w:lang w:val="en-GB"/>
        </w:rPr>
        <w:t xml:space="preserve">La Porta, R., Lopez-de-Silanes, F., Shleifer, A., </w:t>
      </w:r>
      <w:r w:rsidR="00F17717" w:rsidRPr="00233992">
        <w:rPr>
          <w:noProof w:val="0"/>
          <w:sz w:val="22"/>
          <w:lang w:val="en-GB"/>
        </w:rPr>
        <w:t>and Vishny, R.</w:t>
      </w:r>
      <w:r w:rsidRPr="00233992">
        <w:rPr>
          <w:noProof w:val="0"/>
          <w:sz w:val="22"/>
          <w:lang w:val="en-GB"/>
        </w:rPr>
        <w:t xml:space="preserve"> </w:t>
      </w:r>
      <w:r w:rsidR="00F17717" w:rsidRPr="00233992">
        <w:rPr>
          <w:noProof w:val="0"/>
          <w:sz w:val="22"/>
          <w:lang w:val="en-GB"/>
        </w:rPr>
        <w:t>(1998):</w:t>
      </w:r>
      <w:r w:rsidRPr="00233992">
        <w:rPr>
          <w:noProof w:val="0"/>
          <w:sz w:val="22"/>
          <w:lang w:val="en-GB"/>
        </w:rPr>
        <w:t xml:space="preserve"> </w:t>
      </w:r>
      <w:r w:rsidR="00F17717" w:rsidRPr="00233992">
        <w:rPr>
          <w:noProof w:val="0"/>
          <w:sz w:val="22"/>
        </w:rPr>
        <w:t>Law and finance,</w:t>
      </w:r>
      <w:r w:rsidRPr="00233992">
        <w:rPr>
          <w:noProof w:val="0"/>
          <w:sz w:val="22"/>
        </w:rPr>
        <w:t xml:space="preserve"> </w:t>
      </w:r>
      <w:r w:rsidRPr="00233992">
        <w:rPr>
          <w:i/>
          <w:noProof w:val="0"/>
          <w:sz w:val="22"/>
        </w:rPr>
        <w:t>Journal</w:t>
      </w:r>
      <w:r w:rsidR="00F17717" w:rsidRPr="00233992">
        <w:rPr>
          <w:i/>
          <w:noProof w:val="0"/>
          <w:sz w:val="22"/>
        </w:rPr>
        <w:t xml:space="preserve"> of Political E</w:t>
      </w:r>
      <w:r w:rsidR="00D630E1" w:rsidRPr="00233992">
        <w:rPr>
          <w:i/>
          <w:noProof w:val="0"/>
          <w:sz w:val="22"/>
        </w:rPr>
        <w:t>conomy</w:t>
      </w:r>
      <w:r w:rsidR="00F17717" w:rsidRPr="00233992">
        <w:rPr>
          <w:noProof w:val="0"/>
          <w:sz w:val="22"/>
        </w:rPr>
        <w:t xml:space="preserve"> 106,</w:t>
      </w:r>
      <w:r w:rsidR="00D630E1" w:rsidRPr="00233992">
        <w:rPr>
          <w:noProof w:val="0"/>
          <w:sz w:val="22"/>
        </w:rPr>
        <w:t xml:space="preserve"> 1113</w:t>
      </w:r>
      <w:r w:rsidR="00D630E1" w:rsidRPr="00233992">
        <w:rPr>
          <w:sz w:val="22"/>
        </w:rPr>
        <w:t>–</w:t>
      </w:r>
      <w:r w:rsidRPr="00233992">
        <w:rPr>
          <w:noProof w:val="0"/>
          <w:sz w:val="22"/>
        </w:rPr>
        <w:t>1155.</w:t>
      </w:r>
    </w:p>
    <w:p w14:paraId="0043E6DA" w14:textId="758DDB03" w:rsidR="0034145D" w:rsidRPr="00233992" w:rsidRDefault="0034145D" w:rsidP="00346D4F">
      <w:pPr>
        <w:pStyle w:val="EndNoteBibliography"/>
        <w:spacing w:after="0"/>
        <w:ind w:left="720" w:hanging="720"/>
        <w:rPr>
          <w:noProof w:val="0"/>
          <w:sz w:val="22"/>
        </w:rPr>
      </w:pPr>
      <w:r w:rsidRPr="00233992">
        <w:rPr>
          <w:noProof w:val="0"/>
          <w:sz w:val="22"/>
        </w:rPr>
        <w:t xml:space="preserve">Loderer, C., and Waelchli, U. R. S. (2015): Corporate aging and takeover risk, </w:t>
      </w:r>
      <w:r w:rsidRPr="00233992">
        <w:rPr>
          <w:i/>
          <w:noProof w:val="0"/>
          <w:sz w:val="22"/>
        </w:rPr>
        <w:t>Review of Finance</w:t>
      </w:r>
      <w:r w:rsidRPr="00233992">
        <w:rPr>
          <w:noProof w:val="0"/>
          <w:sz w:val="22"/>
        </w:rPr>
        <w:t xml:space="preserve"> 19, 2277</w:t>
      </w:r>
      <w:r w:rsidRPr="00233992">
        <w:rPr>
          <w:sz w:val="22"/>
        </w:rPr>
        <w:t>–</w:t>
      </w:r>
      <w:r w:rsidRPr="00233992">
        <w:rPr>
          <w:noProof w:val="0"/>
          <w:sz w:val="22"/>
        </w:rPr>
        <w:t>2315.</w:t>
      </w:r>
    </w:p>
    <w:p w14:paraId="79E50BB2" w14:textId="1F5C4C26" w:rsidR="00B70C10" w:rsidRDefault="00B70C10" w:rsidP="00346D4F">
      <w:pPr>
        <w:pStyle w:val="EndNoteBibliography"/>
        <w:spacing w:after="0"/>
        <w:ind w:left="720" w:hanging="720"/>
        <w:rPr>
          <w:noProof w:val="0"/>
          <w:sz w:val="22"/>
        </w:rPr>
      </w:pPr>
      <w:r w:rsidRPr="00233992">
        <w:rPr>
          <w:noProof w:val="0"/>
          <w:sz w:val="22"/>
        </w:rPr>
        <w:t>Moon, T.</w:t>
      </w:r>
      <w:r w:rsidR="00F17717" w:rsidRPr="00233992">
        <w:rPr>
          <w:noProof w:val="0"/>
          <w:sz w:val="22"/>
        </w:rPr>
        <w:t xml:space="preserve"> S.</w:t>
      </w:r>
      <w:r w:rsidRPr="00233992">
        <w:rPr>
          <w:noProof w:val="0"/>
          <w:sz w:val="22"/>
        </w:rPr>
        <w:t xml:space="preserve"> </w:t>
      </w:r>
      <w:r w:rsidR="00F17717" w:rsidRPr="00233992">
        <w:rPr>
          <w:noProof w:val="0"/>
          <w:sz w:val="22"/>
        </w:rPr>
        <w:t>(2022):</w:t>
      </w:r>
      <w:r w:rsidRPr="00233992">
        <w:rPr>
          <w:noProof w:val="0"/>
          <w:sz w:val="22"/>
        </w:rPr>
        <w:t xml:space="preserve"> Capital gains taxes and real corporate </w:t>
      </w:r>
      <w:r w:rsidR="00F17717" w:rsidRPr="00233992">
        <w:rPr>
          <w:noProof w:val="0"/>
          <w:sz w:val="22"/>
        </w:rPr>
        <w:t>investment: Evidence from Korea,</w:t>
      </w:r>
      <w:r w:rsidRPr="00233992">
        <w:rPr>
          <w:noProof w:val="0"/>
          <w:sz w:val="22"/>
        </w:rPr>
        <w:t xml:space="preserve"> </w:t>
      </w:r>
      <w:r w:rsidRPr="00233992">
        <w:rPr>
          <w:i/>
          <w:noProof w:val="0"/>
          <w:sz w:val="22"/>
        </w:rPr>
        <w:t>Ame</w:t>
      </w:r>
      <w:r w:rsidR="00D630E1" w:rsidRPr="00233992">
        <w:rPr>
          <w:i/>
          <w:noProof w:val="0"/>
          <w:sz w:val="22"/>
        </w:rPr>
        <w:t xml:space="preserve">rican Economic Review </w:t>
      </w:r>
      <w:r w:rsidR="00F17717" w:rsidRPr="00233992">
        <w:rPr>
          <w:noProof w:val="0"/>
          <w:sz w:val="22"/>
        </w:rPr>
        <w:t>112,</w:t>
      </w:r>
      <w:r w:rsidR="00D630E1" w:rsidRPr="00233992">
        <w:rPr>
          <w:noProof w:val="0"/>
          <w:sz w:val="22"/>
        </w:rPr>
        <w:t xml:space="preserve"> 2669</w:t>
      </w:r>
      <w:r w:rsidR="00D630E1" w:rsidRPr="00233992">
        <w:rPr>
          <w:sz w:val="22"/>
        </w:rPr>
        <w:t>–</w:t>
      </w:r>
      <w:r w:rsidRPr="00233992">
        <w:rPr>
          <w:noProof w:val="0"/>
          <w:sz w:val="22"/>
        </w:rPr>
        <w:t>2700.</w:t>
      </w:r>
    </w:p>
    <w:p w14:paraId="62FE989C" w14:textId="6463C535" w:rsidR="00B70C10" w:rsidRDefault="00B70C10" w:rsidP="00346D4F">
      <w:pPr>
        <w:pStyle w:val="EndNoteBibliography"/>
        <w:spacing w:after="0"/>
        <w:ind w:left="720" w:hanging="720"/>
        <w:rPr>
          <w:noProof w:val="0"/>
          <w:sz w:val="22"/>
        </w:rPr>
      </w:pPr>
      <w:r w:rsidRPr="00233992">
        <w:rPr>
          <w:noProof w:val="0"/>
          <w:sz w:val="22"/>
        </w:rPr>
        <w:t>Pohl, J.,</w:t>
      </w:r>
      <w:r w:rsidR="00F17717" w:rsidRPr="00233992">
        <w:rPr>
          <w:noProof w:val="0"/>
          <w:sz w:val="22"/>
        </w:rPr>
        <w:t xml:space="preserve"> and Rosselot, N.</w:t>
      </w:r>
      <w:r w:rsidRPr="00233992">
        <w:rPr>
          <w:noProof w:val="0"/>
          <w:sz w:val="22"/>
        </w:rPr>
        <w:t xml:space="preserve"> </w:t>
      </w:r>
      <w:r w:rsidR="00F17717" w:rsidRPr="00233992">
        <w:rPr>
          <w:noProof w:val="0"/>
          <w:sz w:val="22"/>
        </w:rPr>
        <w:t>(2020):</w:t>
      </w:r>
      <w:r w:rsidRPr="00233992">
        <w:rPr>
          <w:noProof w:val="0"/>
          <w:sz w:val="22"/>
        </w:rPr>
        <w:t xml:space="preserve"> Acquisition- and ownership- related policies to safegua</w:t>
      </w:r>
      <w:r w:rsidR="00F17717" w:rsidRPr="00233992">
        <w:rPr>
          <w:noProof w:val="0"/>
          <w:sz w:val="22"/>
        </w:rPr>
        <w:t>rd essential security interests,</w:t>
      </w:r>
      <w:r w:rsidRPr="00233992">
        <w:rPr>
          <w:noProof w:val="0"/>
          <w:sz w:val="22"/>
        </w:rPr>
        <w:t xml:space="preserve"> </w:t>
      </w:r>
      <w:r w:rsidRPr="00233992">
        <w:rPr>
          <w:i/>
          <w:noProof w:val="0"/>
          <w:sz w:val="22"/>
        </w:rPr>
        <w:t xml:space="preserve">Research </w:t>
      </w:r>
      <w:r w:rsidR="00D630E1" w:rsidRPr="00233992">
        <w:rPr>
          <w:i/>
          <w:noProof w:val="0"/>
          <w:sz w:val="22"/>
        </w:rPr>
        <w:t>note by the OECD Secretariat</w:t>
      </w:r>
      <w:r w:rsidR="00F17717" w:rsidRPr="00233992">
        <w:rPr>
          <w:noProof w:val="0"/>
          <w:sz w:val="22"/>
        </w:rPr>
        <w:t>,</w:t>
      </w:r>
      <w:r w:rsidR="00D630E1" w:rsidRPr="00233992">
        <w:rPr>
          <w:noProof w:val="0"/>
          <w:sz w:val="22"/>
        </w:rPr>
        <w:t xml:space="preserve"> 1</w:t>
      </w:r>
      <w:r w:rsidR="00D630E1" w:rsidRPr="00233992">
        <w:rPr>
          <w:sz w:val="22"/>
        </w:rPr>
        <w:t>–</w:t>
      </w:r>
      <w:r w:rsidRPr="00233992">
        <w:rPr>
          <w:noProof w:val="0"/>
          <w:sz w:val="22"/>
        </w:rPr>
        <w:t>160.</w:t>
      </w:r>
    </w:p>
    <w:p w14:paraId="6291751E" w14:textId="0FEBCAE0" w:rsidR="00673251" w:rsidRPr="00233992" w:rsidRDefault="00673251" w:rsidP="00346D4F">
      <w:pPr>
        <w:pStyle w:val="EndNoteBibliography"/>
        <w:spacing w:after="0"/>
        <w:ind w:left="720" w:hanging="720"/>
        <w:rPr>
          <w:noProof w:val="0"/>
          <w:sz w:val="22"/>
        </w:rPr>
      </w:pPr>
      <w:r>
        <w:rPr>
          <w:noProof w:val="0"/>
          <w:sz w:val="22"/>
        </w:rPr>
        <w:t>Priest, G.</w:t>
      </w:r>
      <w:r w:rsidRPr="00673251">
        <w:rPr>
          <w:noProof w:val="0"/>
          <w:sz w:val="22"/>
        </w:rPr>
        <w:t xml:space="preserve"> L., and </w:t>
      </w:r>
      <w:r>
        <w:rPr>
          <w:noProof w:val="0"/>
          <w:sz w:val="22"/>
        </w:rPr>
        <w:t>Klein, B.</w:t>
      </w:r>
      <w:r w:rsidRPr="00673251">
        <w:rPr>
          <w:noProof w:val="0"/>
          <w:sz w:val="22"/>
        </w:rPr>
        <w:t xml:space="preserve"> </w:t>
      </w:r>
      <w:r>
        <w:rPr>
          <w:noProof w:val="0"/>
          <w:sz w:val="22"/>
        </w:rPr>
        <w:t>(1984):</w:t>
      </w:r>
      <w:r w:rsidRPr="00673251">
        <w:rPr>
          <w:noProof w:val="0"/>
          <w:sz w:val="22"/>
        </w:rPr>
        <w:t xml:space="preserve"> The selec</w:t>
      </w:r>
      <w:r>
        <w:rPr>
          <w:noProof w:val="0"/>
          <w:sz w:val="22"/>
        </w:rPr>
        <w:t>tion of disputes for litigation,</w:t>
      </w:r>
      <w:r w:rsidRPr="00673251">
        <w:rPr>
          <w:noProof w:val="0"/>
          <w:sz w:val="22"/>
        </w:rPr>
        <w:t xml:space="preserve"> </w:t>
      </w:r>
      <w:r w:rsidRPr="00673251">
        <w:rPr>
          <w:i/>
          <w:noProof w:val="0"/>
          <w:sz w:val="22"/>
        </w:rPr>
        <w:t>Journal of Legal Studies</w:t>
      </w:r>
      <w:r>
        <w:rPr>
          <w:noProof w:val="0"/>
          <w:sz w:val="22"/>
        </w:rPr>
        <w:t xml:space="preserve"> 13,</w:t>
      </w:r>
      <w:r w:rsidRPr="00673251">
        <w:rPr>
          <w:noProof w:val="0"/>
          <w:sz w:val="22"/>
        </w:rPr>
        <w:t xml:space="preserve"> 1</w:t>
      </w:r>
      <w:r w:rsidRPr="00233992">
        <w:rPr>
          <w:sz w:val="22"/>
        </w:rPr>
        <w:t>–</w:t>
      </w:r>
      <w:r w:rsidRPr="00673251">
        <w:rPr>
          <w:noProof w:val="0"/>
          <w:sz w:val="22"/>
        </w:rPr>
        <w:t>55.</w:t>
      </w:r>
    </w:p>
    <w:p w14:paraId="5C3176B5" w14:textId="485AC789" w:rsidR="00B70C10" w:rsidRPr="00233992" w:rsidRDefault="00B70C10" w:rsidP="00346D4F">
      <w:pPr>
        <w:pStyle w:val="EndNoteBibliography"/>
        <w:spacing w:after="0"/>
        <w:ind w:left="720" w:hanging="720"/>
        <w:rPr>
          <w:noProof w:val="0"/>
          <w:sz w:val="22"/>
        </w:rPr>
      </w:pPr>
      <w:r w:rsidRPr="00233992">
        <w:rPr>
          <w:noProof w:val="0"/>
          <w:sz w:val="22"/>
        </w:rPr>
        <w:t>Rauh, J.</w:t>
      </w:r>
      <w:r w:rsidR="00F17717" w:rsidRPr="00233992">
        <w:rPr>
          <w:noProof w:val="0"/>
          <w:sz w:val="22"/>
        </w:rPr>
        <w:t xml:space="preserve"> D. (2006):</w:t>
      </w:r>
      <w:r w:rsidRPr="00233992">
        <w:rPr>
          <w:noProof w:val="0"/>
          <w:sz w:val="22"/>
        </w:rPr>
        <w:t xml:space="preserve"> Investment and financing constraints: Evidence from the funding of corporate pension p</w:t>
      </w:r>
      <w:r w:rsidR="00F17717" w:rsidRPr="00233992">
        <w:rPr>
          <w:noProof w:val="0"/>
          <w:sz w:val="22"/>
        </w:rPr>
        <w:t>lans,</w:t>
      </w:r>
      <w:r w:rsidR="00D630E1" w:rsidRPr="00233992">
        <w:rPr>
          <w:noProof w:val="0"/>
          <w:sz w:val="22"/>
        </w:rPr>
        <w:t xml:space="preserve"> </w:t>
      </w:r>
      <w:r w:rsidR="00D630E1" w:rsidRPr="00233992">
        <w:rPr>
          <w:i/>
          <w:noProof w:val="0"/>
          <w:sz w:val="22"/>
        </w:rPr>
        <w:t xml:space="preserve">Journal of Finance </w:t>
      </w:r>
      <w:r w:rsidR="00F17717" w:rsidRPr="00233992">
        <w:rPr>
          <w:noProof w:val="0"/>
          <w:sz w:val="22"/>
        </w:rPr>
        <w:t>61,</w:t>
      </w:r>
      <w:r w:rsidR="00D630E1" w:rsidRPr="00233992">
        <w:rPr>
          <w:noProof w:val="0"/>
          <w:sz w:val="22"/>
        </w:rPr>
        <w:t xml:space="preserve"> 33</w:t>
      </w:r>
      <w:r w:rsidR="00D630E1" w:rsidRPr="00233992">
        <w:rPr>
          <w:sz w:val="22"/>
        </w:rPr>
        <w:t>–</w:t>
      </w:r>
      <w:r w:rsidRPr="00233992">
        <w:rPr>
          <w:noProof w:val="0"/>
          <w:sz w:val="22"/>
        </w:rPr>
        <w:t>71.</w:t>
      </w:r>
    </w:p>
    <w:p w14:paraId="5DA5A1BE" w14:textId="57C30AA4" w:rsidR="00E52C4B" w:rsidRPr="00233992" w:rsidRDefault="00E52C4B" w:rsidP="00346D4F">
      <w:pPr>
        <w:pStyle w:val="EndNoteBibliography"/>
        <w:spacing w:after="0"/>
        <w:ind w:left="720" w:hanging="720"/>
        <w:rPr>
          <w:noProof w:val="0"/>
          <w:sz w:val="22"/>
        </w:rPr>
      </w:pPr>
      <w:r w:rsidRPr="00233992">
        <w:rPr>
          <w:noProof w:val="0"/>
          <w:sz w:val="22"/>
          <w:lang w:val="en-GB"/>
        </w:rPr>
        <w:t xml:space="preserve">Santioni, R., Schiantarelli, F., and Strahan, P. E. (2020): </w:t>
      </w:r>
      <w:r w:rsidRPr="00233992">
        <w:rPr>
          <w:noProof w:val="0"/>
          <w:sz w:val="22"/>
        </w:rPr>
        <w:t xml:space="preserve">Internal capital markets in times of crisis: The benefit of group affiliation, </w:t>
      </w:r>
      <w:r w:rsidRPr="00233992">
        <w:rPr>
          <w:i/>
          <w:noProof w:val="0"/>
          <w:sz w:val="22"/>
        </w:rPr>
        <w:t>Review of Finance</w:t>
      </w:r>
      <w:r w:rsidRPr="00233992">
        <w:rPr>
          <w:noProof w:val="0"/>
          <w:sz w:val="22"/>
        </w:rPr>
        <w:t xml:space="preserve"> 24, 773</w:t>
      </w:r>
      <w:r w:rsidRPr="00233992">
        <w:rPr>
          <w:sz w:val="22"/>
        </w:rPr>
        <w:t>–</w:t>
      </w:r>
      <w:r w:rsidRPr="00233992">
        <w:rPr>
          <w:noProof w:val="0"/>
          <w:sz w:val="22"/>
        </w:rPr>
        <w:t>811.</w:t>
      </w:r>
    </w:p>
    <w:p w14:paraId="70A3D604" w14:textId="406D53C2" w:rsidR="00B70C10" w:rsidRDefault="00B70C10" w:rsidP="00346D4F">
      <w:pPr>
        <w:pStyle w:val="EndNoteBibliography"/>
        <w:spacing w:after="0"/>
        <w:ind w:left="720" w:hanging="720"/>
        <w:rPr>
          <w:noProof w:val="0"/>
          <w:sz w:val="22"/>
        </w:rPr>
      </w:pPr>
      <w:r w:rsidRPr="00233992">
        <w:rPr>
          <w:noProof w:val="0"/>
          <w:sz w:val="22"/>
        </w:rPr>
        <w:t xml:space="preserve">Seldeslachts, J., Clougherty, J., </w:t>
      </w:r>
      <w:r w:rsidR="00F17717" w:rsidRPr="00233992">
        <w:rPr>
          <w:noProof w:val="0"/>
          <w:sz w:val="22"/>
        </w:rPr>
        <w:t xml:space="preserve">and </w:t>
      </w:r>
      <w:r w:rsidRPr="00233992">
        <w:rPr>
          <w:noProof w:val="0"/>
          <w:sz w:val="22"/>
        </w:rPr>
        <w:t>Barros, P.</w:t>
      </w:r>
      <w:r w:rsidR="00F17717" w:rsidRPr="00233992">
        <w:rPr>
          <w:noProof w:val="0"/>
          <w:sz w:val="22"/>
        </w:rPr>
        <w:t xml:space="preserve"> P.</w:t>
      </w:r>
      <w:r w:rsidRPr="00233992">
        <w:rPr>
          <w:noProof w:val="0"/>
          <w:sz w:val="22"/>
        </w:rPr>
        <w:t xml:space="preserve"> </w:t>
      </w:r>
      <w:r w:rsidR="00F17717" w:rsidRPr="00233992">
        <w:rPr>
          <w:noProof w:val="0"/>
          <w:sz w:val="22"/>
        </w:rPr>
        <w:t>(2009):</w:t>
      </w:r>
      <w:r w:rsidRPr="00233992">
        <w:rPr>
          <w:noProof w:val="0"/>
          <w:sz w:val="22"/>
        </w:rPr>
        <w:t xml:space="preserve"> Settle for now but block for tomorrow: The deterrence </w:t>
      </w:r>
      <w:r w:rsidR="00F17717" w:rsidRPr="00233992">
        <w:rPr>
          <w:noProof w:val="0"/>
          <w:sz w:val="22"/>
        </w:rPr>
        <w:t xml:space="preserve">effects of merger policy tools, </w:t>
      </w:r>
      <w:r w:rsidRPr="00233992">
        <w:rPr>
          <w:i/>
          <w:noProof w:val="0"/>
          <w:sz w:val="22"/>
        </w:rPr>
        <w:t>Journ</w:t>
      </w:r>
      <w:r w:rsidR="00D630E1" w:rsidRPr="00233992">
        <w:rPr>
          <w:i/>
          <w:noProof w:val="0"/>
          <w:sz w:val="22"/>
        </w:rPr>
        <w:t xml:space="preserve">al of Law and Economics </w:t>
      </w:r>
      <w:r w:rsidR="00F17717" w:rsidRPr="00233992">
        <w:rPr>
          <w:noProof w:val="0"/>
          <w:sz w:val="22"/>
        </w:rPr>
        <w:t>52,</w:t>
      </w:r>
      <w:r w:rsidR="00D630E1" w:rsidRPr="00233992">
        <w:rPr>
          <w:noProof w:val="0"/>
          <w:sz w:val="22"/>
        </w:rPr>
        <w:t xml:space="preserve"> 607</w:t>
      </w:r>
      <w:r w:rsidR="00D630E1" w:rsidRPr="00233992">
        <w:rPr>
          <w:sz w:val="22"/>
        </w:rPr>
        <w:t>–</w:t>
      </w:r>
      <w:r w:rsidRPr="00233992">
        <w:rPr>
          <w:noProof w:val="0"/>
          <w:sz w:val="22"/>
        </w:rPr>
        <w:t>634.</w:t>
      </w:r>
    </w:p>
    <w:p w14:paraId="5856569B" w14:textId="6F5E3616" w:rsidR="00B70C10" w:rsidRDefault="00B70C10" w:rsidP="00346D4F">
      <w:pPr>
        <w:pStyle w:val="EndNoteBibliography"/>
        <w:spacing w:after="0"/>
        <w:ind w:left="720" w:hanging="720"/>
        <w:rPr>
          <w:noProof w:val="0"/>
          <w:sz w:val="22"/>
        </w:rPr>
      </w:pPr>
      <w:r w:rsidRPr="00233992">
        <w:rPr>
          <w:noProof w:val="0"/>
          <w:sz w:val="22"/>
        </w:rPr>
        <w:t xml:space="preserve">Sun, L., </w:t>
      </w:r>
      <w:r w:rsidR="00F17717" w:rsidRPr="00233992">
        <w:rPr>
          <w:noProof w:val="0"/>
          <w:sz w:val="22"/>
        </w:rPr>
        <w:t>and Abraham, S.</w:t>
      </w:r>
      <w:r w:rsidRPr="00233992">
        <w:rPr>
          <w:noProof w:val="0"/>
          <w:sz w:val="22"/>
        </w:rPr>
        <w:t xml:space="preserve"> </w:t>
      </w:r>
      <w:r w:rsidR="00F17717" w:rsidRPr="00233992">
        <w:rPr>
          <w:noProof w:val="0"/>
          <w:sz w:val="22"/>
        </w:rPr>
        <w:t>(2021):</w:t>
      </w:r>
      <w:r w:rsidRPr="00233992">
        <w:rPr>
          <w:noProof w:val="0"/>
          <w:sz w:val="22"/>
        </w:rPr>
        <w:t xml:space="preserve"> Estimating dynamic treatment effects in event studies with </w:t>
      </w:r>
      <w:r w:rsidR="00F17717" w:rsidRPr="00233992">
        <w:rPr>
          <w:noProof w:val="0"/>
          <w:sz w:val="22"/>
        </w:rPr>
        <w:t>heterogeneous treatment effects,</w:t>
      </w:r>
      <w:r w:rsidRPr="00233992">
        <w:rPr>
          <w:noProof w:val="0"/>
          <w:sz w:val="22"/>
        </w:rPr>
        <w:t xml:space="preserve"> </w:t>
      </w:r>
      <w:r w:rsidRPr="00233992">
        <w:rPr>
          <w:i/>
          <w:noProof w:val="0"/>
          <w:sz w:val="22"/>
        </w:rPr>
        <w:t>J</w:t>
      </w:r>
      <w:r w:rsidR="00D630E1" w:rsidRPr="00233992">
        <w:rPr>
          <w:i/>
          <w:noProof w:val="0"/>
          <w:sz w:val="22"/>
        </w:rPr>
        <w:t>ournal of Econometrics</w:t>
      </w:r>
      <w:r w:rsidR="00F17717" w:rsidRPr="00233992">
        <w:rPr>
          <w:noProof w:val="0"/>
          <w:sz w:val="22"/>
        </w:rPr>
        <w:t xml:space="preserve"> 225,</w:t>
      </w:r>
      <w:r w:rsidR="00D630E1" w:rsidRPr="00233992">
        <w:rPr>
          <w:noProof w:val="0"/>
          <w:sz w:val="22"/>
        </w:rPr>
        <w:t xml:space="preserve"> 175</w:t>
      </w:r>
      <w:r w:rsidR="00D630E1" w:rsidRPr="00233992">
        <w:rPr>
          <w:sz w:val="22"/>
        </w:rPr>
        <w:t>–</w:t>
      </w:r>
      <w:r w:rsidRPr="00233992">
        <w:rPr>
          <w:noProof w:val="0"/>
          <w:sz w:val="22"/>
        </w:rPr>
        <w:t>199</w:t>
      </w:r>
      <w:r w:rsidR="00465F50">
        <w:rPr>
          <w:noProof w:val="0"/>
          <w:sz w:val="22"/>
        </w:rPr>
        <w:t>.</w:t>
      </w:r>
    </w:p>
    <w:p w14:paraId="54A3CF93" w14:textId="5A2C17E5" w:rsidR="00300EBC" w:rsidRDefault="00300EBC" w:rsidP="00346D4F">
      <w:pPr>
        <w:pStyle w:val="EndNoteBibliography"/>
        <w:spacing w:after="0"/>
        <w:ind w:left="720" w:hanging="720"/>
        <w:rPr>
          <w:noProof w:val="0"/>
          <w:sz w:val="22"/>
        </w:rPr>
      </w:pPr>
      <w:r>
        <w:rPr>
          <w:noProof w:val="0"/>
          <w:sz w:val="22"/>
        </w:rPr>
        <w:t>Tarbert, H.</w:t>
      </w:r>
      <w:r w:rsidR="0093726D">
        <w:rPr>
          <w:noProof w:val="0"/>
          <w:sz w:val="22"/>
        </w:rPr>
        <w:t xml:space="preserve"> </w:t>
      </w:r>
      <w:r>
        <w:rPr>
          <w:noProof w:val="0"/>
          <w:sz w:val="22"/>
        </w:rPr>
        <w:t xml:space="preserve">P. (2020): Modernizing CFIUS, </w:t>
      </w:r>
      <w:r>
        <w:rPr>
          <w:i/>
          <w:iCs/>
          <w:noProof w:val="0"/>
          <w:sz w:val="22"/>
        </w:rPr>
        <w:t xml:space="preserve">George Washington Law Review </w:t>
      </w:r>
      <w:r>
        <w:rPr>
          <w:noProof w:val="0"/>
          <w:sz w:val="22"/>
        </w:rPr>
        <w:t>88, 1477</w:t>
      </w:r>
      <w:r w:rsidR="0093726D" w:rsidRPr="00233992">
        <w:rPr>
          <w:sz w:val="22"/>
        </w:rPr>
        <w:t>–</w:t>
      </w:r>
      <w:r>
        <w:rPr>
          <w:noProof w:val="0"/>
          <w:sz w:val="22"/>
        </w:rPr>
        <w:t>1524.</w:t>
      </w:r>
    </w:p>
    <w:p w14:paraId="309DBCEF" w14:textId="524B2810" w:rsidR="00C53316" w:rsidRPr="00300EBC" w:rsidRDefault="00C53316" w:rsidP="00346D4F">
      <w:pPr>
        <w:pStyle w:val="EndNoteBibliography"/>
        <w:spacing w:after="0"/>
        <w:ind w:left="720" w:hanging="720"/>
        <w:rPr>
          <w:noProof w:val="0"/>
          <w:sz w:val="22"/>
        </w:rPr>
      </w:pPr>
      <w:r>
        <w:rPr>
          <w:noProof w:val="0"/>
          <w:sz w:val="22"/>
        </w:rPr>
        <w:t>Tipler, C.</w:t>
      </w:r>
      <w:r w:rsidR="0093726D">
        <w:rPr>
          <w:noProof w:val="0"/>
          <w:sz w:val="22"/>
        </w:rPr>
        <w:t xml:space="preserve"> M. (2014): Defining "national security": resolving ambiguity in the CFIUS r</w:t>
      </w:r>
      <w:r>
        <w:rPr>
          <w:noProof w:val="0"/>
          <w:sz w:val="22"/>
        </w:rPr>
        <w:t xml:space="preserve">egulations, </w:t>
      </w:r>
      <w:r>
        <w:rPr>
          <w:i/>
          <w:iCs/>
          <w:noProof w:val="0"/>
          <w:sz w:val="22"/>
        </w:rPr>
        <w:t xml:space="preserve">University of Philadelphia Journal of International Law </w:t>
      </w:r>
      <w:r>
        <w:rPr>
          <w:noProof w:val="0"/>
          <w:sz w:val="22"/>
        </w:rPr>
        <w:t>35, 1223</w:t>
      </w:r>
      <w:r w:rsidR="0093726D" w:rsidRPr="00233992">
        <w:rPr>
          <w:sz w:val="22"/>
        </w:rPr>
        <w:t>–</w:t>
      </w:r>
      <w:r>
        <w:rPr>
          <w:noProof w:val="0"/>
          <w:sz w:val="22"/>
        </w:rPr>
        <w:t xml:space="preserve">1284. </w:t>
      </w:r>
    </w:p>
    <w:p w14:paraId="16D77D2F" w14:textId="2339A62F" w:rsidR="00B70C10" w:rsidRPr="00233992" w:rsidRDefault="004020B2" w:rsidP="00346D4F">
      <w:pPr>
        <w:pStyle w:val="EndNoteBibliography"/>
        <w:spacing w:after="0"/>
        <w:ind w:left="720" w:hanging="720"/>
        <w:rPr>
          <w:noProof w:val="0"/>
          <w:sz w:val="22"/>
        </w:rPr>
      </w:pPr>
      <w:r w:rsidRPr="00233992">
        <w:rPr>
          <w:noProof w:val="0"/>
          <w:sz w:val="22"/>
        </w:rPr>
        <w:t>Wan, K., Wong, K. (2009):</w:t>
      </w:r>
      <w:r w:rsidR="00B70C10" w:rsidRPr="00233992">
        <w:rPr>
          <w:noProof w:val="0"/>
          <w:sz w:val="22"/>
        </w:rPr>
        <w:t xml:space="preserve"> Econom</w:t>
      </w:r>
      <w:r w:rsidRPr="00233992">
        <w:rPr>
          <w:noProof w:val="0"/>
          <w:sz w:val="22"/>
        </w:rPr>
        <w:t>ic impact of political barriers</w:t>
      </w:r>
      <w:r w:rsidR="00B70C10" w:rsidRPr="00233992">
        <w:rPr>
          <w:noProof w:val="0"/>
          <w:sz w:val="22"/>
        </w:rPr>
        <w:t xml:space="preserve"> to cross-border acquisitions: An empirical study of CNOOC’s </w:t>
      </w:r>
      <w:r w:rsidRPr="00233992">
        <w:rPr>
          <w:noProof w:val="0"/>
          <w:sz w:val="22"/>
        </w:rPr>
        <w:t>unsuccessful takeover of Unocal,</w:t>
      </w:r>
      <w:r w:rsidR="00B70C10" w:rsidRPr="00233992">
        <w:rPr>
          <w:noProof w:val="0"/>
          <w:sz w:val="22"/>
        </w:rPr>
        <w:t xml:space="preserve"> </w:t>
      </w:r>
      <w:r w:rsidR="00B70C10" w:rsidRPr="00233992">
        <w:rPr>
          <w:i/>
          <w:noProof w:val="0"/>
          <w:sz w:val="22"/>
        </w:rPr>
        <w:t>Journ</w:t>
      </w:r>
      <w:r w:rsidR="00D630E1" w:rsidRPr="00233992">
        <w:rPr>
          <w:i/>
          <w:noProof w:val="0"/>
          <w:sz w:val="22"/>
        </w:rPr>
        <w:t xml:space="preserve">al of Corporate Finance </w:t>
      </w:r>
      <w:r w:rsidRPr="00233992">
        <w:rPr>
          <w:noProof w:val="0"/>
          <w:sz w:val="22"/>
        </w:rPr>
        <w:t>15,</w:t>
      </w:r>
      <w:r w:rsidR="00D630E1" w:rsidRPr="00233992">
        <w:rPr>
          <w:noProof w:val="0"/>
          <w:sz w:val="22"/>
        </w:rPr>
        <w:t xml:space="preserve"> 447</w:t>
      </w:r>
      <w:r w:rsidR="00D630E1" w:rsidRPr="00233992">
        <w:rPr>
          <w:sz w:val="22"/>
        </w:rPr>
        <w:t>–</w:t>
      </w:r>
      <w:r w:rsidR="00B70C10" w:rsidRPr="00233992">
        <w:rPr>
          <w:noProof w:val="0"/>
          <w:sz w:val="22"/>
        </w:rPr>
        <w:t>468.</w:t>
      </w:r>
    </w:p>
    <w:p w14:paraId="7B061AD2" w14:textId="4B13B7A2" w:rsidR="001D016B" w:rsidRDefault="004020B2" w:rsidP="00346D4F">
      <w:pPr>
        <w:pStyle w:val="EndNoteBibliography"/>
        <w:spacing w:after="0"/>
        <w:ind w:left="720" w:hanging="720"/>
        <w:rPr>
          <w:noProof w:val="0"/>
          <w:sz w:val="22"/>
        </w:rPr>
      </w:pPr>
      <w:r w:rsidRPr="00233992">
        <w:rPr>
          <w:noProof w:val="0"/>
          <w:sz w:val="22"/>
        </w:rPr>
        <w:t>Whited, T.M., Wu, G.</w:t>
      </w:r>
      <w:r w:rsidR="00B70C10" w:rsidRPr="00233992">
        <w:rPr>
          <w:noProof w:val="0"/>
          <w:sz w:val="22"/>
        </w:rPr>
        <w:t xml:space="preserve"> </w:t>
      </w:r>
      <w:r w:rsidRPr="00233992">
        <w:rPr>
          <w:noProof w:val="0"/>
          <w:sz w:val="22"/>
        </w:rPr>
        <w:t>(2006):</w:t>
      </w:r>
      <w:r w:rsidR="00B70C10" w:rsidRPr="00233992">
        <w:rPr>
          <w:noProof w:val="0"/>
          <w:sz w:val="22"/>
        </w:rPr>
        <w:t xml:space="preserve"> Financial constra</w:t>
      </w:r>
      <w:r w:rsidRPr="00233992">
        <w:rPr>
          <w:noProof w:val="0"/>
          <w:sz w:val="22"/>
        </w:rPr>
        <w:t>ints risk,</w:t>
      </w:r>
      <w:r w:rsidR="00B70C10" w:rsidRPr="00233992">
        <w:rPr>
          <w:noProof w:val="0"/>
          <w:sz w:val="22"/>
        </w:rPr>
        <w:t xml:space="preserve"> </w:t>
      </w:r>
      <w:r w:rsidR="00B70C10" w:rsidRPr="00233992">
        <w:rPr>
          <w:i/>
          <w:noProof w:val="0"/>
          <w:sz w:val="22"/>
        </w:rPr>
        <w:t>Revi</w:t>
      </w:r>
      <w:r w:rsidR="00D630E1" w:rsidRPr="00233992">
        <w:rPr>
          <w:i/>
          <w:noProof w:val="0"/>
          <w:sz w:val="22"/>
        </w:rPr>
        <w:t>ew of Financial Studies</w:t>
      </w:r>
      <w:r w:rsidRPr="00233992">
        <w:rPr>
          <w:noProof w:val="0"/>
          <w:sz w:val="22"/>
        </w:rPr>
        <w:t xml:space="preserve"> 19,</w:t>
      </w:r>
      <w:r w:rsidR="00D630E1" w:rsidRPr="00233992">
        <w:rPr>
          <w:noProof w:val="0"/>
          <w:sz w:val="22"/>
        </w:rPr>
        <w:t xml:space="preserve"> 531</w:t>
      </w:r>
      <w:r w:rsidR="00D630E1" w:rsidRPr="00233992">
        <w:rPr>
          <w:sz w:val="22"/>
        </w:rPr>
        <w:t>–</w:t>
      </w:r>
      <w:r w:rsidR="00B70C10" w:rsidRPr="00233992">
        <w:rPr>
          <w:noProof w:val="0"/>
          <w:sz w:val="22"/>
        </w:rPr>
        <w:t>559.</w:t>
      </w:r>
    </w:p>
    <w:p w14:paraId="4E656338" w14:textId="77777777" w:rsidR="00957467" w:rsidRPr="00233992" w:rsidRDefault="001D016B" w:rsidP="00346D4F">
      <w:pPr>
        <w:rPr>
          <w:b/>
          <w:bCs/>
          <w:sz w:val="22"/>
          <w:szCs w:val="22"/>
          <w:lang w:eastAsia="fr-FR"/>
        </w:rPr>
        <w:sectPr w:rsidR="00957467" w:rsidRPr="00233992" w:rsidSect="00FA5518">
          <w:footerReference w:type="default" r:id="rId10"/>
          <w:footerReference w:type="first" r:id="rId11"/>
          <w:pgSz w:w="11901" w:h="16817"/>
          <w:pgMar w:top="1417" w:right="1417" w:bottom="1417" w:left="1417" w:header="709" w:footer="709" w:gutter="0"/>
          <w:cols w:space="720"/>
          <w:titlePg/>
          <w:docGrid w:linePitch="360"/>
        </w:sectPr>
      </w:pPr>
      <w:r w:rsidRPr="00233992">
        <w:rPr>
          <w:b/>
          <w:bCs/>
          <w:sz w:val="22"/>
          <w:szCs w:val="22"/>
          <w:lang w:eastAsia="fr-FR"/>
        </w:rPr>
        <w:fldChar w:fldCharType="end"/>
      </w:r>
    </w:p>
    <w:p w14:paraId="1DF2D92A" w14:textId="7D079DD1" w:rsidR="00DB7C5F" w:rsidRDefault="00DB7C5F">
      <w:pPr>
        <w:spacing w:after="160" w:line="259" w:lineRule="auto"/>
        <w:rPr>
          <w:b/>
          <w:bCs/>
          <w:lang w:eastAsia="fr-FR"/>
        </w:rPr>
      </w:pPr>
    </w:p>
    <w:p w14:paraId="29FA8A53" w14:textId="79BD3107" w:rsidR="004817BB" w:rsidRPr="00AD55AA" w:rsidRDefault="004817BB" w:rsidP="004817BB">
      <w:pPr>
        <w:rPr>
          <w:sz w:val="22"/>
          <w:szCs w:val="22"/>
        </w:rPr>
      </w:pPr>
    </w:p>
    <w:p w14:paraId="0D309010" w14:textId="77777777" w:rsidR="0064696E" w:rsidRPr="00E004E0" w:rsidRDefault="00BF1B3B" w:rsidP="00E004E0">
      <w:pPr>
        <w:rPr>
          <w:b/>
          <w:bCs/>
          <w:sz w:val="22"/>
          <w:szCs w:val="22"/>
        </w:rPr>
      </w:pPr>
      <w:r w:rsidRPr="00E004E0">
        <w:rPr>
          <w:b/>
          <w:bCs/>
          <w:sz w:val="22"/>
          <w:szCs w:val="22"/>
        </w:rPr>
        <w:t>Figure 1</w:t>
      </w:r>
    </w:p>
    <w:p w14:paraId="32A7AEEB" w14:textId="7B2AF4B2" w:rsidR="00BF1B3B" w:rsidRPr="00E004E0" w:rsidRDefault="00BF1B3B" w:rsidP="00E004E0">
      <w:pPr>
        <w:rPr>
          <w:b/>
          <w:bCs/>
          <w:sz w:val="22"/>
          <w:szCs w:val="22"/>
        </w:rPr>
      </w:pPr>
      <w:r w:rsidRPr="00E004E0">
        <w:rPr>
          <w:b/>
          <w:bCs/>
          <w:sz w:val="22"/>
          <w:szCs w:val="22"/>
        </w:rPr>
        <w:t xml:space="preserve">The </w:t>
      </w:r>
      <w:r w:rsidR="00F83901" w:rsidRPr="00E004E0">
        <w:rPr>
          <w:b/>
          <w:bCs/>
          <w:sz w:val="22"/>
          <w:szCs w:val="22"/>
        </w:rPr>
        <w:t>t</w:t>
      </w:r>
      <w:r w:rsidRPr="00E004E0">
        <w:rPr>
          <w:b/>
          <w:bCs/>
          <w:sz w:val="22"/>
          <w:szCs w:val="22"/>
        </w:rPr>
        <w:t xml:space="preserve">imeline of CFIUS </w:t>
      </w:r>
      <w:r w:rsidR="00F83901" w:rsidRPr="00E004E0">
        <w:rPr>
          <w:b/>
          <w:bCs/>
          <w:sz w:val="22"/>
          <w:szCs w:val="22"/>
        </w:rPr>
        <w:t>r</w:t>
      </w:r>
      <w:r w:rsidRPr="00E004E0">
        <w:rPr>
          <w:b/>
          <w:bCs/>
          <w:sz w:val="22"/>
          <w:szCs w:val="22"/>
        </w:rPr>
        <w:t>eview</w:t>
      </w:r>
    </w:p>
    <w:p w14:paraId="49C60BEF" w14:textId="66971DD0" w:rsidR="00BF1B3B" w:rsidRPr="00E004E0" w:rsidRDefault="00377D86" w:rsidP="00E004E0">
      <w:pPr>
        <w:rPr>
          <w:sz w:val="22"/>
          <w:szCs w:val="22"/>
        </w:rPr>
      </w:pPr>
      <w:r>
        <w:rPr>
          <w:sz w:val="22"/>
          <w:szCs w:val="22"/>
        </w:rPr>
        <w:t>This</w:t>
      </w:r>
      <w:r w:rsidR="00F83901" w:rsidRPr="00E004E0">
        <w:rPr>
          <w:sz w:val="22"/>
          <w:szCs w:val="22"/>
        </w:rPr>
        <w:t xml:space="preserve"> figure plots </w:t>
      </w:r>
      <w:r w:rsidR="00DD4AAD" w:rsidRPr="00E004E0">
        <w:rPr>
          <w:sz w:val="22"/>
          <w:szCs w:val="22"/>
        </w:rPr>
        <w:t>the four steps of CFIUS review.</w:t>
      </w:r>
    </w:p>
    <w:p w14:paraId="42B521CA" w14:textId="77777777" w:rsidR="00BF1B3B" w:rsidRPr="00AD55AA" w:rsidRDefault="00BF1B3B" w:rsidP="00245A4A">
      <w:pPr>
        <w:rPr>
          <w:sz w:val="22"/>
          <w:szCs w:val="22"/>
        </w:rPr>
      </w:pPr>
    </w:p>
    <w:p w14:paraId="18666E76" w14:textId="58422C0B" w:rsidR="00BF1B3B" w:rsidRPr="00AD55AA" w:rsidRDefault="00D51753" w:rsidP="00D51753">
      <w:pPr>
        <w:jc w:val="center"/>
        <w:rPr>
          <w:sz w:val="22"/>
          <w:szCs w:val="22"/>
        </w:rPr>
      </w:pPr>
      <w:r w:rsidRPr="00AD55AA">
        <w:rPr>
          <w:noProof/>
          <w:lang w:val="fr-FR" w:eastAsia="fr-FR"/>
        </w:rPr>
        <w:drawing>
          <wp:inline distT="0" distB="0" distL="0" distR="0" wp14:anchorId="6909B52F" wp14:editId="16DE950D">
            <wp:extent cx="5728335" cy="462915"/>
            <wp:effectExtent l="0" t="0" r="5715" b="0"/>
            <wp:docPr id="1416904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8335" cy="462915"/>
                    </a:xfrm>
                    <a:prstGeom prst="rect">
                      <a:avLst/>
                    </a:prstGeom>
                    <a:noFill/>
                    <a:ln>
                      <a:noFill/>
                    </a:ln>
                  </pic:spPr>
                </pic:pic>
              </a:graphicData>
            </a:graphic>
          </wp:inline>
        </w:drawing>
      </w:r>
    </w:p>
    <w:p w14:paraId="5188972F" w14:textId="77777777" w:rsidR="00BF1B3B" w:rsidRPr="00AD55AA" w:rsidRDefault="00BF1B3B" w:rsidP="00245A4A">
      <w:pPr>
        <w:rPr>
          <w:sz w:val="22"/>
          <w:szCs w:val="22"/>
        </w:rPr>
      </w:pPr>
    </w:p>
    <w:p w14:paraId="11568982" w14:textId="1ED804D8" w:rsidR="001D1D9A" w:rsidRDefault="001D1D9A" w:rsidP="0017500B">
      <w:pPr>
        <w:spacing w:after="160" w:line="259" w:lineRule="auto"/>
        <w:rPr>
          <w:sz w:val="22"/>
          <w:szCs w:val="22"/>
        </w:rPr>
      </w:pPr>
    </w:p>
    <w:p w14:paraId="603EA45D" w14:textId="77777777" w:rsidR="0017500B" w:rsidRPr="00AD55AA" w:rsidRDefault="0017500B" w:rsidP="0017500B">
      <w:pPr>
        <w:spacing w:after="160" w:line="259" w:lineRule="auto"/>
        <w:rPr>
          <w:sz w:val="22"/>
          <w:szCs w:val="22"/>
        </w:rPr>
      </w:pPr>
    </w:p>
    <w:tbl>
      <w:tblPr>
        <w:tblW w:w="9072" w:type="dxa"/>
        <w:jc w:val="center"/>
        <w:tblBorders>
          <w:bottom w:val="single" w:sz="6" w:space="0" w:color="auto"/>
        </w:tblBorders>
        <w:tblCellMar>
          <w:left w:w="75" w:type="dxa"/>
          <w:right w:w="75" w:type="dxa"/>
        </w:tblCellMar>
        <w:tblLook w:val="0000" w:firstRow="0" w:lastRow="0" w:firstColumn="0" w:lastColumn="0" w:noHBand="0" w:noVBand="0"/>
      </w:tblPr>
      <w:tblGrid>
        <w:gridCol w:w="4464"/>
        <w:gridCol w:w="2304"/>
        <w:gridCol w:w="2304"/>
      </w:tblGrid>
      <w:tr w:rsidR="001D1D9A" w:rsidRPr="00AD55AA" w14:paraId="2B4C5CCB" w14:textId="77777777" w:rsidTr="00AB6C46">
        <w:trPr>
          <w:jc w:val="center"/>
        </w:trPr>
        <w:tc>
          <w:tcPr>
            <w:tcW w:w="6768" w:type="dxa"/>
            <w:gridSpan w:val="2"/>
            <w:tcBorders>
              <w:top w:val="nil"/>
              <w:left w:val="nil"/>
              <w:bottom w:val="nil"/>
              <w:right w:val="nil"/>
            </w:tcBorders>
          </w:tcPr>
          <w:p w14:paraId="6EACA85E" w14:textId="17CB0D35" w:rsidR="001D1D9A" w:rsidRPr="00AD55AA" w:rsidRDefault="000A6045" w:rsidP="00AB6C46">
            <w:pPr>
              <w:widowControl w:val="0"/>
              <w:autoSpaceDE w:val="0"/>
              <w:autoSpaceDN w:val="0"/>
              <w:adjustRightInd w:val="0"/>
              <w:rPr>
                <w:b/>
                <w:bCs/>
                <w:sz w:val="22"/>
                <w:szCs w:val="22"/>
              </w:rPr>
            </w:pPr>
            <w:r>
              <w:rPr>
                <w:b/>
                <w:bCs/>
                <w:sz w:val="22"/>
                <w:szCs w:val="22"/>
              </w:rPr>
              <w:t>Figure 2</w:t>
            </w:r>
          </w:p>
        </w:tc>
        <w:tc>
          <w:tcPr>
            <w:tcW w:w="2304" w:type="dxa"/>
            <w:tcBorders>
              <w:top w:val="nil"/>
              <w:left w:val="nil"/>
              <w:bottom w:val="nil"/>
              <w:right w:val="nil"/>
            </w:tcBorders>
          </w:tcPr>
          <w:p w14:paraId="70C406F8" w14:textId="77777777" w:rsidR="001D1D9A" w:rsidRPr="00AD55AA" w:rsidRDefault="001D1D9A" w:rsidP="00AB6C46">
            <w:pPr>
              <w:widowControl w:val="0"/>
              <w:autoSpaceDE w:val="0"/>
              <w:autoSpaceDN w:val="0"/>
              <w:adjustRightInd w:val="0"/>
              <w:jc w:val="center"/>
              <w:rPr>
                <w:sz w:val="22"/>
                <w:szCs w:val="22"/>
              </w:rPr>
            </w:pPr>
          </w:p>
        </w:tc>
      </w:tr>
      <w:tr w:rsidR="001D1D9A" w:rsidRPr="00AD55AA" w14:paraId="5E738B24" w14:textId="77777777" w:rsidTr="00AB6C46">
        <w:trPr>
          <w:jc w:val="center"/>
        </w:trPr>
        <w:tc>
          <w:tcPr>
            <w:tcW w:w="6768" w:type="dxa"/>
            <w:gridSpan w:val="2"/>
            <w:tcBorders>
              <w:top w:val="nil"/>
              <w:left w:val="nil"/>
              <w:bottom w:val="nil"/>
              <w:right w:val="nil"/>
            </w:tcBorders>
          </w:tcPr>
          <w:p w14:paraId="2B90A599" w14:textId="45952E35" w:rsidR="001D1D9A" w:rsidRPr="00AD55AA" w:rsidRDefault="00F83901" w:rsidP="00BE6FAB">
            <w:pPr>
              <w:widowControl w:val="0"/>
              <w:autoSpaceDE w:val="0"/>
              <w:autoSpaceDN w:val="0"/>
              <w:adjustRightInd w:val="0"/>
              <w:rPr>
                <w:b/>
                <w:bCs/>
                <w:sz w:val="22"/>
                <w:szCs w:val="22"/>
              </w:rPr>
            </w:pPr>
            <w:bookmarkStart w:id="9" w:name="_Hlk133933585"/>
            <w:r>
              <w:rPr>
                <w:b/>
                <w:bCs/>
                <w:sz w:val="22"/>
                <w:szCs w:val="22"/>
              </w:rPr>
              <w:t>Parallel trends a</w:t>
            </w:r>
            <w:r w:rsidR="001D1D9A" w:rsidRPr="00AD55AA">
              <w:rPr>
                <w:b/>
                <w:bCs/>
                <w:sz w:val="22"/>
                <w:szCs w:val="22"/>
              </w:rPr>
              <w:t>ssumption</w:t>
            </w:r>
            <w:bookmarkEnd w:id="9"/>
          </w:p>
        </w:tc>
        <w:tc>
          <w:tcPr>
            <w:tcW w:w="2304" w:type="dxa"/>
            <w:tcBorders>
              <w:top w:val="nil"/>
              <w:left w:val="nil"/>
              <w:bottom w:val="nil"/>
              <w:right w:val="nil"/>
            </w:tcBorders>
          </w:tcPr>
          <w:p w14:paraId="672DADDB" w14:textId="77777777" w:rsidR="001D1D9A" w:rsidRPr="00AD55AA" w:rsidRDefault="001D1D9A" w:rsidP="00AB6C46">
            <w:pPr>
              <w:widowControl w:val="0"/>
              <w:autoSpaceDE w:val="0"/>
              <w:autoSpaceDN w:val="0"/>
              <w:adjustRightInd w:val="0"/>
              <w:jc w:val="center"/>
              <w:rPr>
                <w:sz w:val="22"/>
                <w:szCs w:val="22"/>
              </w:rPr>
            </w:pPr>
          </w:p>
        </w:tc>
      </w:tr>
      <w:tr w:rsidR="001D1D9A" w:rsidRPr="00AD55AA" w14:paraId="5222091E" w14:textId="77777777" w:rsidTr="00AB6C46">
        <w:trPr>
          <w:trHeight w:val="1012"/>
          <w:jc w:val="center"/>
        </w:trPr>
        <w:tc>
          <w:tcPr>
            <w:tcW w:w="9072" w:type="dxa"/>
            <w:gridSpan w:val="3"/>
            <w:tcBorders>
              <w:top w:val="nil"/>
              <w:left w:val="nil"/>
              <w:bottom w:val="nil"/>
              <w:right w:val="nil"/>
            </w:tcBorders>
          </w:tcPr>
          <w:p w14:paraId="11ADC317" w14:textId="6EBD4750" w:rsidR="001D1D9A" w:rsidRPr="00AD55AA" w:rsidRDefault="00377D86" w:rsidP="00AB6C46">
            <w:pPr>
              <w:widowControl w:val="0"/>
              <w:autoSpaceDE w:val="0"/>
              <w:autoSpaceDN w:val="0"/>
              <w:adjustRightInd w:val="0"/>
              <w:jc w:val="both"/>
              <w:rPr>
                <w:sz w:val="22"/>
                <w:szCs w:val="22"/>
              </w:rPr>
            </w:pPr>
            <w:r>
              <w:rPr>
                <w:sz w:val="22"/>
                <w:szCs w:val="22"/>
              </w:rPr>
              <w:t>This</w:t>
            </w:r>
            <w:r w:rsidR="00F83901" w:rsidRPr="00F83901">
              <w:rPr>
                <w:sz w:val="22"/>
                <w:szCs w:val="22"/>
              </w:rPr>
              <w:t xml:space="preserve"> figure plots </w:t>
            </w:r>
            <w:r w:rsidR="00884934" w:rsidRPr="00AD55AA">
              <w:rPr>
                <w:sz w:val="22"/>
                <w:szCs w:val="22"/>
              </w:rPr>
              <w:t xml:space="preserve">the results of the </w:t>
            </w:r>
            <w:r w:rsidR="001D1D9A" w:rsidRPr="00AD55AA">
              <w:rPr>
                <w:sz w:val="22"/>
                <w:szCs w:val="22"/>
              </w:rPr>
              <w:t xml:space="preserve">difference-in-difference analysis comparing investments of </w:t>
            </w:r>
            <w:r w:rsidR="005A2C85" w:rsidRPr="00AD55AA">
              <w:rPr>
                <w:sz w:val="22"/>
                <w:szCs w:val="22"/>
              </w:rPr>
              <w:t>the treatment group</w:t>
            </w:r>
            <w:r w:rsidR="008C45E0" w:rsidRPr="00AD55AA">
              <w:rPr>
                <w:sz w:val="22"/>
                <w:szCs w:val="22"/>
              </w:rPr>
              <w:t xml:space="preserve"> to investments of </w:t>
            </w:r>
            <w:r w:rsidR="005A2C85" w:rsidRPr="00AD55AA">
              <w:rPr>
                <w:sz w:val="22"/>
                <w:szCs w:val="22"/>
              </w:rPr>
              <w:t>the control group</w:t>
            </w:r>
            <w:r w:rsidR="00BE001A">
              <w:rPr>
                <w:sz w:val="22"/>
                <w:szCs w:val="22"/>
              </w:rPr>
              <w:t>. We include</w:t>
            </w:r>
            <w:r w:rsidR="008C45E0" w:rsidRPr="00AD55AA">
              <w:rPr>
                <w:sz w:val="22"/>
                <w:szCs w:val="22"/>
              </w:rPr>
              <w:t xml:space="preserve"> </w:t>
            </w:r>
            <w:r w:rsidR="001D1D9A" w:rsidRPr="00AD55AA">
              <w:rPr>
                <w:sz w:val="22"/>
                <w:szCs w:val="22"/>
              </w:rPr>
              <w:t xml:space="preserve">indicator time variables </w:t>
            </w:r>
            <w:r w:rsidR="00B71028" w:rsidRPr="00AD55AA">
              <w:rPr>
                <w:sz w:val="22"/>
                <w:szCs w:val="22"/>
              </w:rPr>
              <w:t>around</w:t>
            </w:r>
            <w:r w:rsidR="001D1D9A" w:rsidRPr="00AD55AA">
              <w:rPr>
                <w:sz w:val="22"/>
                <w:szCs w:val="22"/>
              </w:rPr>
              <w:t xml:space="preserve"> </w:t>
            </w:r>
            <w:r w:rsidR="0076530D" w:rsidRPr="00AD55AA">
              <w:rPr>
                <w:sz w:val="22"/>
                <w:szCs w:val="22"/>
              </w:rPr>
              <w:t>CFIUS interventions (CFIUS Block)</w:t>
            </w:r>
            <w:r w:rsidR="001D1D9A" w:rsidRPr="00AD55AA">
              <w:rPr>
                <w:sz w:val="22"/>
                <w:szCs w:val="22"/>
              </w:rPr>
              <w:t>. The continuous bars indicate the 95% confidence interval.</w:t>
            </w:r>
          </w:p>
        </w:tc>
      </w:tr>
      <w:tr w:rsidR="001D1D9A" w:rsidRPr="00AD55AA" w14:paraId="16FA43FB" w14:textId="77777777" w:rsidTr="00AB6C46">
        <w:trPr>
          <w:jc w:val="center"/>
        </w:trPr>
        <w:tc>
          <w:tcPr>
            <w:tcW w:w="4464" w:type="dxa"/>
            <w:tcBorders>
              <w:top w:val="nil"/>
              <w:left w:val="nil"/>
              <w:bottom w:val="nil"/>
              <w:right w:val="nil"/>
            </w:tcBorders>
          </w:tcPr>
          <w:p w14:paraId="7EC4B3D6" w14:textId="77777777" w:rsidR="001D1D9A" w:rsidRPr="00AD55AA" w:rsidRDefault="001D1D9A" w:rsidP="00AB6C46">
            <w:pPr>
              <w:widowControl w:val="0"/>
              <w:autoSpaceDE w:val="0"/>
              <w:autoSpaceDN w:val="0"/>
              <w:adjustRightInd w:val="0"/>
              <w:rPr>
                <w:sz w:val="22"/>
                <w:szCs w:val="22"/>
              </w:rPr>
            </w:pPr>
          </w:p>
        </w:tc>
        <w:tc>
          <w:tcPr>
            <w:tcW w:w="2304" w:type="dxa"/>
            <w:tcBorders>
              <w:top w:val="nil"/>
              <w:left w:val="nil"/>
              <w:bottom w:val="nil"/>
              <w:right w:val="nil"/>
            </w:tcBorders>
          </w:tcPr>
          <w:p w14:paraId="5B34272E" w14:textId="77777777" w:rsidR="001D1D9A" w:rsidRPr="00AD55AA" w:rsidRDefault="001D1D9A" w:rsidP="00AB6C46">
            <w:pPr>
              <w:widowControl w:val="0"/>
              <w:autoSpaceDE w:val="0"/>
              <w:autoSpaceDN w:val="0"/>
              <w:adjustRightInd w:val="0"/>
              <w:jc w:val="center"/>
              <w:rPr>
                <w:sz w:val="22"/>
                <w:szCs w:val="22"/>
              </w:rPr>
            </w:pPr>
          </w:p>
        </w:tc>
        <w:tc>
          <w:tcPr>
            <w:tcW w:w="2304" w:type="dxa"/>
            <w:tcBorders>
              <w:top w:val="nil"/>
              <w:left w:val="nil"/>
              <w:bottom w:val="nil"/>
              <w:right w:val="nil"/>
            </w:tcBorders>
          </w:tcPr>
          <w:p w14:paraId="7ACFF516" w14:textId="77777777" w:rsidR="001D1D9A" w:rsidRPr="00AD55AA" w:rsidRDefault="001D1D9A" w:rsidP="00AB6C46">
            <w:pPr>
              <w:widowControl w:val="0"/>
              <w:autoSpaceDE w:val="0"/>
              <w:autoSpaceDN w:val="0"/>
              <w:adjustRightInd w:val="0"/>
              <w:jc w:val="center"/>
              <w:rPr>
                <w:sz w:val="22"/>
                <w:szCs w:val="22"/>
              </w:rPr>
            </w:pPr>
          </w:p>
        </w:tc>
      </w:tr>
    </w:tbl>
    <w:p w14:paraId="41D23295" w14:textId="5A286D41" w:rsidR="001D1D9A" w:rsidRDefault="001D1D9A" w:rsidP="001D1D9A">
      <w:pPr>
        <w:spacing w:after="160" w:line="259" w:lineRule="auto"/>
        <w:jc w:val="center"/>
        <w:rPr>
          <w:sz w:val="22"/>
          <w:szCs w:val="22"/>
        </w:rPr>
      </w:pPr>
    </w:p>
    <w:p w14:paraId="5BF44BCD" w14:textId="77777777" w:rsidR="00306C2B" w:rsidRPr="00AD55AA" w:rsidRDefault="00306C2B" w:rsidP="001D1D9A">
      <w:pPr>
        <w:spacing w:after="160" w:line="259" w:lineRule="auto"/>
        <w:jc w:val="center"/>
        <w:rPr>
          <w:sz w:val="22"/>
          <w:szCs w:val="22"/>
        </w:rPr>
      </w:pPr>
    </w:p>
    <w:p w14:paraId="37EB44A3" w14:textId="36E34DCA" w:rsidR="001D1D9A" w:rsidRPr="00AD55AA" w:rsidRDefault="00DA49A4" w:rsidP="001D1D9A">
      <w:pPr>
        <w:spacing w:after="160" w:line="259" w:lineRule="auto"/>
        <w:jc w:val="center"/>
        <w:rPr>
          <w:sz w:val="22"/>
          <w:szCs w:val="22"/>
        </w:rPr>
      </w:pPr>
      <w:r>
        <w:rPr>
          <w:noProof/>
          <w:sz w:val="22"/>
          <w:szCs w:val="22"/>
          <w:lang w:val="fr-FR" w:eastAsia="fr-FR"/>
        </w:rPr>
        <w:drawing>
          <wp:inline distT="0" distB="0" distL="0" distR="0" wp14:anchorId="492C214A" wp14:editId="0D5A5B67">
            <wp:extent cx="5040188" cy="302400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cfius1.jpg"/>
                    <pic:cNvPicPr/>
                  </pic:nvPicPr>
                  <pic:blipFill>
                    <a:blip r:embed="rId13">
                      <a:extLst>
                        <a:ext uri="{28A0092B-C50C-407E-A947-70E740481C1C}">
                          <a14:useLocalDpi xmlns:a14="http://schemas.microsoft.com/office/drawing/2010/main" val="0"/>
                        </a:ext>
                      </a:extLst>
                    </a:blip>
                    <a:stretch>
                      <a:fillRect/>
                    </a:stretch>
                  </pic:blipFill>
                  <pic:spPr>
                    <a:xfrm>
                      <a:off x="0" y="0"/>
                      <a:ext cx="5040188" cy="3024000"/>
                    </a:xfrm>
                    <a:prstGeom prst="rect">
                      <a:avLst/>
                    </a:prstGeom>
                  </pic:spPr>
                </pic:pic>
              </a:graphicData>
            </a:graphic>
          </wp:inline>
        </w:drawing>
      </w:r>
    </w:p>
    <w:p w14:paraId="4D025A32" w14:textId="77777777" w:rsidR="001D1D9A" w:rsidRPr="00AD55AA" w:rsidRDefault="001D1D9A">
      <w:pPr>
        <w:spacing w:after="160" w:line="259" w:lineRule="auto"/>
        <w:rPr>
          <w:sz w:val="22"/>
          <w:szCs w:val="22"/>
        </w:rPr>
      </w:pPr>
    </w:p>
    <w:p w14:paraId="0BC1452A" w14:textId="0DC0770D" w:rsidR="001D1D9A" w:rsidRDefault="001D1D9A">
      <w:pPr>
        <w:spacing w:after="160" w:line="259" w:lineRule="auto"/>
        <w:rPr>
          <w:sz w:val="22"/>
          <w:szCs w:val="22"/>
        </w:rPr>
      </w:pPr>
      <w:r w:rsidRPr="00AD55AA">
        <w:rPr>
          <w:sz w:val="22"/>
          <w:szCs w:val="22"/>
        </w:rPr>
        <w:br w:type="page"/>
      </w:r>
    </w:p>
    <w:p w14:paraId="415DA916" w14:textId="77777777" w:rsidR="00862FE0" w:rsidRPr="00AD55AA" w:rsidRDefault="00862FE0" w:rsidP="00862FE0">
      <w:pPr>
        <w:spacing w:after="160" w:line="259" w:lineRule="auto"/>
        <w:rPr>
          <w:rStyle w:val="Normal2Car"/>
        </w:rPr>
      </w:pPr>
    </w:p>
    <w:tbl>
      <w:tblPr>
        <w:tblW w:w="5000" w:type="pct"/>
        <w:tblLook w:val="04A0" w:firstRow="1" w:lastRow="0" w:firstColumn="1" w:lastColumn="0" w:noHBand="0" w:noVBand="1"/>
      </w:tblPr>
      <w:tblGrid>
        <w:gridCol w:w="279"/>
        <w:gridCol w:w="8202"/>
        <w:gridCol w:w="586"/>
      </w:tblGrid>
      <w:tr w:rsidR="00862FE0" w:rsidRPr="00AD55AA" w14:paraId="18DFEAE1" w14:textId="77777777" w:rsidTr="00B546EC">
        <w:tc>
          <w:tcPr>
            <w:tcW w:w="4677" w:type="pct"/>
            <w:gridSpan w:val="2"/>
            <w:tcBorders>
              <w:left w:val="nil"/>
              <w:right w:val="nil"/>
            </w:tcBorders>
          </w:tcPr>
          <w:p w14:paraId="00321664" w14:textId="47439EEE" w:rsidR="00862FE0" w:rsidRPr="00AD55AA" w:rsidRDefault="00377D86" w:rsidP="00862FE0">
            <w:pPr>
              <w:widowControl w:val="0"/>
              <w:autoSpaceDE w:val="0"/>
              <w:autoSpaceDN w:val="0"/>
              <w:adjustRightInd w:val="0"/>
              <w:jc w:val="both"/>
              <w:rPr>
                <w:b/>
                <w:bCs/>
                <w:sz w:val="22"/>
                <w:szCs w:val="22"/>
              </w:rPr>
            </w:pPr>
            <w:r>
              <w:rPr>
                <w:b/>
                <w:bCs/>
                <w:sz w:val="22"/>
                <w:szCs w:val="22"/>
              </w:rPr>
              <w:t>Table 1</w:t>
            </w:r>
            <w:r w:rsidR="00862FE0" w:rsidRPr="00AD55AA">
              <w:rPr>
                <w:b/>
                <w:bCs/>
                <w:sz w:val="22"/>
                <w:szCs w:val="22"/>
              </w:rPr>
              <w:t xml:space="preserve"> – Panel A</w:t>
            </w:r>
          </w:p>
        </w:tc>
        <w:tc>
          <w:tcPr>
            <w:tcW w:w="323" w:type="pct"/>
            <w:tcBorders>
              <w:left w:val="nil"/>
              <w:right w:val="nil"/>
            </w:tcBorders>
          </w:tcPr>
          <w:p w14:paraId="1C919A7A" w14:textId="77777777" w:rsidR="00862FE0" w:rsidRPr="00AD55AA" w:rsidRDefault="00862FE0" w:rsidP="00AB6C46">
            <w:pPr>
              <w:widowControl w:val="0"/>
              <w:autoSpaceDE w:val="0"/>
              <w:autoSpaceDN w:val="0"/>
              <w:adjustRightInd w:val="0"/>
              <w:jc w:val="both"/>
              <w:rPr>
                <w:sz w:val="22"/>
                <w:szCs w:val="22"/>
              </w:rPr>
            </w:pPr>
          </w:p>
        </w:tc>
      </w:tr>
      <w:tr w:rsidR="00862FE0" w:rsidRPr="00AD55AA" w14:paraId="63697B5B" w14:textId="77777777" w:rsidTr="00B546EC">
        <w:tc>
          <w:tcPr>
            <w:tcW w:w="4677" w:type="pct"/>
            <w:gridSpan w:val="2"/>
            <w:tcBorders>
              <w:left w:val="nil"/>
              <w:bottom w:val="single" w:sz="4" w:space="0" w:color="auto"/>
              <w:right w:val="nil"/>
            </w:tcBorders>
          </w:tcPr>
          <w:p w14:paraId="3F620341" w14:textId="19FDD5AD" w:rsidR="00862FE0" w:rsidRPr="00AD55AA" w:rsidRDefault="000715AB" w:rsidP="00862FE0">
            <w:pPr>
              <w:widowControl w:val="0"/>
              <w:autoSpaceDE w:val="0"/>
              <w:autoSpaceDN w:val="0"/>
              <w:adjustRightInd w:val="0"/>
              <w:jc w:val="both"/>
              <w:rPr>
                <w:b/>
                <w:bCs/>
                <w:sz w:val="22"/>
                <w:szCs w:val="22"/>
              </w:rPr>
            </w:pPr>
            <w:r>
              <w:rPr>
                <w:b/>
                <w:bCs/>
                <w:sz w:val="22"/>
                <w:szCs w:val="22"/>
              </w:rPr>
              <w:t>Data construction p</w:t>
            </w:r>
            <w:r w:rsidR="002954BA" w:rsidRPr="00AD55AA">
              <w:rPr>
                <w:b/>
                <w:bCs/>
                <w:sz w:val="22"/>
                <w:szCs w:val="22"/>
              </w:rPr>
              <w:t>rocess</w:t>
            </w:r>
          </w:p>
          <w:p w14:paraId="412C8271" w14:textId="6699BA59" w:rsidR="002954BA" w:rsidRPr="00AD55AA" w:rsidRDefault="002954BA" w:rsidP="000715AB">
            <w:pPr>
              <w:widowControl w:val="0"/>
              <w:autoSpaceDE w:val="0"/>
              <w:autoSpaceDN w:val="0"/>
              <w:adjustRightInd w:val="0"/>
              <w:jc w:val="both"/>
              <w:rPr>
                <w:sz w:val="22"/>
                <w:szCs w:val="22"/>
              </w:rPr>
            </w:pPr>
          </w:p>
        </w:tc>
        <w:tc>
          <w:tcPr>
            <w:tcW w:w="323" w:type="pct"/>
            <w:tcBorders>
              <w:left w:val="nil"/>
              <w:bottom w:val="single" w:sz="4" w:space="0" w:color="auto"/>
              <w:right w:val="nil"/>
            </w:tcBorders>
          </w:tcPr>
          <w:p w14:paraId="6394ED89" w14:textId="77777777" w:rsidR="00862FE0" w:rsidRPr="00AD55AA" w:rsidRDefault="00862FE0" w:rsidP="00AB6C46">
            <w:pPr>
              <w:widowControl w:val="0"/>
              <w:autoSpaceDE w:val="0"/>
              <w:autoSpaceDN w:val="0"/>
              <w:adjustRightInd w:val="0"/>
              <w:jc w:val="both"/>
              <w:rPr>
                <w:sz w:val="22"/>
                <w:szCs w:val="22"/>
              </w:rPr>
            </w:pPr>
          </w:p>
        </w:tc>
      </w:tr>
      <w:tr w:rsidR="00B546EC" w:rsidRPr="00AD55AA" w14:paraId="6A5DAB3A" w14:textId="77777777" w:rsidTr="004D61BD">
        <w:tc>
          <w:tcPr>
            <w:tcW w:w="154" w:type="pct"/>
          </w:tcPr>
          <w:p w14:paraId="1E8331BF" w14:textId="77777777" w:rsidR="00B546EC" w:rsidRPr="00AD55AA" w:rsidRDefault="00B546EC" w:rsidP="00862FE0">
            <w:pPr>
              <w:widowControl w:val="0"/>
              <w:autoSpaceDE w:val="0"/>
              <w:autoSpaceDN w:val="0"/>
              <w:adjustRightInd w:val="0"/>
              <w:jc w:val="both"/>
              <w:rPr>
                <w:sz w:val="22"/>
                <w:szCs w:val="22"/>
              </w:rPr>
            </w:pPr>
          </w:p>
        </w:tc>
        <w:tc>
          <w:tcPr>
            <w:tcW w:w="4523" w:type="pct"/>
          </w:tcPr>
          <w:p w14:paraId="2A182BA1" w14:textId="77777777" w:rsidR="00B546EC" w:rsidRPr="00AD55AA" w:rsidRDefault="00B546EC" w:rsidP="00862FE0">
            <w:pPr>
              <w:widowControl w:val="0"/>
              <w:autoSpaceDE w:val="0"/>
              <w:autoSpaceDN w:val="0"/>
              <w:adjustRightInd w:val="0"/>
              <w:jc w:val="both"/>
              <w:rPr>
                <w:sz w:val="22"/>
                <w:szCs w:val="22"/>
              </w:rPr>
            </w:pPr>
          </w:p>
        </w:tc>
        <w:tc>
          <w:tcPr>
            <w:tcW w:w="323" w:type="pct"/>
            <w:vAlign w:val="center"/>
          </w:tcPr>
          <w:p w14:paraId="7C4E7EA6" w14:textId="77777777" w:rsidR="00B546EC" w:rsidRPr="00AD55AA" w:rsidRDefault="00B546EC" w:rsidP="00862FE0">
            <w:pPr>
              <w:widowControl w:val="0"/>
              <w:autoSpaceDE w:val="0"/>
              <w:autoSpaceDN w:val="0"/>
              <w:adjustRightInd w:val="0"/>
              <w:rPr>
                <w:sz w:val="22"/>
                <w:szCs w:val="22"/>
              </w:rPr>
            </w:pPr>
          </w:p>
        </w:tc>
      </w:tr>
      <w:tr w:rsidR="00862FE0" w:rsidRPr="00AD55AA" w14:paraId="3D8E95BF" w14:textId="77777777" w:rsidTr="004D61BD">
        <w:tc>
          <w:tcPr>
            <w:tcW w:w="154" w:type="pct"/>
          </w:tcPr>
          <w:p w14:paraId="60AE430C"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184F2045" w14:textId="41FB1DE2" w:rsidR="00862FE0" w:rsidRPr="00AD55AA" w:rsidRDefault="00862FE0" w:rsidP="00AC2880">
            <w:pPr>
              <w:widowControl w:val="0"/>
              <w:autoSpaceDE w:val="0"/>
              <w:autoSpaceDN w:val="0"/>
              <w:adjustRightInd w:val="0"/>
              <w:jc w:val="both"/>
              <w:rPr>
                <w:sz w:val="22"/>
                <w:szCs w:val="22"/>
              </w:rPr>
            </w:pPr>
            <w:r w:rsidRPr="00AD55AA">
              <w:rPr>
                <w:sz w:val="22"/>
                <w:szCs w:val="22"/>
              </w:rPr>
              <w:t>We define CFIUS interventions as presidential decisions and withdrawals for denial of regulatory approval.</w:t>
            </w:r>
          </w:p>
        </w:tc>
        <w:tc>
          <w:tcPr>
            <w:tcW w:w="323" w:type="pct"/>
            <w:vAlign w:val="center"/>
          </w:tcPr>
          <w:p w14:paraId="2E95A2AD" w14:textId="77777777" w:rsidR="00862FE0" w:rsidRPr="00AD55AA" w:rsidRDefault="00862FE0" w:rsidP="00862FE0">
            <w:pPr>
              <w:widowControl w:val="0"/>
              <w:autoSpaceDE w:val="0"/>
              <w:autoSpaceDN w:val="0"/>
              <w:adjustRightInd w:val="0"/>
              <w:rPr>
                <w:sz w:val="22"/>
                <w:szCs w:val="22"/>
              </w:rPr>
            </w:pPr>
          </w:p>
        </w:tc>
      </w:tr>
      <w:tr w:rsidR="00862FE0" w:rsidRPr="00AD55AA" w14:paraId="7ACBDF81" w14:textId="77777777" w:rsidTr="004D61BD">
        <w:tc>
          <w:tcPr>
            <w:tcW w:w="154" w:type="pct"/>
          </w:tcPr>
          <w:p w14:paraId="6D203DAB"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08EACAFA" w14:textId="77777777" w:rsidR="00862FE0" w:rsidRPr="00AD55AA" w:rsidRDefault="00862FE0" w:rsidP="00862FE0">
            <w:pPr>
              <w:widowControl w:val="0"/>
              <w:autoSpaceDE w:val="0"/>
              <w:autoSpaceDN w:val="0"/>
              <w:adjustRightInd w:val="0"/>
              <w:jc w:val="both"/>
              <w:rPr>
                <w:sz w:val="22"/>
                <w:szCs w:val="22"/>
              </w:rPr>
            </w:pPr>
          </w:p>
        </w:tc>
        <w:tc>
          <w:tcPr>
            <w:tcW w:w="323" w:type="pct"/>
            <w:vAlign w:val="center"/>
          </w:tcPr>
          <w:p w14:paraId="3279840E" w14:textId="77777777" w:rsidR="00862FE0" w:rsidRPr="00AD55AA" w:rsidRDefault="00862FE0" w:rsidP="00862FE0">
            <w:pPr>
              <w:widowControl w:val="0"/>
              <w:autoSpaceDE w:val="0"/>
              <w:autoSpaceDN w:val="0"/>
              <w:adjustRightInd w:val="0"/>
              <w:rPr>
                <w:sz w:val="22"/>
                <w:szCs w:val="22"/>
              </w:rPr>
            </w:pPr>
          </w:p>
        </w:tc>
      </w:tr>
      <w:tr w:rsidR="00862FE0" w:rsidRPr="00AD55AA" w14:paraId="6AB17A82" w14:textId="77777777" w:rsidTr="004D61BD">
        <w:tc>
          <w:tcPr>
            <w:tcW w:w="154" w:type="pct"/>
          </w:tcPr>
          <w:p w14:paraId="2213A47E"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669A4306" w14:textId="2278C029" w:rsidR="00862FE0" w:rsidRPr="00AD55AA" w:rsidRDefault="00862FE0" w:rsidP="00D7763B">
            <w:pPr>
              <w:widowControl w:val="0"/>
              <w:autoSpaceDE w:val="0"/>
              <w:autoSpaceDN w:val="0"/>
              <w:adjustRightInd w:val="0"/>
              <w:jc w:val="both"/>
              <w:rPr>
                <w:sz w:val="22"/>
                <w:szCs w:val="22"/>
              </w:rPr>
            </w:pPr>
            <w:r w:rsidRPr="00AD55AA">
              <w:rPr>
                <w:sz w:val="22"/>
                <w:szCs w:val="22"/>
              </w:rPr>
              <w:t xml:space="preserve">We search for </w:t>
            </w:r>
            <w:r w:rsidR="00B546EC" w:rsidRPr="00AD55AA">
              <w:rPr>
                <w:sz w:val="22"/>
                <w:szCs w:val="22"/>
              </w:rPr>
              <w:t xml:space="preserve">all news related to CFIUS </w:t>
            </w:r>
            <w:r w:rsidRPr="00AD55AA">
              <w:rPr>
                <w:sz w:val="22"/>
                <w:szCs w:val="22"/>
              </w:rPr>
              <w:t>from Factiva and SEC EDGAR. We cross-check this information with other public sources such as company websites and the financial press.</w:t>
            </w:r>
            <w:r w:rsidR="00552C0C">
              <w:rPr>
                <w:sz w:val="22"/>
                <w:szCs w:val="22"/>
              </w:rPr>
              <w:t xml:space="preserve"> We identify 45</w:t>
            </w:r>
            <w:r w:rsidR="00B546EC" w:rsidRPr="00AD55AA">
              <w:rPr>
                <w:sz w:val="22"/>
                <w:szCs w:val="22"/>
              </w:rPr>
              <w:t xml:space="preserve"> </w:t>
            </w:r>
            <w:r w:rsidR="00D7763B">
              <w:rPr>
                <w:sz w:val="22"/>
                <w:szCs w:val="22"/>
              </w:rPr>
              <w:t>CFIUS interventions</w:t>
            </w:r>
            <w:r w:rsidR="007B5928" w:rsidRPr="00AD55AA">
              <w:rPr>
                <w:sz w:val="22"/>
                <w:szCs w:val="22"/>
              </w:rPr>
              <w:t xml:space="preserve"> in the period from 2008 to 2019</w:t>
            </w:r>
            <w:r w:rsidR="00B546EC" w:rsidRPr="00AD55AA">
              <w:rPr>
                <w:sz w:val="22"/>
                <w:szCs w:val="22"/>
              </w:rPr>
              <w:t>.</w:t>
            </w:r>
          </w:p>
        </w:tc>
        <w:tc>
          <w:tcPr>
            <w:tcW w:w="323" w:type="pct"/>
          </w:tcPr>
          <w:p w14:paraId="470A216F" w14:textId="6314C80B" w:rsidR="00862FE0" w:rsidRPr="00AD55AA" w:rsidRDefault="00552C0C" w:rsidP="00723B7C">
            <w:pPr>
              <w:widowControl w:val="0"/>
              <w:autoSpaceDE w:val="0"/>
              <w:autoSpaceDN w:val="0"/>
              <w:adjustRightInd w:val="0"/>
              <w:jc w:val="center"/>
              <w:rPr>
                <w:sz w:val="22"/>
                <w:szCs w:val="22"/>
              </w:rPr>
            </w:pPr>
            <w:r>
              <w:rPr>
                <w:sz w:val="22"/>
                <w:szCs w:val="22"/>
              </w:rPr>
              <w:t>45</w:t>
            </w:r>
          </w:p>
        </w:tc>
      </w:tr>
      <w:tr w:rsidR="00B546EC" w:rsidRPr="00AD55AA" w14:paraId="509AC6AC" w14:textId="77777777" w:rsidTr="004D61BD">
        <w:tc>
          <w:tcPr>
            <w:tcW w:w="154" w:type="pct"/>
          </w:tcPr>
          <w:p w14:paraId="0005AC7D" w14:textId="77777777" w:rsidR="00B546EC" w:rsidRPr="00AD55AA" w:rsidRDefault="00B546EC" w:rsidP="00862FE0">
            <w:pPr>
              <w:widowControl w:val="0"/>
              <w:autoSpaceDE w:val="0"/>
              <w:autoSpaceDN w:val="0"/>
              <w:adjustRightInd w:val="0"/>
              <w:jc w:val="both"/>
              <w:rPr>
                <w:sz w:val="22"/>
                <w:szCs w:val="22"/>
              </w:rPr>
            </w:pPr>
          </w:p>
        </w:tc>
        <w:tc>
          <w:tcPr>
            <w:tcW w:w="4523" w:type="pct"/>
          </w:tcPr>
          <w:p w14:paraId="74B6F140" w14:textId="77777777" w:rsidR="00B546EC" w:rsidRPr="00AD55AA" w:rsidRDefault="00B546EC" w:rsidP="00862FE0">
            <w:pPr>
              <w:widowControl w:val="0"/>
              <w:autoSpaceDE w:val="0"/>
              <w:autoSpaceDN w:val="0"/>
              <w:adjustRightInd w:val="0"/>
              <w:jc w:val="both"/>
              <w:rPr>
                <w:sz w:val="22"/>
                <w:szCs w:val="22"/>
              </w:rPr>
            </w:pPr>
          </w:p>
        </w:tc>
        <w:tc>
          <w:tcPr>
            <w:tcW w:w="323" w:type="pct"/>
          </w:tcPr>
          <w:p w14:paraId="29522D26" w14:textId="77777777" w:rsidR="00B546EC" w:rsidRPr="00AD55AA" w:rsidRDefault="00B546EC" w:rsidP="00723B7C">
            <w:pPr>
              <w:widowControl w:val="0"/>
              <w:autoSpaceDE w:val="0"/>
              <w:autoSpaceDN w:val="0"/>
              <w:adjustRightInd w:val="0"/>
              <w:jc w:val="center"/>
              <w:rPr>
                <w:sz w:val="22"/>
                <w:szCs w:val="22"/>
              </w:rPr>
            </w:pPr>
          </w:p>
        </w:tc>
      </w:tr>
      <w:tr w:rsidR="00B546EC" w:rsidRPr="00AD55AA" w14:paraId="287C1298" w14:textId="77777777" w:rsidTr="004D61BD">
        <w:tc>
          <w:tcPr>
            <w:tcW w:w="154" w:type="pct"/>
          </w:tcPr>
          <w:p w14:paraId="4496D8CE" w14:textId="77777777" w:rsidR="00B546EC" w:rsidRPr="00AD55AA" w:rsidRDefault="00B546EC" w:rsidP="00862FE0">
            <w:pPr>
              <w:widowControl w:val="0"/>
              <w:autoSpaceDE w:val="0"/>
              <w:autoSpaceDN w:val="0"/>
              <w:adjustRightInd w:val="0"/>
              <w:jc w:val="both"/>
              <w:rPr>
                <w:sz w:val="22"/>
                <w:szCs w:val="22"/>
              </w:rPr>
            </w:pPr>
          </w:p>
        </w:tc>
        <w:tc>
          <w:tcPr>
            <w:tcW w:w="4523" w:type="pct"/>
          </w:tcPr>
          <w:p w14:paraId="6A084341" w14:textId="7B8AA1B5" w:rsidR="00B546EC" w:rsidRPr="00AD55AA" w:rsidRDefault="00B546EC" w:rsidP="00D7763B">
            <w:pPr>
              <w:widowControl w:val="0"/>
              <w:autoSpaceDE w:val="0"/>
              <w:autoSpaceDN w:val="0"/>
              <w:adjustRightInd w:val="0"/>
              <w:jc w:val="both"/>
              <w:rPr>
                <w:sz w:val="22"/>
                <w:szCs w:val="22"/>
              </w:rPr>
            </w:pPr>
            <w:r w:rsidRPr="00AD55AA">
              <w:rPr>
                <w:sz w:val="22"/>
                <w:szCs w:val="22"/>
              </w:rPr>
              <w:t xml:space="preserve">For every </w:t>
            </w:r>
            <w:r w:rsidR="00D7763B">
              <w:rPr>
                <w:sz w:val="22"/>
                <w:szCs w:val="22"/>
              </w:rPr>
              <w:t>CFIUS intervention</w:t>
            </w:r>
            <w:r w:rsidRPr="00AD55AA">
              <w:rPr>
                <w:sz w:val="22"/>
                <w:szCs w:val="22"/>
              </w:rPr>
              <w:t>, we collect detailed information regarding the target name, buyer name, deal size, deal structure, and event date. We collect the industry classification of listed and private targets from Compustat and Bureau van Dijk (BvD) Orbis</w:t>
            </w:r>
            <w:r w:rsidR="00B71028" w:rsidRPr="00AD55AA">
              <w:rPr>
                <w:sz w:val="22"/>
                <w:szCs w:val="22"/>
              </w:rPr>
              <w:t xml:space="preserve"> respectively</w:t>
            </w:r>
            <w:r w:rsidRPr="00AD55AA">
              <w:rPr>
                <w:sz w:val="22"/>
                <w:szCs w:val="22"/>
              </w:rPr>
              <w:t>.</w:t>
            </w:r>
          </w:p>
        </w:tc>
        <w:tc>
          <w:tcPr>
            <w:tcW w:w="323" w:type="pct"/>
          </w:tcPr>
          <w:p w14:paraId="5A090E72" w14:textId="7E785771" w:rsidR="00B546EC" w:rsidRPr="00AD55AA" w:rsidRDefault="00552C0C" w:rsidP="00723B7C">
            <w:pPr>
              <w:widowControl w:val="0"/>
              <w:autoSpaceDE w:val="0"/>
              <w:autoSpaceDN w:val="0"/>
              <w:adjustRightInd w:val="0"/>
              <w:jc w:val="center"/>
              <w:rPr>
                <w:sz w:val="22"/>
                <w:szCs w:val="22"/>
              </w:rPr>
            </w:pPr>
            <w:r>
              <w:rPr>
                <w:sz w:val="22"/>
                <w:szCs w:val="22"/>
              </w:rPr>
              <w:t>45</w:t>
            </w:r>
          </w:p>
        </w:tc>
      </w:tr>
      <w:tr w:rsidR="00862FE0" w:rsidRPr="00AD55AA" w14:paraId="0C647CBD" w14:textId="77777777" w:rsidTr="004D61BD">
        <w:tc>
          <w:tcPr>
            <w:tcW w:w="154" w:type="pct"/>
          </w:tcPr>
          <w:p w14:paraId="54EB316A"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5DD3A4C5" w14:textId="77777777" w:rsidR="00862FE0" w:rsidRPr="00AD55AA" w:rsidRDefault="00862FE0" w:rsidP="00862FE0">
            <w:pPr>
              <w:widowControl w:val="0"/>
              <w:autoSpaceDE w:val="0"/>
              <w:autoSpaceDN w:val="0"/>
              <w:adjustRightInd w:val="0"/>
              <w:jc w:val="both"/>
              <w:rPr>
                <w:sz w:val="22"/>
                <w:szCs w:val="22"/>
              </w:rPr>
            </w:pPr>
          </w:p>
        </w:tc>
        <w:tc>
          <w:tcPr>
            <w:tcW w:w="323" w:type="pct"/>
          </w:tcPr>
          <w:p w14:paraId="1B64FDAC" w14:textId="77777777" w:rsidR="00862FE0" w:rsidRPr="00AD55AA" w:rsidRDefault="00862FE0" w:rsidP="00723B7C">
            <w:pPr>
              <w:widowControl w:val="0"/>
              <w:autoSpaceDE w:val="0"/>
              <w:autoSpaceDN w:val="0"/>
              <w:adjustRightInd w:val="0"/>
              <w:jc w:val="center"/>
              <w:rPr>
                <w:sz w:val="22"/>
                <w:szCs w:val="22"/>
              </w:rPr>
            </w:pPr>
          </w:p>
        </w:tc>
      </w:tr>
      <w:tr w:rsidR="00862FE0" w:rsidRPr="00AD55AA" w14:paraId="448744A1" w14:textId="77777777" w:rsidTr="004D61BD">
        <w:tc>
          <w:tcPr>
            <w:tcW w:w="154" w:type="pct"/>
          </w:tcPr>
          <w:p w14:paraId="35B5CF9A"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1AEA22E3" w14:textId="5CE9D187" w:rsidR="00862FE0" w:rsidRPr="00AD55AA" w:rsidRDefault="00862FE0" w:rsidP="00862FE0">
            <w:pPr>
              <w:widowControl w:val="0"/>
              <w:autoSpaceDE w:val="0"/>
              <w:autoSpaceDN w:val="0"/>
              <w:adjustRightInd w:val="0"/>
              <w:jc w:val="both"/>
              <w:rPr>
                <w:sz w:val="22"/>
                <w:szCs w:val="22"/>
              </w:rPr>
            </w:pPr>
            <w:r w:rsidRPr="00AD55AA">
              <w:rPr>
                <w:sz w:val="22"/>
                <w:szCs w:val="22"/>
              </w:rPr>
              <w:t>We remove CFIUS interventions whose national security threats refer to the target’s proximity to military facilities</w:t>
            </w:r>
            <w:r w:rsidR="00847C3F" w:rsidRPr="00AD55AA">
              <w:rPr>
                <w:sz w:val="22"/>
                <w:szCs w:val="22"/>
              </w:rPr>
              <w:t>.</w:t>
            </w:r>
          </w:p>
        </w:tc>
        <w:tc>
          <w:tcPr>
            <w:tcW w:w="323" w:type="pct"/>
          </w:tcPr>
          <w:p w14:paraId="23490D13" w14:textId="14A11F95" w:rsidR="00862FE0" w:rsidRPr="00AD55AA" w:rsidRDefault="00552C0C" w:rsidP="00723B7C">
            <w:pPr>
              <w:widowControl w:val="0"/>
              <w:autoSpaceDE w:val="0"/>
              <w:autoSpaceDN w:val="0"/>
              <w:adjustRightInd w:val="0"/>
              <w:jc w:val="center"/>
              <w:rPr>
                <w:sz w:val="22"/>
                <w:szCs w:val="22"/>
              </w:rPr>
            </w:pPr>
            <w:r>
              <w:rPr>
                <w:sz w:val="22"/>
                <w:szCs w:val="22"/>
              </w:rPr>
              <w:t>(3</w:t>
            </w:r>
            <w:r w:rsidR="00862FE0" w:rsidRPr="00AD55AA">
              <w:rPr>
                <w:sz w:val="22"/>
                <w:szCs w:val="22"/>
              </w:rPr>
              <w:t>)</w:t>
            </w:r>
          </w:p>
        </w:tc>
      </w:tr>
      <w:tr w:rsidR="00862FE0" w:rsidRPr="00AD55AA" w14:paraId="16CC52E1" w14:textId="77777777" w:rsidTr="004D61BD">
        <w:tc>
          <w:tcPr>
            <w:tcW w:w="154" w:type="pct"/>
          </w:tcPr>
          <w:p w14:paraId="73FB7A77"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11962291" w14:textId="77777777" w:rsidR="00862FE0" w:rsidRPr="00AD55AA" w:rsidRDefault="00862FE0" w:rsidP="00862FE0">
            <w:pPr>
              <w:widowControl w:val="0"/>
              <w:autoSpaceDE w:val="0"/>
              <w:autoSpaceDN w:val="0"/>
              <w:adjustRightInd w:val="0"/>
              <w:jc w:val="both"/>
              <w:rPr>
                <w:sz w:val="22"/>
                <w:szCs w:val="22"/>
              </w:rPr>
            </w:pPr>
          </w:p>
        </w:tc>
        <w:tc>
          <w:tcPr>
            <w:tcW w:w="323" w:type="pct"/>
          </w:tcPr>
          <w:p w14:paraId="47B8C78D" w14:textId="77777777" w:rsidR="00862FE0" w:rsidRPr="00AD55AA" w:rsidRDefault="00862FE0" w:rsidP="00723B7C">
            <w:pPr>
              <w:widowControl w:val="0"/>
              <w:autoSpaceDE w:val="0"/>
              <w:autoSpaceDN w:val="0"/>
              <w:adjustRightInd w:val="0"/>
              <w:jc w:val="center"/>
              <w:rPr>
                <w:sz w:val="22"/>
                <w:szCs w:val="22"/>
              </w:rPr>
            </w:pPr>
          </w:p>
        </w:tc>
      </w:tr>
      <w:tr w:rsidR="00862FE0" w:rsidRPr="00AD55AA" w14:paraId="170B94A8" w14:textId="77777777" w:rsidTr="004D61BD">
        <w:tc>
          <w:tcPr>
            <w:tcW w:w="154" w:type="pct"/>
          </w:tcPr>
          <w:p w14:paraId="1A79CED2"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4DFFFD0B" w14:textId="7A08D16B" w:rsidR="00862FE0" w:rsidRPr="00AD55AA" w:rsidRDefault="00862FE0" w:rsidP="00552C0C">
            <w:pPr>
              <w:widowControl w:val="0"/>
              <w:autoSpaceDE w:val="0"/>
              <w:autoSpaceDN w:val="0"/>
              <w:adjustRightInd w:val="0"/>
              <w:jc w:val="both"/>
              <w:rPr>
                <w:sz w:val="22"/>
                <w:szCs w:val="22"/>
              </w:rPr>
            </w:pPr>
            <w:r w:rsidRPr="00AD55AA">
              <w:rPr>
                <w:sz w:val="22"/>
                <w:szCs w:val="22"/>
              </w:rPr>
              <w:t xml:space="preserve">We remove CFIUS interventions involving </w:t>
            </w:r>
            <w:r w:rsidR="00552C0C">
              <w:rPr>
                <w:sz w:val="22"/>
                <w:szCs w:val="22"/>
              </w:rPr>
              <w:t xml:space="preserve">asset deals </w:t>
            </w:r>
            <w:r w:rsidRPr="00AD55AA">
              <w:rPr>
                <w:sz w:val="22"/>
                <w:szCs w:val="22"/>
              </w:rPr>
              <w:t xml:space="preserve">with missing </w:t>
            </w:r>
            <w:r w:rsidR="007450FF">
              <w:rPr>
                <w:sz w:val="22"/>
                <w:szCs w:val="22"/>
              </w:rPr>
              <w:t>industry classification</w:t>
            </w:r>
            <w:r w:rsidR="00847C3F" w:rsidRPr="00AD55AA">
              <w:rPr>
                <w:sz w:val="22"/>
                <w:szCs w:val="22"/>
              </w:rPr>
              <w:t>.</w:t>
            </w:r>
          </w:p>
        </w:tc>
        <w:tc>
          <w:tcPr>
            <w:tcW w:w="323" w:type="pct"/>
          </w:tcPr>
          <w:p w14:paraId="709B7605" w14:textId="2841CDF5" w:rsidR="00862FE0" w:rsidRPr="00AD55AA" w:rsidRDefault="00552C0C" w:rsidP="00723B7C">
            <w:pPr>
              <w:widowControl w:val="0"/>
              <w:autoSpaceDE w:val="0"/>
              <w:autoSpaceDN w:val="0"/>
              <w:adjustRightInd w:val="0"/>
              <w:jc w:val="center"/>
              <w:rPr>
                <w:sz w:val="22"/>
                <w:szCs w:val="22"/>
              </w:rPr>
            </w:pPr>
            <w:r>
              <w:rPr>
                <w:sz w:val="22"/>
                <w:szCs w:val="22"/>
              </w:rPr>
              <w:t>(4</w:t>
            </w:r>
            <w:r w:rsidR="00862FE0" w:rsidRPr="00AD55AA">
              <w:rPr>
                <w:sz w:val="22"/>
                <w:szCs w:val="22"/>
              </w:rPr>
              <w:t>)</w:t>
            </w:r>
          </w:p>
        </w:tc>
      </w:tr>
      <w:tr w:rsidR="00862FE0" w:rsidRPr="00AD55AA" w14:paraId="4640794F" w14:textId="77777777" w:rsidTr="004D61BD">
        <w:tc>
          <w:tcPr>
            <w:tcW w:w="154" w:type="pct"/>
          </w:tcPr>
          <w:p w14:paraId="2B8008B3"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69DA82F5" w14:textId="77777777" w:rsidR="00862FE0" w:rsidRPr="00AD55AA" w:rsidRDefault="00862FE0" w:rsidP="00862FE0">
            <w:pPr>
              <w:widowControl w:val="0"/>
              <w:autoSpaceDE w:val="0"/>
              <w:autoSpaceDN w:val="0"/>
              <w:adjustRightInd w:val="0"/>
              <w:jc w:val="both"/>
              <w:rPr>
                <w:sz w:val="22"/>
                <w:szCs w:val="22"/>
              </w:rPr>
            </w:pPr>
          </w:p>
        </w:tc>
        <w:tc>
          <w:tcPr>
            <w:tcW w:w="323" w:type="pct"/>
          </w:tcPr>
          <w:p w14:paraId="7EDED93A" w14:textId="77777777" w:rsidR="00862FE0" w:rsidRPr="00AD55AA" w:rsidRDefault="00862FE0" w:rsidP="00723B7C">
            <w:pPr>
              <w:widowControl w:val="0"/>
              <w:autoSpaceDE w:val="0"/>
              <w:autoSpaceDN w:val="0"/>
              <w:adjustRightInd w:val="0"/>
              <w:jc w:val="center"/>
              <w:rPr>
                <w:sz w:val="22"/>
                <w:szCs w:val="22"/>
              </w:rPr>
            </w:pPr>
          </w:p>
        </w:tc>
      </w:tr>
      <w:tr w:rsidR="00862FE0" w:rsidRPr="00AD55AA" w14:paraId="752D82AF" w14:textId="77777777" w:rsidTr="004D61BD">
        <w:tc>
          <w:tcPr>
            <w:tcW w:w="154" w:type="pct"/>
          </w:tcPr>
          <w:p w14:paraId="1AE1EF12"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689D393D" w14:textId="011AD36F" w:rsidR="00862FE0" w:rsidRPr="00AD55AA" w:rsidRDefault="00862FE0" w:rsidP="00862FE0">
            <w:pPr>
              <w:widowControl w:val="0"/>
              <w:autoSpaceDE w:val="0"/>
              <w:autoSpaceDN w:val="0"/>
              <w:adjustRightInd w:val="0"/>
              <w:jc w:val="both"/>
              <w:rPr>
                <w:sz w:val="22"/>
                <w:szCs w:val="22"/>
              </w:rPr>
            </w:pPr>
            <w:r w:rsidRPr="00AD55AA">
              <w:rPr>
                <w:sz w:val="22"/>
                <w:szCs w:val="22"/>
              </w:rPr>
              <w:t>We remove CFIUS interventions involving private targets</w:t>
            </w:r>
            <w:r w:rsidR="00847C3F" w:rsidRPr="00AD55AA">
              <w:rPr>
                <w:sz w:val="22"/>
                <w:szCs w:val="22"/>
              </w:rPr>
              <w:t>.</w:t>
            </w:r>
          </w:p>
        </w:tc>
        <w:tc>
          <w:tcPr>
            <w:tcW w:w="323" w:type="pct"/>
          </w:tcPr>
          <w:p w14:paraId="72A9BFBC" w14:textId="6EA17165" w:rsidR="00862FE0" w:rsidRPr="00AD55AA" w:rsidRDefault="00862FE0" w:rsidP="00723B7C">
            <w:pPr>
              <w:widowControl w:val="0"/>
              <w:autoSpaceDE w:val="0"/>
              <w:autoSpaceDN w:val="0"/>
              <w:adjustRightInd w:val="0"/>
              <w:jc w:val="center"/>
              <w:rPr>
                <w:sz w:val="22"/>
                <w:szCs w:val="22"/>
              </w:rPr>
            </w:pPr>
            <w:r w:rsidRPr="00AD55AA">
              <w:rPr>
                <w:sz w:val="22"/>
                <w:szCs w:val="22"/>
              </w:rPr>
              <w:t>(1</w:t>
            </w:r>
            <w:r w:rsidR="004D61BD">
              <w:rPr>
                <w:sz w:val="22"/>
                <w:szCs w:val="22"/>
              </w:rPr>
              <w:t>5</w:t>
            </w:r>
            <w:r w:rsidRPr="00AD55AA">
              <w:rPr>
                <w:sz w:val="22"/>
                <w:szCs w:val="22"/>
              </w:rPr>
              <w:t>)</w:t>
            </w:r>
          </w:p>
        </w:tc>
      </w:tr>
      <w:tr w:rsidR="00862FE0" w:rsidRPr="00AD55AA" w14:paraId="6E648721" w14:textId="77777777" w:rsidTr="004D61BD">
        <w:tc>
          <w:tcPr>
            <w:tcW w:w="154" w:type="pct"/>
          </w:tcPr>
          <w:p w14:paraId="04BFA5DF" w14:textId="77777777" w:rsidR="00862FE0" w:rsidRPr="00AD55AA" w:rsidRDefault="00862FE0" w:rsidP="00862FE0">
            <w:pPr>
              <w:widowControl w:val="0"/>
              <w:autoSpaceDE w:val="0"/>
              <w:autoSpaceDN w:val="0"/>
              <w:adjustRightInd w:val="0"/>
              <w:jc w:val="both"/>
              <w:rPr>
                <w:sz w:val="22"/>
                <w:szCs w:val="22"/>
              </w:rPr>
            </w:pPr>
          </w:p>
        </w:tc>
        <w:tc>
          <w:tcPr>
            <w:tcW w:w="4523" w:type="pct"/>
          </w:tcPr>
          <w:p w14:paraId="474B1901" w14:textId="77777777" w:rsidR="00862FE0" w:rsidRPr="00AD55AA" w:rsidRDefault="00862FE0" w:rsidP="00862FE0">
            <w:pPr>
              <w:widowControl w:val="0"/>
              <w:autoSpaceDE w:val="0"/>
              <w:autoSpaceDN w:val="0"/>
              <w:adjustRightInd w:val="0"/>
              <w:jc w:val="both"/>
              <w:rPr>
                <w:sz w:val="22"/>
                <w:szCs w:val="22"/>
              </w:rPr>
            </w:pPr>
          </w:p>
        </w:tc>
        <w:tc>
          <w:tcPr>
            <w:tcW w:w="323" w:type="pct"/>
          </w:tcPr>
          <w:p w14:paraId="270B0FA9" w14:textId="77777777" w:rsidR="00862FE0" w:rsidRPr="00AD55AA" w:rsidRDefault="00862FE0" w:rsidP="00723B7C">
            <w:pPr>
              <w:widowControl w:val="0"/>
              <w:autoSpaceDE w:val="0"/>
              <w:autoSpaceDN w:val="0"/>
              <w:adjustRightInd w:val="0"/>
              <w:jc w:val="center"/>
              <w:rPr>
                <w:sz w:val="22"/>
                <w:szCs w:val="22"/>
              </w:rPr>
            </w:pPr>
          </w:p>
        </w:tc>
      </w:tr>
      <w:tr w:rsidR="00B546EC" w:rsidRPr="00AD55AA" w14:paraId="20D222BF" w14:textId="77777777" w:rsidTr="004D61BD">
        <w:tc>
          <w:tcPr>
            <w:tcW w:w="154" w:type="pct"/>
          </w:tcPr>
          <w:p w14:paraId="26EE46C4" w14:textId="77777777" w:rsidR="00B546EC" w:rsidRPr="00AD55AA" w:rsidRDefault="00B546EC" w:rsidP="00B546EC">
            <w:pPr>
              <w:widowControl w:val="0"/>
              <w:autoSpaceDE w:val="0"/>
              <w:autoSpaceDN w:val="0"/>
              <w:adjustRightInd w:val="0"/>
              <w:jc w:val="both"/>
              <w:rPr>
                <w:sz w:val="22"/>
                <w:szCs w:val="22"/>
              </w:rPr>
            </w:pPr>
          </w:p>
        </w:tc>
        <w:tc>
          <w:tcPr>
            <w:tcW w:w="4523" w:type="pct"/>
          </w:tcPr>
          <w:p w14:paraId="1E1D86AD" w14:textId="7D2DF78D" w:rsidR="00B546EC" w:rsidRPr="00AD55AA" w:rsidRDefault="00B546EC" w:rsidP="00B546EC">
            <w:pPr>
              <w:widowControl w:val="0"/>
              <w:autoSpaceDE w:val="0"/>
              <w:autoSpaceDN w:val="0"/>
              <w:adjustRightInd w:val="0"/>
              <w:jc w:val="both"/>
              <w:rPr>
                <w:sz w:val="22"/>
                <w:szCs w:val="22"/>
              </w:rPr>
            </w:pPr>
            <w:r w:rsidRPr="00AD55AA">
              <w:rPr>
                <w:sz w:val="22"/>
                <w:szCs w:val="22"/>
              </w:rPr>
              <w:t>We retain CFIUS interventions involving listed targets</w:t>
            </w:r>
            <w:r w:rsidR="00847C3F" w:rsidRPr="00AD55AA">
              <w:rPr>
                <w:sz w:val="22"/>
                <w:szCs w:val="22"/>
              </w:rPr>
              <w:t>.</w:t>
            </w:r>
          </w:p>
        </w:tc>
        <w:tc>
          <w:tcPr>
            <w:tcW w:w="323" w:type="pct"/>
          </w:tcPr>
          <w:p w14:paraId="6DC45A89" w14:textId="41080AA8" w:rsidR="00B546EC" w:rsidRPr="00AD55AA" w:rsidRDefault="00552C0C" w:rsidP="00B546EC">
            <w:pPr>
              <w:widowControl w:val="0"/>
              <w:autoSpaceDE w:val="0"/>
              <w:autoSpaceDN w:val="0"/>
              <w:adjustRightInd w:val="0"/>
              <w:jc w:val="center"/>
              <w:rPr>
                <w:sz w:val="22"/>
                <w:szCs w:val="22"/>
              </w:rPr>
            </w:pPr>
            <w:r>
              <w:rPr>
                <w:sz w:val="22"/>
                <w:szCs w:val="22"/>
              </w:rPr>
              <w:t>23</w:t>
            </w:r>
          </w:p>
        </w:tc>
      </w:tr>
      <w:tr w:rsidR="00B546EC" w:rsidRPr="00AD55AA" w14:paraId="501C63DC" w14:textId="77777777" w:rsidTr="004D61BD">
        <w:tc>
          <w:tcPr>
            <w:tcW w:w="154" w:type="pct"/>
            <w:tcBorders>
              <w:bottom w:val="single" w:sz="4" w:space="0" w:color="auto"/>
            </w:tcBorders>
          </w:tcPr>
          <w:p w14:paraId="6DFB6949" w14:textId="77777777" w:rsidR="00B546EC" w:rsidRPr="00AD55AA" w:rsidRDefault="00B546EC" w:rsidP="00B546EC">
            <w:pPr>
              <w:widowControl w:val="0"/>
              <w:autoSpaceDE w:val="0"/>
              <w:autoSpaceDN w:val="0"/>
              <w:adjustRightInd w:val="0"/>
              <w:jc w:val="both"/>
              <w:rPr>
                <w:sz w:val="22"/>
                <w:szCs w:val="22"/>
              </w:rPr>
            </w:pPr>
          </w:p>
        </w:tc>
        <w:tc>
          <w:tcPr>
            <w:tcW w:w="4523" w:type="pct"/>
            <w:tcBorders>
              <w:bottom w:val="single" w:sz="4" w:space="0" w:color="auto"/>
            </w:tcBorders>
          </w:tcPr>
          <w:p w14:paraId="6102FD25" w14:textId="5EAC1FD3" w:rsidR="00B546EC" w:rsidRPr="00AD55AA" w:rsidRDefault="00B546EC" w:rsidP="00B546EC">
            <w:pPr>
              <w:widowControl w:val="0"/>
              <w:autoSpaceDE w:val="0"/>
              <w:autoSpaceDN w:val="0"/>
              <w:adjustRightInd w:val="0"/>
              <w:jc w:val="both"/>
              <w:rPr>
                <w:sz w:val="22"/>
                <w:szCs w:val="22"/>
              </w:rPr>
            </w:pPr>
          </w:p>
        </w:tc>
        <w:tc>
          <w:tcPr>
            <w:tcW w:w="323" w:type="pct"/>
            <w:tcBorders>
              <w:bottom w:val="single" w:sz="4" w:space="0" w:color="auto"/>
            </w:tcBorders>
          </w:tcPr>
          <w:p w14:paraId="4AB6565F" w14:textId="77179495" w:rsidR="00B546EC" w:rsidRPr="00AD55AA" w:rsidRDefault="00B546EC" w:rsidP="00B546EC">
            <w:pPr>
              <w:widowControl w:val="0"/>
              <w:autoSpaceDE w:val="0"/>
              <w:autoSpaceDN w:val="0"/>
              <w:adjustRightInd w:val="0"/>
              <w:jc w:val="center"/>
              <w:rPr>
                <w:sz w:val="22"/>
                <w:szCs w:val="22"/>
              </w:rPr>
            </w:pPr>
          </w:p>
        </w:tc>
      </w:tr>
      <w:tr w:rsidR="00B546EC" w:rsidRPr="00AD55AA" w14:paraId="026ED8E9" w14:textId="77777777" w:rsidTr="00377D86">
        <w:tc>
          <w:tcPr>
            <w:tcW w:w="5000" w:type="pct"/>
            <w:gridSpan w:val="3"/>
            <w:tcBorders>
              <w:top w:val="single" w:sz="4" w:space="0" w:color="auto"/>
            </w:tcBorders>
          </w:tcPr>
          <w:p w14:paraId="6C2FD798" w14:textId="5384C321" w:rsidR="00377D86" w:rsidRPr="00AD55AA" w:rsidRDefault="00377D86" w:rsidP="00B546EC">
            <w:pPr>
              <w:widowControl w:val="0"/>
              <w:autoSpaceDE w:val="0"/>
              <w:autoSpaceDN w:val="0"/>
              <w:adjustRightInd w:val="0"/>
              <w:jc w:val="both"/>
              <w:rPr>
                <w:sz w:val="22"/>
                <w:szCs w:val="22"/>
              </w:rPr>
            </w:pPr>
          </w:p>
        </w:tc>
      </w:tr>
      <w:tr w:rsidR="00377D86" w:rsidRPr="00AD55AA" w14:paraId="4E98CAC6" w14:textId="77777777" w:rsidTr="00377D86">
        <w:tc>
          <w:tcPr>
            <w:tcW w:w="5000" w:type="pct"/>
            <w:gridSpan w:val="3"/>
          </w:tcPr>
          <w:p w14:paraId="7DA56ECE" w14:textId="6886032D" w:rsidR="00377D86" w:rsidRPr="00AD55AA" w:rsidRDefault="00377D86" w:rsidP="00B546EC">
            <w:pPr>
              <w:widowControl w:val="0"/>
              <w:autoSpaceDE w:val="0"/>
              <w:autoSpaceDN w:val="0"/>
              <w:adjustRightInd w:val="0"/>
              <w:jc w:val="both"/>
              <w:rPr>
                <w:sz w:val="22"/>
                <w:szCs w:val="22"/>
              </w:rPr>
            </w:pPr>
            <w:r>
              <w:rPr>
                <w:sz w:val="22"/>
                <w:szCs w:val="22"/>
              </w:rPr>
              <w:t>This table</w:t>
            </w:r>
            <w:r w:rsidRPr="00AD55AA">
              <w:rPr>
                <w:sz w:val="22"/>
                <w:szCs w:val="22"/>
              </w:rPr>
              <w:t xml:space="preserve"> </w:t>
            </w:r>
            <w:r>
              <w:rPr>
                <w:sz w:val="22"/>
                <w:szCs w:val="22"/>
              </w:rPr>
              <w:t>presents</w:t>
            </w:r>
            <w:r w:rsidRPr="00AD55AA">
              <w:rPr>
                <w:sz w:val="22"/>
                <w:szCs w:val="22"/>
              </w:rPr>
              <w:t xml:space="preserve"> the steps of the data construction process.</w:t>
            </w:r>
          </w:p>
        </w:tc>
      </w:tr>
    </w:tbl>
    <w:p w14:paraId="71B3878E" w14:textId="063E4C2D" w:rsidR="00862FE0" w:rsidRDefault="00862FE0" w:rsidP="00862FE0">
      <w:pPr>
        <w:spacing w:after="160" w:line="259" w:lineRule="auto"/>
        <w:rPr>
          <w:rStyle w:val="Normal2Car"/>
        </w:rPr>
      </w:pPr>
    </w:p>
    <w:p w14:paraId="1EFCFE77" w14:textId="5A1D0539" w:rsidR="00A31622" w:rsidRDefault="00A31622">
      <w:pPr>
        <w:spacing w:after="160" w:line="259" w:lineRule="auto"/>
        <w:rPr>
          <w:rStyle w:val="Normal2Car"/>
        </w:rPr>
      </w:pPr>
      <w:r>
        <w:rPr>
          <w:rStyle w:val="Normal2Ca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945"/>
        <w:gridCol w:w="2619"/>
        <w:gridCol w:w="2149"/>
        <w:gridCol w:w="1062"/>
        <w:gridCol w:w="975"/>
        <w:gridCol w:w="922"/>
      </w:tblGrid>
      <w:tr w:rsidR="00862FE0" w:rsidRPr="00AD55AA" w14:paraId="1252D7F0" w14:textId="77777777" w:rsidTr="0062126E">
        <w:trPr>
          <w:jc w:val="center"/>
        </w:trPr>
        <w:tc>
          <w:tcPr>
            <w:tcW w:w="0" w:type="auto"/>
            <w:gridSpan w:val="7"/>
            <w:tcBorders>
              <w:top w:val="nil"/>
              <w:left w:val="nil"/>
              <w:bottom w:val="nil"/>
              <w:right w:val="nil"/>
            </w:tcBorders>
          </w:tcPr>
          <w:p w14:paraId="23370F4E" w14:textId="794647DC" w:rsidR="00862FE0" w:rsidRPr="00AD55AA" w:rsidRDefault="00862FE0" w:rsidP="00862FE0">
            <w:pPr>
              <w:widowControl w:val="0"/>
              <w:autoSpaceDE w:val="0"/>
              <w:autoSpaceDN w:val="0"/>
              <w:adjustRightInd w:val="0"/>
              <w:jc w:val="both"/>
              <w:rPr>
                <w:b/>
                <w:bCs/>
                <w:sz w:val="22"/>
                <w:szCs w:val="22"/>
              </w:rPr>
            </w:pPr>
            <w:r w:rsidRPr="00AD55AA">
              <w:rPr>
                <w:b/>
                <w:bCs/>
                <w:sz w:val="22"/>
                <w:szCs w:val="22"/>
              </w:rPr>
              <w:lastRenderedPageBreak/>
              <w:t xml:space="preserve">Table </w:t>
            </w:r>
            <w:r w:rsidR="00377D86">
              <w:rPr>
                <w:b/>
                <w:bCs/>
                <w:sz w:val="22"/>
                <w:szCs w:val="22"/>
              </w:rPr>
              <w:t>1</w:t>
            </w:r>
            <w:r w:rsidRPr="00AD55AA">
              <w:rPr>
                <w:b/>
                <w:bCs/>
                <w:sz w:val="22"/>
                <w:szCs w:val="22"/>
              </w:rPr>
              <w:t xml:space="preserve"> – Panel B</w:t>
            </w:r>
          </w:p>
        </w:tc>
      </w:tr>
      <w:tr w:rsidR="002954BA" w:rsidRPr="00AD55AA" w14:paraId="475513F4" w14:textId="77777777" w:rsidTr="0062126E">
        <w:trPr>
          <w:jc w:val="center"/>
        </w:trPr>
        <w:tc>
          <w:tcPr>
            <w:tcW w:w="0" w:type="auto"/>
            <w:gridSpan w:val="7"/>
            <w:tcBorders>
              <w:top w:val="nil"/>
              <w:left w:val="nil"/>
              <w:bottom w:val="nil"/>
              <w:right w:val="nil"/>
            </w:tcBorders>
          </w:tcPr>
          <w:p w14:paraId="2A4C2C88" w14:textId="20970D97" w:rsidR="002954BA" w:rsidRPr="00AD55AA" w:rsidRDefault="000715AB" w:rsidP="002954BA">
            <w:pPr>
              <w:widowControl w:val="0"/>
              <w:autoSpaceDE w:val="0"/>
              <w:autoSpaceDN w:val="0"/>
              <w:adjustRightInd w:val="0"/>
              <w:jc w:val="both"/>
              <w:rPr>
                <w:b/>
                <w:bCs/>
                <w:sz w:val="22"/>
                <w:szCs w:val="22"/>
              </w:rPr>
            </w:pPr>
            <w:r>
              <w:rPr>
                <w:b/>
                <w:bCs/>
                <w:sz w:val="22"/>
                <w:szCs w:val="22"/>
              </w:rPr>
              <w:t>CFIUS interventions involving listed t</w:t>
            </w:r>
            <w:r w:rsidR="002954BA" w:rsidRPr="00AD55AA">
              <w:rPr>
                <w:b/>
                <w:bCs/>
                <w:sz w:val="22"/>
                <w:szCs w:val="22"/>
              </w:rPr>
              <w:t>argets during FINSA</w:t>
            </w:r>
          </w:p>
        </w:tc>
      </w:tr>
      <w:tr w:rsidR="002954BA" w:rsidRPr="00AD55AA" w14:paraId="1FB1F811" w14:textId="77777777" w:rsidTr="0062126E">
        <w:trPr>
          <w:jc w:val="center"/>
        </w:trPr>
        <w:tc>
          <w:tcPr>
            <w:tcW w:w="0" w:type="auto"/>
            <w:gridSpan w:val="7"/>
            <w:tcBorders>
              <w:top w:val="nil"/>
              <w:left w:val="nil"/>
              <w:bottom w:val="single" w:sz="4" w:space="0" w:color="auto"/>
              <w:right w:val="nil"/>
            </w:tcBorders>
          </w:tcPr>
          <w:p w14:paraId="171F1D41" w14:textId="331C2BCC" w:rsidR="00232632" w:rsidRPr="00232632" w:rsidRDefault="00232632" w:rsidP="000715AB">
            <w:pPr>
              <w:widowControl w:val="0"/>
              <w:autoSpaceDE w:val="0"/>
              <w:autoSpaceDN w:val="0"/>
              <w:adjustRightInd w:val="0"/>
              <w:jc w:val="both"/>
              <w:rPr>
                <w:bCs/>
                <w:sz w:val="22"/>
                <w:szCs w:val="22"/>
              </w:rPr>
            </w:pPr>
          </w:p>
        </w:tc>
      </w:tr>
      <w:tr w:rsidR="00FD035B" w:rsidRPr="00AD55AA" w14:paraId="312F3859" w14:textId="77777777" w:rsidTr="0062126E">
        <w:trPr>
          <w:trHeight w:val="504"/>
          <w:jc w:val="center"/>
        </w:trPr>
        <w:tc>
          <w:tcPr>
            <w:tcW w:w="0" w:type="auto"/>
            <w:tcBorders>
              <w:top w:val="single" w:sz="4" w:space="0" w:color="auto"/>
            </w:tcBorders>
            <w:vAlign w:val="center"/>
          </w:tcPr>
          <w:p w14:paraId="09867986" w14:textId="77777777" w:rsidR="002954BA" w:rsidRPr="00AD55AA" w:rsidRDefault="002954BA" w:rsidP="002954BA">
            <w:pPr>
              <w:widowControl w:val="0"/>
              <w:autoSpaceDE w:val="0"/>
              <w:autoSpaceDN w:val="0"/>
              <w:adjustRightInd w:val="0"/>
              <w:jc w:val="center"/>
              <w:rPr>
                <w:sz w:val="16"/>
                <w:szCs w:val="16"/>
              </w:rPr>
            </w:pPr>
            <w:r w:rsidRPr="00AD55AA">
              <w:rPr>
                <w:b/>
                <w:bCs/>
                <w:sz w:val="16"/>
                <w:szCs w:val="16"/>
              </w:rPr>
              <w:t>ID</w:t>
            </w:r>
          </w:p>
        </w:tc>
        <w:tc>
          <w:tcPr>
            <w:tcW w:w="0" w:type="auto"/>
            <w:tcBorders>
              <w:top w:val="single" w:sz="4" w:space="0" w:color="auto"/>
            </w:tcBorders>
            <w:vAlign w:val="center"/>
          </w:tcPr>
          <w:p w14:paraId="06F0B8E3" w14:textId="1DEB41B9" w:rsidR="002954BA" w:rsidRPr="00AD55AA" w:rsidRDefault="002954BA" w:rsidP="002954BA">
            <w:pPr>
              <w:widowControl w:val="0"/>
              <w:autoSpaceDE w:val="0"/>
              <w:autoSpaceDN w:val="0"/>
              <w:adjustRightInd w:val="0"/>
              <w:jc w:val="center"/>
              <w:rPr>
                <w:sz w:val="16"/>
                <w:szCs w:val="16"/>
              </w:rPr>
            </w:pPr>
            <w:r w:rsidRPr="00AD55AA">
              <w:rPr>
                <w:b/>
                <w:bCs/>
                <w:sz w:val="16"/>
                <w:szCs w:val="16"/>
              </w:rPr>
              <w:t>DATE</w:t>
            </w:r>
          </w:p>
        </w:tc>
        <w:tc>
          <w:tcPr>
            <w:tcW w:w="0" w:type="auto"/>
            <w:tcBorders>
              <w:top w:val="single" w:sz="4" w:space="0" w:color="auto"/>
            </w:tcBorders>
            <w:vAlign w:val="center"/>
          </w:tcPr>
          <w:p w14:paraId="5BF1A093" w14:textId="77777777" w:rsidR="002954BA" w:rsidRPr="00AD55AA" w:rsidRDefault="002954BA" w:rsidP="002954BA">
            <w:pPr>
              <w:widowControl w:val="0"/>
              <w:autoSpaceDE w:val="0"/>
              <w:autoSpaceDN w:val="0"/>
              <w:adjustRightInd w:val="0"/>
              <w:jc w:val="center"/>
              <w:rPr>
                <w:sz w:val="16"/>
                <w:szCs w:val="16"/>
              </w:rPr>
            </w:pPr>
            <w:r w:rsidRPr="00AD55AA">
              <w:rPr>
                <w:b/>
                <w:bCs/>
                <w:sz w:val="16"/>
                <w:szCs w:val="16"/>
              </w:rPr>
              <w:t>BUYER</w:t>
            </w:r>
          </w:p>
        </w:tc>
        <w:tc>
          <w:tcPr>
            <w:tcW w:w="0" w:type="auto"/>
            <w:tcBorders>
              <w:top w:val="single" w:sz="4" w:space="0" w:color="auto"/>
            </w:tcBorders>
            <w:vAlign w:val="center"/>
          </w:tcPr>
          <w:p w14:paraId="5FAA0583" w14:textId="77777777" w:rsidR="002954BA" w:rsidRPr="00AD55AA" w:rsidRDefault="002954BA" w:rsidP="002954BA">
            <w:pPr>
              <w:widowControl w:val="0"/>
              <w:autoSpaceDE w:val="0"/>
              <w:autoSpaceDN w:val="0"/>
              <w:adjustRightInd w:val="0"/>
              <w:jc w:val="center"/>
              <w:rPr>
                <w:sz w:val="16"/>
                <w:szCs w:val="16"/>
              </w:rPr>
            </w:pPr>
            <w:r w:rsidRPr="00AD55AA">
              <w:rPr>
                <w:b/>
                <w:bCs/>
                <w:sz w:val="16"/>
                <w:szCs w:val="16"/>
              </w:rPr>
              <w:t>TARGET</w:t>
            </w:r>
          </w:p>
        </w:tc>
        <w:tc>
          <w:tcPr>
            <w:tcW w:w="0" w:type="auto"/>
            <w:tcBorders>
              <w:top w:val="single" w:sz="4" w:space="0" w:color="auto"/>
            </w:tcBorders>
            <w:vAlign w:val="center"/>
          </w:tcPr>
          <w:p w14:paraId="18A251D4" w14:textId="77777777" w:rsidR="002954BA" w:rsidRPr="00AD55AA" w:rsidRDefault="002954BA" w:rsidP="002954BA">
            <w:pPr>
              <w:widowControl w:val="0"/>
              <w:autoSpaceDE w:val="0"/>
              <w:autoSpaceDN w:val="0"/>
              <w:adjustRightInd w:val="0"/>
              <w:jc w:val="center"/>
              <w:rPr>
                <w:sz w:val="16"/>
                <w:szCs w:val="16"/>
              </w:rPr>
            </w:pPr>
            <w:r w:rsidRPr="00AD55AA">
              <w:rPr>
                <w:b/>
                <w:bCs/>
                <w:sz w:val="16"/>
                <w:szCs w:val="16"/>
              </w:rPr>
              <w:t>GVKEY TARGET</w:t>
            </w:r>
          </w:p>
        </w:tc>
        <w:tc>
          <w:tcPr>
            <w:tcW w:w="0" w:type="auto"/>
            <w:tcBorders>
              <w:top w:val="single" w:sz="4" w:space="0" w:color="auto"/>
            </w:tcBorders>
            <w:vAlign w:val="center"/>
          </w:tcPr>
          <w:p w14:paraId="2629E053" w14:textId="77777777" w:rsidR="002954BA" w:rsidRPr="00AD55AA" w:rsidRDefault="002954BA" w:rsidP="002954BA">
            <w:pPr>
              <w:widowControl w:val="0"/>
              <w:autoSpaceDE w:val="0"/>
              <w:autoSpaceDN w:val="0"/>
              <w:adjustRightInd w:val="0"/>
              <w:jc w:val="center"/>
              <w:rPr>
                <w:sz w:val="16"/>
                <w:szCs w:val="16"/>
              </w:rPr>
            </w:pPr>
            <w:r w:rsidRPr="00AD55AA">
              <w:rPr>
                <w:b/>
                <w:bCs/>
                <w:sz w:val="16"/>
                <w:szCs w:val="16"/>
              </w:rPr>
              <w:t>SIC TARGET</w:t>
            </w:r>
          </w:p>
        </w:tc>
        <w:tc>
          <w:tcPr>
            <w:tcW w:w="0" w:type="auto"/>
            <w:tcBorders>
              <w:top w:val="single" w:sz="4" w:space="0" w:color="auto"/>
            </w:tcBorders>
            <w:vAlign w:val="center"/>
          </w:tcPr>
          <w:p w14:paraId="2F8F8D5F" w14:textId="7C87F77D" w:rsidR="002954BA" w:rsidRPr="00AD55AA" w:rsidRDefault="002954BA" w:rsidP="002954BA">
            <w:pPr>
              <w:widowControl w:val="0"/>
              <w:autoSpaceDE w:val="0"/>
              <w:autoSpaceDN w:val="0"/>
              <w:adjustRightInd w:val="0"/>
              <w:jc w:val="center"/>
              <w:rPr>
                <w:sz w:val="16"/>
                <w:szCs w:val="16"/>
              </w:rPr>
            </w:pPr>
            <w:r w:rsidRPr="00AD55AA">
              <w:rPr>
                <w:b/>
                <w:bCs/>
                <w:sz w:val="16"/>
                <w:szCs w:val="16"/>
              </w:rPr>
              <w:t>VALUE ($ mln)</w:t>
            </w:r>
          </w:p>
        </w:tc>
      </w:tr>
      <w:tr w:rsidR="00FD035B" w:rsidRPr="00AD55AA" w14:paraId="240CEE0E" w14:textId="77777777" w:rsidTr="0062126E">
        <w:trPr>
          <w:trHeight w:val="504"/>
          <w:jc w:val="center"/>
        </w:trPr>
        <w:tc>
          <w:tcPr>
            <w:tcW w:w="0" w:type="auto"/>
            <w:vAlign w:val="center"/>
          </w:tcPr>
          <w:p w14:paraId="7B918911" w14:textId="77777777" w:rsidR="002954BA" w:rsidRPr="00AD55AA" w:rsidRDefault="002954BA" w:rsidP="002954BA">
            <w:pPr>
              <w:widowControl w:val="0"/>
              <w:autoSpaceDE w:val="0"/>
              <w:autoSpaceDN w:val="0"/>
              <w:adjustRightInd w:val="0"/>
              <w:rPr>
                <w:sz w:val="16"/>
                <w:szCs w:val="16"/>
              </w:rPr>
            </w:pPr>
            <w:r w:rsidRPr="00AD55AA">
              <w:rPr>
                <w:sz w:val="16"/>
                <w:szCs w:val="16"/>
              </w:rPr>
              <w:t>1</w:t>
            </w:r>
          </w:p>
        </w:tc>
        <w:tc>
          <w:tcPr>
            <w:tcW w:w="0" w:type="auto"/>
            <w:vAlign w:val="center"/>
          </w:tcPr>
          <w:p w14:paraId="1944501B"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2/21/2008</w:t>
            </w:r>
          </w:p>
        </w:tc>
        <w:tc>
          <w:tcPr>
            <w:tcW w:w="0" w:type="auto"/>
            <w:vAlign w:val="center"/>
          </w:tcPr>
          <w:p w14:paraId="6CC1EA42"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HUAWEI TECHNOLOGIES CO</w:t>
            </w:r>
          </w:p>
        </w:tc>
        <w:tc>
          <w:tcPr>
            <w:tcW w:w="0" w:type="auto"/>
            <w:vAlign w:val="center"/>
          </w:tcPr>
          <w:p w14:paraId="6644C6A2"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3COM CORP</w:t>
            </w:r>
          </w:p>
        </w:tc>
        <w:tc>
          <w:tcPr>
            <w:tcW w:w="0" w:type="auto"/>
            <w:vAlign w:val="center"/>
          </w:tcPr>
          <w:p w14:paraId="77851AFA"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010553</w:t>
            </w:r>
          </w:p>
        </w:tc>
        <w:tc>
          <w:tcPr>
            <w:tcW w:w="0" w:type="auto"/>
            <w:vAlign w:val="center"/>
          </w:tcPr>
          <w:p w14:paraId="4868D8C3"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3576</w:t>
            </w:r>
          </w:p>
        </w:tc>
        <w:tc>
          <w:tcPr>
            <w:tcW w:w="0" w:type="auto"/>
            <w:vAlign w:val="center"/>
          </w:tcPr>
          <w:p w14:paraId="79509910"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2,200</w:t>
            </w:r>
          </w:p>
        </w:tc>
      </w:tr>
      <w:tr w:rsidR="00FD035B" w:rsidRPr="00AD55AA" w14:paraId="6DBC10C2" w14:textId="77777777" w:rsidTr="0062126E">
        <w:trPr>
          <w:trHeight w:val="504"/>
          <w:jc w:val="center"/>
        </w:trPr>
        <w:tc>
          <w:tcPr>
            <w:tcW w:w="0" w:type="auto"/>
            <w:vAlign w:val="center"/>
          </w:tcPr>
          <w:p w14:paraId="1F1550A7" w14:textId="77777777" w:rsidR="002954BA" w:rsidRPr="00AD55AA" w:rsidRDefault="002954BA" w:rsidP="002954BA">
            <w:pPr>
              <w:widowControl w:val="0"/>
              <w:autoSpaceDE w:val="0"/>
              <w:autoSpaceDN w:val="0"/>
              <w:adjustRightInd w:val="0"/>
              <w:rPr>
                <w:sz w:val="16"/>
                <w:szCs w:val="16"/>
              </w:rPr>
            </w:pPr>
            <w:r w:rsidRPr="00AD55AA">
              <w:rPr>
                <w:sz w:val="16"/>
                <w:szCs w:val="16"/>
              </w:rPr>
              <w:t>2</w:t>
            </w:r>
          </w:p>
        </w:tc>
        <w:tc>
          <w:tcPr>
            <w:tcW w:w="0" w:type="auto"/>
            <w:vAlign w:val="center"/>
          </w:tcPr>
          <w:p w14:paraId="0FC3C7AD"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6/24/2010</w:t>
            </w:r>
          </w:p>
        </w:tc>
        <w:tc>
          <w:tcPr>
            <w:tcW w:w="0" w:type="auto"/>
            <w:vAlign w:val="center"/>
          </w:tcPr>
          <w:p w14:paraId="64CFE361"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TANGSHAN CAOFEIDIAN INVESTMENT CORP</w:t>
            </w:r>
          </w:p>
        </w:tc>
        <w:tc>
          <w:tcPr>
            <w:tcW w:w="0" w:type="auto"/>
            <w:vAlign w:val="center"/>
          </w:tcPr>
          <w:p w14:paraId="1652EE89"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EMCORE CORP</w:t>
            </w:r>
          </w:p>
        </w:tc>
        <w:tc>
          <w:tcPr>
            <w:tcW w:w="0" w:type="auto"/>
            <w:vAlign w:val="center"/>
          </w:tcPr>
          <w:p w14:paraId="0695BFA3"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064637</w:t>
            </w:r>
          </w:p>
        </w:tc>
        <w:tc>
          <w:tcPr>
            <w:tcW w:w="0" w:type="auto"/>
            <w:vAlign w:val="center"/>
          </w:tcPr>
          <w:p w14:paraId="39E576BB"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3674</w:t>
            </w:r>
          </w:p>
        </w:tc>
        <w:tc>
          <w:tcPr>
            <w:tcW w:w="0" w:type="auto"/>
            <w:vAlign w:val="center"/>
          </w:tcPr>
          <w:p w14:paraId="3308A559"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28</w:t>
            </w:r>
          </w:p>
        </w:tc>
      </w:tr>
      <w:tr w:rsidR="00FD035B" w:rsidRPr="00AD55AA" w14:paraId="2D40EB87" w14:textId="77777777" w:rsidTr="0062126E">
        <w:trPr>
          <w:trHeight w:val="504"/>
          <w:jc w:val="center"/>
        </w:trPr>
        <w:tc>
          <w:tcPr>
            <w:tcW w:w="0" w:type="auto"/>
            <w:vAlign w:val="center"/>
          </w:tcPr>
          <w:p w14:paraId="62DBE2FA" w14:textId="77777777" w:rsidR="002954BA" w:rsidRPr="00AD55AA" w:rsidRDefault="002954BA" w:rsidP="002954BA">
            <w:pPr>
              <w:widowControl w:val="0"/>
              <w:autoSpaceDE w:val="0"/>
              <w:autoSpaceDN w:val="0"/>
              <w:adjustRightInd w:val="0"/>
              <w:rPr>
                <w:sz w:val="16"/>
                <w:szCs w:val="16"/>
              </w:rPr>
            </w:pPr>
            <w:r w:rsidRPr="00AD55AA">
              <w:rPr>
                <w:sz w:val="16"/>
                <w:szCs w:val="16"/>
              </w:rPr>
              <w:t>3</w:t>
            </w:r>
          </w:p>
        </w:tc>
        <w:tc>
          <w:tcPr>
            <w:tcW w:w="0" w:type="auto"/>
            <w:vAlign w:val="center"/>
          </w:tcPr>
          <w:p w14:paraId="289F7E71"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7/1/2010</w:t>
            </w:r>
          </w:p>
        </w:tc>
        <w:tc>
          <w:tcPr>
            <w:tcW w:w="0" w:type="auto"/>
            <w:vAlign w:val="center"/>
          </w:tcPr>
          <w:p w14:paraId="09C284EE"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HUAWEI TECHNOLOGIES CO</w:t>
            </w:r>
          </w:p>
        </w:tc>
        <w:tc>
          <w:tcPr>
            <w:tcW w:w="0" w:type="auto"/>
            <w:vAlign w:val="center"/>
          </w:tcPr>
          <w:p w14:paraId="067243B4"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MOTOROLA SOLUTIONS INC</w:t>
            </w:r>
          </w:p>
        </w:tc>
        <w:tc>
          <w:tcPr>
            <w:tcW w:w="0" w:type="auto"/>
            <w:vAlign w:val="center"/>
          </w:tcPr>
          <w:p w14:paraId="689C0E6E"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007585</w:t>
            </w:r>
          </w:p>
        </w:tc>
        <w:tc>
          <w:tcPr>
            <w:tcW w:w="0" w:type="auto"/>
            <w:vAlign w:val="center"/>
          </w:tcPr>
          <w:p w14:paraId="45E27B16"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3663</w:t>
            </w:r>
          </w:p>
        </w:tc>
        <w:tc>
          <w:tcPr>
            <w:tcW w:w="0" w:type="auto"/>
            <w:vAlign w:val="center"/>
          </w:tcPr>
          <w:p w14:paraId="1C98CEC4"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16,000</w:t>
            </w:r>
          </w:p>
        </w:tc>
      </w:tr>
      <w:tr w:rsidR="00FD035B" w:rsidRPr="00AD55AA" w14:paraId="3C7811AC" w14:textId="77777777" w:rsidTr="0062126E">
        <w:trPr>
          <w:trHeight w:val="504"/>
          <w:jc w:val="center"/>
        </w:trPr>
        <w:tc>
          <w:tcPr>
            <w:tcW w:w="0" w:type="auto"/>
            <w:vAlign w:val="center"/>
          </w:tcPr>
          <w:p w14:paraId="2E9867F8" w14:textId="77777777" w:rsidR="002954BA" w:rsidRPr="00AD55AA" w:rsidRDefault="002954BA" w:rsidP="002954BA">
            <w:pPr>
              <w:widowControl w:val="0"/>
              <w:autoSpaceDE w:val="0"/>
              <w:autoSpaceDN w:val="0"/>
              <w:adjustRightInd w:val="0"/>
              <w:rPr>
                <w:sz w:val="16"/>
                <w:szCs w:val="16"/>
              </w:rPr>
            </w:pPr>
            <w:r w:rsidRPr="00AD55AA">
              <w:rPr>
                <w:sz w:val="16"/>
                <w:szCs w:val="16"/>
              </w:rPr>
              <w:t>4</w:t>
            </w:r>
          </w:p>
        </w:tc>
        <w:tc>
          <w:tcPr>
            <w:tcW w:w="0" w:type="auto"/>
            <w:vAlign w:val="center"/>
          </w:tcPr>
          <w:p w14:paraId="27D96B57"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10/18/2012</w:t>
            </w:r>
          </w:p>
        </w:tc>
        <w:tc>
          <w:tcPr>
            <w:tcW w:w="0" w:type="auto"/>
            <w:vAlign w:val="center"/>
          </w:tcPr>
          <w:p w14:paraId="5AF79EB4"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SUPERIOR AVIATION BEIJING CO</w:t>
            </w:r>
          </w:p>
        </w:tc>
        <w:tc>
          <w:tcPr>
            <w:tcW w:w="0" w:type="auto"/>
            <w:vAlign w:val="center"/>
          </w:tcPr>
          <w:p w14:paraId="68903EC6"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HAWKER BEECHCRAFT INC</w:t>
            </w:r>
          </w:p>
        </w:tc>
        <w:tc>
          <w:tcPr>
            <w:tcW w:w="0" w:type="auto"/>
            <w:vAlign w:val="center"/>
          </w:tcPr>
          <w:p w14:paraId="00C5148A"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186559</w:t>
            </w:r>
          </w:p>
        </w:tc>
        <w:tc>
          <w:tcPr>
            <w:tcW w:w="0" w:type="auto"/>
            <w:vAlign w:val="center"/>
          </w:tcPr>
          <w:p w14:paraId="23B1A71C"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3720</w:t>
            </w:r>
          </w:p>
        </w:tc>
        <w:tc>
          <w:tcPr>
            <w:tcW w:w="0" w:type="auto"/>
            <w:vAlign w:val="center"/>
          </w:tcPr>
          <w:p w14:paraId="7164A0C1" w14:textId="77777777" w:rsidR="002954BA" w:rsidRPr="00AD55AA" w:rsidRDefault="002954BA" w:rsidP="002954BA">
            <w:pPr>
              <w:widowControl w:val="0"/>
              <w:autoSpaceDE w:val="0"/>
              <w:autoSpaceDN w:val="0"/>
              <w:adjustRightInd w:val="0"/>
              <w:jc w:val="center"/>
              <w:rPr>
                <w:sz w:val="16"/>
                <w:szCs w:val="16"/>
              </w:rPr>
            </w:pPr>
            <w:r w:rsidRPr="00AD55AA">
              <w:rPr>
                <w:sz w:val="16"/>
                <w:szCs w:val="16"/>
              </w:rPr>
              <w:t>1,800</w:t>
            </w:r>
          </w:p>
        </w:tc>
      </w:tr>
      <w:tr w:rsidR="006901B3" w:rsidRPr="00AD55AA" w14:paraId="25A2E670" w14:textId="77777777" w:rsidTr="0062126E">
        <w:trPr>
          <w:trHeight w:val="504"/>
          <w:jc w:val="center"/>
        </w:trPr>
        <w:tc>
          <w:tcPr>
            <w:tcW w:w="0" w:type="auto"/>
            <w:vAlign w:val="center"/>
          </w:tcPr>
          <w:p w14:paraId="2498AB33" w14:textId="087E9A6B" w:rsidR="006901B3" w:rsidRPr="00AD55AA" w:rsidRDefault="006901B3" w:rsidP="006901B3">
            <w:pPr>
              <w:widowControl w:val="0"/>
              <w:autoSpaceDE w:val="0"/>
              <w:autoSpaceDN w:val="0"/>
              <w:adjustRightInd w:val="0"/>
              <w:rPr>
                <w:sz w:val="16"/>
                <w:szCs w:val="16"/>
              </w:rPr>
            </w:pPr>
            <w:r w:rsidRPr="00AD55AA">
              <w:rPr>
                <w:sz w:val="16"/>
                <w:szCs w:val="16"/>
              </w:rPr>
              <w:t>5</w:t>
            </w:r>
          </w:p>
        </w:tc>
        <w:tc>
          <w:tcPr>
            <w:tcW w:w="0" w:type="auto"/>
            <w:vAlign w:val="center"/>
          </w:tcPr>
          <w:p w14:paraId="0FEC85F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2/16/2016</w:t>
            </w:r>
          </w:p>
        </w:tc>
        <w:tc>
          <w:tcPr>
            <w:tcW w:w="0" w:type="auto"/>
            <w:vAlign w:val="center"/>
          </w:tcPr>
          <w:p w14:paraId="7FDD192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CHINA RESOURCES MICROELECTRONICS LTD</w:t>
            </w:r>
          </w:p>
        </w:tc>
        <w:tc>
          <w:tcPr>
            <w:tcW w:w="0" w:type="auto"/>
            <w:vAlign w:val="center"/>
          </w:tcPr>
          <w:p w14:paraId="601B73CA"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FAIRCHILD SEMICONDUCTOR INC</w:t>
            </w:r>
          </w:p>
        </w:tc>
        <w:tc>
          <w:tcPr>
            <w:tcW w:w="0" w:type="auto"/>
            <w:vAlign w:val="center"/>
          </w:tcPr>
          <w:p w14:paraId="1835FF40"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134932</w:t>
            </w:r>
          </w:p>
        </w:tc>
        <w:tc>
          <w:tcPr>
            <w:tcW w:w="0" w:type="auto"/>
            <w:vAlign w:val="center"/>
          </w:tcPr>
          <w:p w14:paraId="6A8DFF2F"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3674</w:t>
            </w:r>
          </w:p>
        </w:tc>
        <w:tc>
          <w:tcPr>
            <w:tcW w:w="0" w:type="auto"/>
            <w:vAlign w:val="center"/>
          </w:tcPr>
          <w:p w14:paraId="64838C1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2,460</w:t>
            </w:r>
          </w:p>
        </w:tc>
      </w:tr>
      <w:tr w:rsidR="006901B3" w:rsidRPr="00AD55AA" w14:paraId="1A45FCF7" w14:textId="77777777" w:rsidTr="0062126E">
        <w:trPr>
          <w:trHeight w:val="504"/>
          <w:jc w:val="center"/>
        </w:trPr>
        <w:tc>
          <w:tcPr>
            <w:tcW w:w="0" w:type="auto"/>
            <w:vAlign w:val="center"/>
          </w:tcPr>
          <w:p w14:paraId="756F2F79" w14:textId="7BF6BDC7" w:rsidR="006901B3" w:rsidRPr="00AD55AA" w:rsidRDefault="006901B3" w:rsidP="006901B3">
            <w:pPr>
              <w:widowControl w:val="0"/>
              <w:autoSpaceDE w:val="0"/>
              <w:autoSpaceDN w:val="0"/>
              <w:adjustRightInd w:val="0"/>
              <w:rPr>
                <w:sz w:val="16"/>
                <w:szCs w:val="16"/>
              </w:rPr>
            </w:pPr>
            <w:r w:rsidRPr="00AD55AA">
              <w:rPr>
                <w:sz w:val="16"/>
                <w:szCs w:val="16"/>
              </w:rPr>
              <w:t>6</w:t>
            </w:r>
          </w:p>
        </w:tc>
        <w:tc>
          <w:tcPr>
            <w:tcW w:w="0" w:type="auto"/>
            <w:vAlign w:val="center"/>
          </w:tcPr>
          <w:p w14:paraId="457D3E8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2/23/2016</w:t>
            </w:r>
          </w:p>
        </w:tc>
        <w:tc>
          <w:tcPr>
            <w:tcW w:w="0" w:type="auto"/>
            <w:vAlign w:val="center"/>
          </w:tcPr>
          <w:p w14:paraId="70D4876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UNISPLENDOUR CORPORATION</w:t>
            </w:r>
          </w:p>
        </w:tc>
        <w:tc>
          <w:tcPr>
            <w:tcW w:w="0" w:type="auto"/>
            <w:vAlign w:val="center"/>
          </w:tcPr>
          <w:p w14:paraId="245B436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WESTERN DIGITAL CORP</w:t>
            </w:r>
          </w:p>
        </w:tc>
        <w:tc>
          <w:tcPr>
            <w:tcW w:w="0" w:type="auto"/>
            <w:vAlign w:val="center"/>
          </w:tcPr>
          <w:p w14:paraId="5C3576E5"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011399</w:t>
            </w:r>
          </w:p>
        </w:tc>
        <w:tc>
          <w:tcPr>
            <w:tcW w:w="0" w:type="auto"/>
            <w:vAlign w:val="center"/>
          </w:tcPr>
          <w:p w14:paraId="0A1F1D0A"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3572</w:t>
            </w:r>
          </w:p>
        </w:tc>
        <w:tc>
          <w:tcPr>
            <w:tcW w:w="0" w:type="auto"/>
            <w:vAlign w:val="center"/>
          </w:tcPr>
          <w:p w14:paraId="66A9C70C"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3,780</w:t>
            </w:r>
          </w:p>
        </w:tc>
      </w:tr>
      <w:tr w:rsidR="006901B3" w:rsidRPr="00AD55AA" w14:paraId="703E6BD4" w14:textId="77777777" w:rsidTr="0062126E">
        <w:trPr>
          <w:trHeight w:val="504"/>
          <w:jc w:val="center"/>
        </w:trPr>
        <w:tc>
          <w:tcPr>
            <w:tcW w:w="0" w:type="auto"/>
            <w:vAlign w:val="center"/>
          </w:tcPr>
          <w:p w14:paraId="0A064EE6" w14:textId="43DB835D" w:rsidR="006901B3" w:rsidRPr="00AD55AA" w:rsidRDefault="006901B3" w:rsidP="006901B3">
            <w:pPr>
              <w:widowControl w:val="0"/>
              <w:autoSpaceDE w:val="0"/>
              <w:autoSpaceDN w:val="0"/>
              <w:adjustRightInd w:val="0"/>
              <w:rPr>
                <w:sz w:val="16"/>
                <w:szCs w:val="16"/>
              </w:rPr>
            </w:pPr>
            <w:r w:rsidRPr="00AD55AA">
              <w:rPr>
                <w:sz w:val="16"/>
                <w:szCs w:val="16"/>
              </w:rPr>
              <w:t>7</w:t>
            </w:r>
          </w:p>
        </w:tc>
        <w:tc>
          <w:tcPr>
            <w:tcW w:w="0" w:type="auto"/>
            <w:vAlign w:val="center"/>
          </w:tcPr>
          <w:p w14:paraId="2F0D85C1"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3/28/2016</w:t>
            </w:r>
          </w:p>
        </w:tc>
        <w:tc>
          <w:tcPr>
            <w:tcW w:w="0" w:type="auto"/>
            <w:vAlign w:val="center"/>
          </w:tcPr>
          <w:p w14:paraId="34D0F96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ORIGIN TECHNOLOGIES CORP</w:t>
            </w:r>
          </w:p>
        </w:tc>
        <w:tc>
          <w:tcPr>
            <w:tcW w:w="0" w:type="auto"/>
            <w:vAlign w:val="center"/>
          </w:tcPr>
          <w:p w14:paraId="4FFDD344"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AFFYMETRIX INC</w:t>
            </w:r>
          </w:p>
        </w:tc>
        <w:tc>
          <w:tcPr>
            <w:tcW w:w="0" w:type="auto"/>
            <w:vAlign w:val="center"/>
          </w:tcPr>
          <w:p w14:paraId="579EBD8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010530</w:t>
            </w:r>
          </w:p>
        </w:tc>
        <w:tc>
          <w:tcPr>
            <w:tcW w:w="0" w:type="auto"/>
            <w:vAlign w:val="center"/>
          </w:tcPr>
          <w:p w14:paraId="7FD9DE79"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3826</w:t>
            </w:r>
          </w:p>
        </w:tc>
        <w:tc>
          <w:tcPr>
            <w:tcW w:w="0" w:type="auto"/>
            <w:vAlign w:val="center"/>
          </w:tcPr>
          <w:p w14:paraId="6438C084"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1,600</w:t>
            </w:r>
          </w:p>
        </w:tc>
      </w:tr>
      <w:tr w:rsidR="006901B3" w:rsidRPr="00AD55AA" w14:paraId="7CFFB5DE" w14:textId="77777777" w:rsidTr="0062126E">
        <w:trPr>
          <w:trHeight w:val="504"/>
          <w:jc w:val="center"/>
        </w:trPr>
        <w:tc>
          <w:tcPr>
            <w:tcW w:w="0" w:type="auto"/>
            <w:vAlign w:val="center"/>
          </w:tcPr>
          <w:p w14:paraId="25BBA917" w14:textId="574B5B3A" w:rsidR="006901B3" w:rsidRPr="00AD55AA" w:rsidRDefault="006901B3" w:rsidP="006901B3">
            <w:pPr>
              <w:widowControl w:val="0"/>
              <w:autoSpaceDE w:val="0"/>
              <w:autoSpaceDN w:val="0"/>
              <w:adjustRightInd w:val="0"/>
              <w:rPr>
                <w:sz w:val="16"/>
                <w:szCs w:val="16"/>
              </w:rPr>
            </w:pPr>
            <w:r w:rsidRPr="00AD55AA">
              <w:rPr>
                <w:sz w:val="16"/>
                <w:szCs w:val="16"/>
              </w:rPr>
              <w:t>8</w:t>
            </w:r>
          </w:p>
        </w:tc>
        <w:tc>
          <w:tcPr>
            <w:tcW w:w="0" w:type="auto"/>
            <w:vAlign w:val="center"/>
          </w:tcPr>
          <w:p w14:paraId="2B52A19C"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5/27/2016</w:t>
            </w:r>
          </w:p>
        </w:tc>
        <w:tc>
          <w:tcPr>
            <w:tcW w:w="0" w:type="auto"/>
            <w:vAlign w:val="center"/>
          </w:tcPr>
          <w:p w14:paraId="1C0EB7BD"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ZOOMLION HEAVY INDUSTRY SCIENCE AND TECHNOLOGY</w:t>
            </w:r>
          </w:p>
        </w:tc>
        <w:tc>
          <w:tcPr>
            <w:tcW w:w="0" w:type="auto"/>
            <w:vAlign w:val="center"/>
          </w:tcPr>
          <w:p w14:paraId="7BAB8DDF"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TEREX CORP</w:t>
            </w:r>
          </w:p>
        </w:tc>
        <w:tc>
          <w:tcPr>
            <w:tcW w:w="0" w:type="auto"/>
            <w:vAlign w:val="center"/>
          </w:tcPr>
          <w:p w14:paraId="7F6E976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007991</w:t>
            </w:r>
          </w:p>
        </w:tc>
        <w:tc>
          <w:tcPr>
            <w:tcW w:w="0" w:type="auto"/>
            <w:vAlign w:val="center"/>
          </w:tcPr>
          <w:p w14:paraId="50B319C4"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3530</w:t>
            </w:r>
          </w:p>
        </w:tc>
        <w:tc>
          <w:tcPr>
            <w:tcW w:w="0" w:type="auto"/>
            <w:vAlign w:val="center"/>
          </w:tcPr>
          <w:p w14:paraId="01F05BD5"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3,400</w:t>
            </w:r>
          </w:p>
        </w:tc>
      </w:tr>
      <w:tr w:rsidR="006901B3" w:rsidRPr="00AD55AA" w14:paraId="53604240" w14:textId="77777777" w:rsidTr="0062126E">
        <w:trPr>
          <w:trHeight w:val="504"/>
          <w:jc w:val="center"/>
        </w:trPr>
        <w:tc>
          <w:tcPr>
            <w:tcW w:w="0" w:type="auto"/>
            <w:vAlign w:val="center"/>
          </w:tcPr>
          <w:p w14:paraId="78F10E64" w14:textId="00F7B51D" w:rsidR="006901B3" w:rsidRPr="00AD55AA" w:rsidRDefault="006901B3" w:rsidP="006901B3">
            <w:pPr>
              <w:widowControl w:val="0"/>
              <w:autoSpaceDE w:val="0"/>
              <w:autoSpaceDN w:val="0"/>
              <w:adjustRightInd w:val="0"/>
              <w:rPr>
                <w:sz w:val="16"/>
                <w:szCs w:val="16"/>
              </w:rPr>
            </w:pPr>
            <w:r w:rsidRPr="00AD55AA">
              <w:rPr>
                <w:sz w:val="16"/>
                <w:szCs w:val="16"/>
              </w:rPr>
              <w:t>9</w:t>
            </w:r>
          </w:p>
        </w:tc>
        <w:tc>
          <w:tcPr>
            <w:tcW w:w="0" w:type="auto"/>
            <w:vAlign w:val="center"/>
          </w:tcPr>
          <w:p w14:paraId="52C21620"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11/5/2016</w:t>
            </w:r>
          </w:p>
        </w:tc>
        <w:tc>
          <w:tcPr>
            <w:tcW w:w="0" w:type="auto"/>
            <w:vAlign w:val="center"/>
          </w:tcPr>
          <w:p w14:paraId="7AD7B6F1"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LEECO GLOBAL HOLDING</w:t>
            </w:r>
          </w:p>
        </w:tc>
        <w:tc>
          <w:tcPr>
            <w:tcW w:w="0" w:type="auto"/>
            <w:vAlign w:val="center"/>
          </w:tcPr>
          <w:p w14:paraId="40923C47"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VIZIO HOLDINGS INC</w:t>
            </w:r>
          </w:p>
        </w:tc>
        <w:tc>
          <w:tcPr>
            <w:tcW w:w="0" w:type="auto"/>
            <w:vAlign w:val="center"/>
          </w:tcPr>
          <w:p w14:paraId="451F4C0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025529</w:t>
            </w:r>
          </w:p>
        </w:tc>
        <w:tc>
          <w:tcPr>
            <w:tcW w:w="0" w:type="auto"/>
            <w:vAlign w:val="center"/>
          </w:tcPr>
          <w:p w14:paraId="5CB4996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3651</w:t>
            </w:r>
          </w:p>
        </w:tc>
        <w:tc>
          <w:tcPr>
            <w:tcW w:w="0" w:type="auto"/>
            <w:vAlign w:val="center"/>
          </w:tcPr>
          <w:p w14:paraId="176D339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2,250</w:t>
            </w:r>
          </w:p>
        </w:tc>
      </w:tr>
      <w:tr w:rsidR="006901B3" w:rsidRPr="00AD55AA" w14:paraId="353387FE" w14:textId="77777777" w:rsidTr="0062126E">
        <w:trPr>
          <w:trHeight w:val="504"/>
          <w:jc w:val="center"/>
        </w:trPr>
        <w:tc>
          <w:tcPr>
            <w:tcW w:w="0" w:type="auto"/>
            <w:vAlign w:val="center"/>
          </w:tcPr>
          <w:p w14:paraId="2EDA85C4" w14:textId="39EBC25F" w:rsidR="006901B3" w:rsidRPr="00AD55AA" w:rsidRDefault="006901B3" w:rsidP="006901B3">
            <w:pPr>
              <w:widowControl w:val="0"/>
              <w:autoSpaceDE w:val="0"/>
              <w:autoSpaceDN w:val="0"/>
              <w:adjustRightInd w:val="0"/>
              <w:rPr>
                <w:sz w:val="16"/>
                <w:szCs w:val="16"/>
              </w:rPr>
            </w:pPr>
            <w:r w:rsidRPr="00AD55AA">
              <w:rPr>
                <w:sz w:val="16"/>
                <w:szCs w:val="16"/>
              </w:rPr>
              <w:t>10</w:t>
            </w:r>
          </w:p>
        </w:tc>
        <w:tc>
          <w:tcPr>
            <w:tcW w:w="0" w:type="auto"/>
            <w:vAlign w:val="center"/>
          </w:tcPr>
          <w:p w14:paraId="104A74F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12/2/2016</w:t>
            </w:r>
          </w:p>
        </w:tc>
        <w:tc>
          <w:tcPr>
            <w:tcW w:w="0" w:type="auto"/>
            <w:vAlign w:val="center"/>
          </w:tcPr>
          <w:p w14:paraId="1376DE0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FUJIAN GRAND CHIP INVESTMENT FUND LP</w:t>
            </w:r>
          </w:p>
        </w:tc>
        <w:tc>
          <w:tcPr>
            <w:tcW w:w="0" w:type="auto"/>
            <w:vAlign w:val="center"/>
          </w:tcPr>
          <w:p w14:paraId="522FD33C"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AIXTRON SE</w:t>
            </w:r>
          </w:p>
        </w:tc>
        <w:tc>
          <w:tcPr>
            <w:tcW w:w="0" w:type="auto"/>
            <w:vAlign w:val="center"/>
          </w:tcPr>
          <w:p w14:paraId="0FC77CD7"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216019</w:t>
            </w:r>
          </w:p>
        </w:tc>
        <w:tc>
          <w:tcPr>
            <w:tcW w:w="0" w:type="auto"/>
            <w:vAlign w:val="center"/>
          </w:tcPr>
          <w:p w14:paraId="730D07FD"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3559</w:t>
            </w:r>
          </w:p>
        </w:tc>
        <w:tc>
          <w:tcPr>
            <w:tcW w:w="0" w:type="auto"/>
            <w:vAlign w:val="center"/>
          </w:tcPr>
          <w:p w14:paraId="55F8647A"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723</w:t>
            </w:r>
          </w:p>
        </w:tc>
      </w:tr>
      <w:tr w:rsidR="006901B3" w:rsidRPr="00AD55AA" w14:paraId="0405A04D" w14:textId="77777777" w:rsidTr="0062126E">
        <w:trPr>
          <w:trHeight w:val="504"/>
          <w:jc w:val="center"/>
        </w:trPr>
        <w:tc>
          <w:tcPr>
            <w:tcW w:w="0" w:type="auto"/>
            <w:vAlign w:val="center"/>
          </w:tcPr>
          <w:p w14:paraId="14F4F5CA" w14:textId="248C9021" w:rsidR="006901B3" w:rsidRPr="00AD55AA" w:rsidRDefault="006901B3" w:rsidP="006901B3">
            <w:pPr>
              <w:widowControl w:val="0"/>
              <w:autoSpaceDE w:val="0"/>
              <w:autoSpaceDN w:val="0"/>
              <w:adjustRightInd w:val="0"/>
              <w:rPr>
                <w:sz w:val="16"/>
                <w:szCs w:val="16"/>
              </w:rPr>
            </w:pPr>
            <w:r w:rsidRPr="00AD55AA">
              <w:rPr>
                <w:sz w:val="16"/>
                <w:szCs w:val="16"/>
              </w:rPr>
              <w:t>11</w:t>
            </w:r>
          </w:p>
        </w:tc>
        <w:tc>
          <w:tcPr>
            <w:tcW w:w="0" w:type="auto"/>
            <w:vAlign w:val="center"/>
          </w:tcPr>
          <w:p w14:paraId="14860A0C"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12/26/2016</w:t>
            </w:r>
          </w:p>
        </w:tc>
        <w:tc>
          <w:tcPr>
            <w:tcW w:w="0" w:type="auto"/>
            <w:vAlign w:val="center"/>
          </w:tcPr>
          <w:p w14:paraId="753C22A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HYBRID KINETIC GROUP LIMITED</w:t>
            </w:r>
          </w:p>
        </w:tc>
        <w:tc>
          <w:tcPr>
            <w:tcW w:w="0" w:type="auto"/>
            <w:vAlign w:val="center"/>
          </w:tcPr>
          <w:p w14:paraId="1F0A7EF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UQM TECHNOLOGIES INC</w:t>
            </w:r>
          </w:p>
        </w:tc>
        <w:tc>
          <w:tcPr>
            <w:tcW w:w="0" w:type="auto"/>
            <w:vAlign w:val="center"/>
          </w:tcPr>
          <w:p w14:paraId="70B6A8C4"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022772</w:t>
            </w:r>
          </w:p>
        </w:tc>
        <w:tc>
          <w:tcPr>
            <w:tcW w:w="0" w:type="auto"/>
            <w:vAlign w:val="center"/>
          </w:tcPr>
          <w:p w14:paraId="2A7566E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3621</w:t>
            </w:r>
          </w:p>
        </w:tc>
        <w:tc>
          <w:tcPr>
            <w:tcW w:w="0" w:type="auto"/>
            <w:vAlign w:val="center"/>
          </w:tcPr>
          <w:p w14:paraId="74F8B35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48</w:t>
            </w:r>
          </w:p>
        </w:tc>
      </w:tr>
      <w:tr w:rsidR="006901B3" w:rsidRPr="00AD55AA" w14:paraId="67B3A10E" w14:textId="77777777" w:rsidTr="0062126E">
        <w:trPr>
          <w:trHeight w:val="504"/>
          <w:jc w:val="center"/>
        </w:trPr>
        <w:tc>
          <w:tcPr>
            <w:tcW w:w="0" w:type="auto"/>
            <w:vAlign w:val="center"/>
          </w:tcPr>
          <w:p w14:paraId="66E34F5C" w14:textId="3F820A38" w:rsidR="006901B3" w:rsidRPr="00AD55AA" w:rsidRDefault="006901B3" w:rsidP="006901B3">
            <w:pPr>
              <w:widowControl w:val="0"/>
              <w:autoSpaceDE w:val="0"/>
              <w:autoSpaceDN w:val="0"/>
              <w:adjustRightInd w:val="0"/>
              <w:rPr>
                <w:sz w:val="16"/>
                <w:szCs w:val="16"/>
              </w:rPr>
            </w:pPr>
            <w:r w:rsidRPr="00AD55AA">
              <w:rPr>
                <w:sz w:val="16"/>
                <w:szCs w:val="16"/>
              </w:rPr>
              <w:t>12</w:t>
            </w:r>
          </w:p>
        </w:tc>
        <w:tc>
          <w:tcPr>
            <w:tcW w:w="0" w:type="auto"/>
            <w:vAlign w:val="center"/>
          </w:tcPr>
          <w:p w14:paraId="39686EC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6/1/2017</w:t>
            </w:r>
          </w:p>
        </w:tc>
        <w:tc>
          <w:tcPr>
            <w:tcW w:w="0" w:type="auto"/>
            <w:vAlign w:val="center"/>
          </w:tcPr>
          <w:p w14:paraId="766E0FB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ONEWEB AND SOFTBANK GROUP CORP</w:t>
            </w:r>
          </w:p>
        </w:tc>
        <w:tc>
          <w:tcPr>
            <w:tcW w:w="0" w:type="auto"/>
            <w:vAlign w:val="center"/>
          </w:tcPr>
          <w:p w14:paraId="775E00B9"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INTELSAT SA</w:t>
            </w:r>
          </w:p>
        </w:tc>
        <w:tc>
          <w:tcPr>
            <w:tcW w:w="0" w:type="auto"/>
            <w:vAlign w:val="center"/>
          </w:tcPr>
          <w:p w14:paraId="6C4EB53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012010</w:t>
            </w:r>
          </w:p>
        </w:tc>
        <w:tc>
          <w:tcPr>
            <w:tcW w:w="0" w:type="auto"/>
            <w:vAlign w:val="center"/>
          </w:tcPr>
          <w:p w14:paraId="228ACA2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4899</w:t>
            </w:r>
          </w:p>
        </w:tc>
        <w:tc>
          <w:tcPr>
            <w:tcW w:w="0" w:type="auto"/>
            <w:vAlign w:val="center"/>
          </w:tcPr>
          <w:p w14:paraId="41795B6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1,700</w:t>
            </w:r>
          </w:p>
        </w:tc>
      </w:tr>
      <w:tr w:rsidR="006901B3" w:rsidRPr="00AD55AA" w14:paraId="4EA1363E" w14:textId="77777777" w:rsidTr="0062126E">
        <w:trPr>
          <w:trHeight w:val="504"/>
          <w:jc w:val="center"/>
        </w:trPr>
        <w:tc>
          <w:tcPr>
            <w:tcW w:w="0" w:type="auto"/>
            <w:vAlign w:val="center"/>
          </w:tcPr>
          <w:p w14:paraId="713689D9" w14:textId="7ACEE413" w:rsidR="006901B3" w:rsidRPr="00AD55AA" w:rsidRDefault="006901B3" w:rsidP="006901B3">
            <w:pPr>
              <w:widowControl w:val="0"/>
              <w:autoSpaceDE w:val="0"/>
              <w:autoSpaceDN w:val="0"/>
              <w:adjustRightInd w:val="0"/>
              <w:rPr>
                <w:sz w:val="16"/>
                <w:szCs w:val="16"/>
              </w:rPr>
            </w:pPr>
            <w:r w:rsidRPr="00AD55AA">
              <w:rPr>
                <w:sz w:val="16"/>
                <w:szCs w:val="16"/>
              </w:rPr>
              <w:t>13</w:t>
            </w:r>
          </w:p>
        </w:tc>
        <w:tc>
          <w:tcPr>
            <w:tcW w:w="0" w:type="auto"/>
            <w:vAlign w:val="center"/>
          </w:tcPr>
          <w:p w14:paraId="54533C0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7/26/2017</w:t>
            </w:r>
          </w:p>
        </w:tc>
        <w:tc>
          <w:tcPr>
            <w:tcW w:w="0" w:type="auto"/>
            <w:vAlign w:val="center"/>
          </w:tcPr>
          <w:p w14:paraId="18328521"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BEIJING SHARECO TECHNOLOGIES CO</w:t>
            </w:r>
          </w:p>
        </w:tc>
        <w:tc>
          <w:tcPr>
            <w:tcW w:w="0" w:type="auto"/>
            <w:vAlign w:val="center"/>
          </w:tcPr>
          <w:p w14:paraId="6529F96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GLOBAL EAGLE ENTERTAINMENT INC</w:t>
            </w:r>
          </w:p>
        </w:tc>
        <w:tc>
          <w:tcPr>
            <w:tcW w:w="0" w:type="auto"/>
            <w:vAlign w:val="center"/>
          </w:tcPr>
          <w:p w14:paraId="16511FDD"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187215</w:t>
            </w:r>
          </w:p>
        </w:tc>
        <w:tc>
          <w:tcPr>
            <w:tcW w:w="0" w:type="auto"/>
            <w:vAlign w:val="center"/>
          </w:tcPr>
          <w:p w14:paraId="41400D0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4899</w:t>
            </w:r>
          </w:p>
        </w:tc>
        <w:tc>
          <w:tcPr>
            <w:tcW w:w="0" w:type="auto"/>
            <w:vAlign w:val="center"/>
          </w:tcPr>
          <w:p w14:paraId="51413BD5"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416</w:t>
            </w:r>
          </w:p>
        </w:tc>
      </w:tr>
      <w:tr w:rsidR="006901B3" w:rsidRPr="00AD55AA" w14:paraId="66C0182F" w14:textId="77777777" w:rsidTr="0062126E">
        <w:trPr>
          <w:trHeight w:val="504"/>
          <w:jc w:val="center"/>
        </w:trPr>
        <w:tc>
          <w:tcPr>
            <w:tcW w:w="0" w:type="auto"/>
            <w:vAlign w:val="center"/>
          </w:tcPr>
          <w:p w14:paraId="19AAB687" w14:textId="6E10B605" w:rsidR="006901B3" w:rsidRPr="00AD55AA" w:rsidRDefault="006901B3" w:rsidP="006901B3">
            <w:pPr>
              <w:widowControl w:val="0"/>
              <w:autoSpaceDE w:val="0"/>
              <w:autoSpaceDN w:val="0"/>
              <w:adjustRightInd w:val="0"/>
              <w:rPr>
                <w:sz w:val="16"/>
                <w:szCs w:val="16"/>
              </w:rPr>
            </w:pPr>
            <w:r w:rsidRPr="00AD55AA">
              <w:rPr>
                <w:sz w:val="16"/>
                <w:szCs w:val="16"/>
              </w:rPr>
              <w:t>14</w:t>
            </w:r>
          </w:p>
        </w:tc>
        <w:tc>
          <w:tcPr>
            <w:tcW w:w="0" w:type="auto"/>
            <w:vAlign w:val="center"/>
          </w:tcPr>
          <w:p w14:paraId="45290FE4"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8/4/2017</w:t>
            </w:r>
          </w:p>
        </w:tc>
        <w:tc>
          <w:tcPr>
            <w:tcW w:w="0" w:type="auto"/>
            <w:vAlign w:val="center"/>
          </w:tcPr>
          <w:p w14:paraId="5353762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SDIC FUND MANAGEMENT CO</w:t>
            </w:r>
          </w:p>
        </w:tc>
        <w:tc>
          <w:tcPr>
            <w:tcW w:w="0" w:type="auto"/>
            <w:vAlign w:val="center"/>
          </w:tcPr>
          <w:p w14:paraId="43E92F61"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MAXWELL TECHNOLOGIES INC</w:t>
            </w:r>
          </w:p>
        </w:tc>
        <w:tc>
          <w:tcPr>
            <w:tcW w:w="0" w:type="auto"/>
            <w:vAlign w:val="center"/>
          </w:tcPr>
          <w:p w14:paraId="63CB7B5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007124</w:t>
            </w:r>
          </w:p>
        </w:tc>
        <w:tc>
          <w:tcPr>
            <w:tcW w:w="0" w:type="auto"/>
            <w:vAlign w:val="center"/>
          </w:tcPr>
          <w:p w14:paraId="1046E5E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3612</w:t>
            </w:r>
          </w:p>
        </w:tc>
        <w:tc>
          <w:tcPr>
            <w:tcW w:w="0" w:type="auto"/>
            <w:vAlign w:val="center"/>
          </w:tcPr>
          <w:p w14:paraId="0AEDFAED"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47</w:t>
            </w:r>
          </w:p>
        </w:tc>
      </w:tr>
      <w:tr w:rsidR="006901B3" w:rsidRPr="00AD55AA" w14:paraId="44C2DC73" w14:textId="77777777" w:rsidTr="0062126E">
        <w:trPr>
          <w:trHeight w:val="504"/>
          <w:jc w:val="center"/>
        </w:trPr>
        <w:tc>
          <w:tcPr>
            <w:tcW w:w="0" w:type="auto"/>
            <w:vAlign w:val="center"/>
          </w:tcPr>
          <w:p w14:paraId="726CA4DA" w14:textId="1223C73E" w:rsidR="006901B3" w:rsidRPr="00AD55AA" w:rsidRDefault="006901B3" w:rsidP="006901B3">
            <w:pPr>
              <w:widowControl w:val="0"/>
              <w:autoSpaceDE w:val="0"/>
              <w:autoSpaceDN w:val="0"/>
              <w:adjustRightInd w:val="0"/>
              <w:rPr>
                <w:sz w:val="16"/>
                <w:szCs w:val="16"/>
              </w:rPr>
            </w:pPr>
            <w:r w:rsidRPr="00AD55AA">
              <w:rPr>
                <w:sz w:val="16"/>
                <w:szCs w:val="16"/>
              </w:rPr>
              <w:t>15</w:t>
            </w:r>
          </w:p>
        </w:tc>
        <w:tc>
          <w:tcPr>
            <w:tcW w:w="0" w:type="auto"/>
            <w:vAlign w:val="center"/>
          </w:tcPr>
          <w:p w14:paraId="4CFD40F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9/13/2017</w:t>
            </w:r>
          </w:p>
        </w:tc>
        <w:tc>
          <w:tcPr>
            <w:tcW w:w="0" w:type="auto"/>
            <w:vAlign w:val="center"/>
          </w:tcPr>
          <w:p w14:paraId="2AB25B0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CANYON BRIDGE CAPITAL PARTNERS</w:t>
            </w:r>
          </w:p>
        </w:tc>
        <w:tc>
          <w:tcPr>
            <w:tcW w:w="0" w:type="auto"/>
            <w:vAlign w:val="center"/>
          </w:tcPr>
          <w:p w14:paraId="175A51A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LATTICE SEMICONDUCTOR CORP</w:t>
            </w:r>
          </w:p>
        </w:tc>
        <w:tc>
          <w:tcPr>
            <w:tcW w:w="0" w:type="auto"/>
            <w:vAlign w:val="center"/>
          </w:tcPr>
          <w:p w14:paraId="7EFBBCD9"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016597</w:t>
            </w:r>
          </w:p>
        </w:tc>
        <w:tc>
          <w:tcPr>
            <w:tcW w:w="0" w:type="auto"/>
            <w:vAlign w:val="center"/>
          </w:tcPr>
          <w:p w14:paraId="1A88C5B9"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3674</w:t>
            </w:r>
          </w:p>
        </w:tc>
        <w:tc>
          <w:tcPr>
            <w:tcW w:w="0" w:type="auto"/>
            <w:vAlign w:val="center"/>
          </w:tcPr>
          <w:p w14:paraId="0C160B79"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1,300</w:t>
            </w:r>
          </w:p>
        </w:tc>
      </w:tr>
      <w:tr w:rsidR="006901B3" w:rsidRPr="00AD55AA" w14:paraId="7D2038C0" w14:textId="77777777" w:rsidTr="0062126E">
        <w:trPr>
          <w:trHeight w:val="504"/>
          <w:jc w:val="center"/>
        </w:trPr>
        <w:tc>
          <w:tcPr>
            <w:tcW w:w="0" w:type="auto"/>
            <w:vAlign w:val="center"/>
          </w:tcPr>
          <w:p w14:paraId="02900A2A" w14:textId="019F5EE2" w:rsidR="006901B3" w:rsidRPr="00AD55AA" w:rsidRDefault="006901B3" w:rsidP="006901B3">
            <w:pPr>
              <w:widowControl w:val="0"/>
              <w:autoSpaceDE w:val="0"/>
              <w:autoSpaceDN w:val="0"/>
              <w:adjustRightInd w:val="0"/>
              <w:rPr>
                <w:sz w:val="16"/>
                <w:szCs w:val="16"/>
              </w:rPr>
            </w:pPr>
            <w:r w:rsidRPr="00AD55AA">
              <w:rPr>
                <w:sz w:val="16"/>
                <w:szCs w:val="16"/>
              </w:rPr>
              <w:t>16</w:t>
            </w:r>
          </w:p>
        </w:tc>
        <w:tc>
          <w:tcPr>
            <w:tcW w:w="0" w:type="auto"/>
            <w:vAlign w:val="center"/>
          </w:tcPr>
          <w:p w14:paraId="6AE28D5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10/4/2017</w:t>
            </w:r>
          </w:p>
        </w:tc>
        <w:tc>
          <w:tcPr>
            <w:tcW w:w="0" w:type="auto"/>
            <w:vAlign w:val="center"/>
          </w:tcPr>
          <w:p w14:paraId="10549F7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DRAGON GEM LIMITED AND ABSOLUTE FRONTIER LTD</w:t>
            </w:r>
          </w:p>
        </w:tc>
        <w:tc>
          <w:tcPr>
            <w:tcW w:w="0" w:type="auto"/>
            <w:vAlign w:val="center"/>
          </w:tcPr>
          <w:p w14:paraId="197681CF"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PEDEVCO CORP</w:t>
            </w:r>
          </w:p>
        </w:tc>
        <w:tc>
          <w:tcPr>
            <w:tcW w:w="0" w:type="auto"/>
            <w:vAlign w:val="center"/>
          </w:tcPr>
          <w:p w14:paraId="725E930D"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013460</w:t>
            </w:r>
          </w:p>
        </w:tc>
        <w:tc>
          <w:tcPr>
            <w:tcW w:w="0" w:type="auto"/>
            <w:vAlign w:val="center"/>
          </w:tcPr>
          <w:p w14:paraId="313C440C"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1311</w:t>
            </w:r>
          </w:p>
        </w:tc>
        <w:tc>
          <w:tcPr>
            <w:tcW w:w="0" w:type="auto"/>
            <w:vAlign w:val="center"/>
          </w:tcPr>
          <w:p w14:paraId="700B509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12</w:t>
            </w:r>
          </w:p>
        </w:tc>
      </w:tr>
      <w:tr w:rsidR="006901B3" w:rsidRPr="00AD55AA" w14:paraId="0FC50740" w14:textId="77777777" w:rsidTr="0062126E">
        <w:trPr>
          <w:trHeight w:val="504"/>
          <w:jc w:val="center"/>
        </w:trPr>
        <w:tc>
          <w:tcPr>
            <w:tcW w:w="0" w:type="auto"/>
            <w:vAlign w:val="center"/>
          </w:tcPr>
          <w:p w14:paraId="582E1410" w14:textId="5A07B0E8" w:rsidR="006901B3" w:rsidRPr="00AD55AA" w:rsidRDefault="006901B3" w:rsidP="006901B3">
            <w:pPr>
              <w:widowControl w:val="0"/>
              <w:autoSpaceDE w:val="0"/>
              <w:autoSpaceDN w:val="0"/>
              <w:adjustRightInd w:val="0"/>
              <w:rPr>
                <w:sz w:val="16"/>
                <w:szCs w:val="16"/>
              </w:rPr>
            </w:pPr>
            <w:r w:rsidRPr="00AD55AA">
              <w:rPr>
                <w:sz w:val="16"/>
                <w:szCs w:val="16"/>
              </w:rPr>
              <w:t>17</w:t>
            </w:r>
          </w:p>
        </w:tc>
        <w:tc>
          <w:tcPr>
            <w:tcW w:w="0" w:type="auto"/>
            <w:vAlign w:val="center"/>
          </w:tcPr>
          <w:p w14:paraId="7AC47C75"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11/13/2017</w:t>
            </w:r>
          </w:p>
        </w:tc>
        <w:tc>
          <w:tcPr>
            <w:tcW w:w="0" w:type="auto"/>
            <w:vAlign w:val="center"/>
          </w:tcPr>
          <w:p w14:paraId="5EE77BC1"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ZHONGWANG</w:t>
            </w:r>
          </w:p>
        </w:tc>
        <w:tc>
          <w:tcPr>
            <w:tcW w:w="0" w:type="auto"/>
            <w:vAlign w:val="center"/>
          </w:tcPr>
          <w:p w14:paraId="718380A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ALERIS CORPORATION</w:t>
            </w:r>
          </w:p>
        </w:tc>
        <w:tc>
          <w:tcPr>
            <w:tcW w:w="0" w:type="auto"/>
            <w:vAlign w:val="center"/>
          </w:tcPr>
          <w:p w14:paraId="5CEAF22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013712</w:t>
            </w:r>
          </w:p>
        </w:tc>
        <w:tc>
          <w:tcPr>
            <w:tcW w:w="0" w:type="auto"/>
            <w:vAlign w:val="center"/>
          </w:tcPr>
          <w:p w14:paraId="3C580B8C"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3350</w:t>
            </w:r>
          </w:p>
        </w:tc>
        <w:tc>
          <w:tcPr>
            <w:tcW w:w="0" w:type="auto"/>
            <w:vAlign w:val="center"/>
          </w:tcPr>
          <w:p w14:paraId="18BFC3B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2,330</w:t>
            </w:r>
          </w:p>
        </w:tc>
      </w:tr>
      <w:tr w:rsidR="006901B3" w:rsidRPr="00AD55AA" w14:paraId="42AE04DE" w14:textId="77777777" w:rsidTr="0062126E">
        <w:trPr>
          <w:trHeight w:val="504"/>
          <w:jc w:val="center"/>
        </w:trPr>
        <w:tc>
          <w:tcPr>
            <w:tcW w:w="0" w:type="auto"/>
            <w:vAlign w:val="center"/>
          </w:tcPr>
          <w:p w14:paraId="10CD7926" w14:textId="741AA5F2" w:rsidR="006901B3" w:rsidRPr="00AD55AA" w:rsidRDefault="006901B3" w:rsidP="006901B3">
            <w:pPr>
              <w:widowControl w:val="0"/>
              <w:autoSpaceDE w:val="0"/>
              <w:autoSpaceDN w:val="0"/>
              <w:adjustRightInd w:val="0"/>
              <w:rPr>
                <w:sz w:val="16"/>
                <w:szCs w:val="16"/>
              </w:rPr>
            </w:pPr>
            <w:r w:rsidRPr="00AD55AA">
              <w:rPr>
                <w:sz w:val="16"/>
                <w:szCs w:val="16"/>
              </w:rPr>
              <w:t>18</w:t>
            </w:r>
          </w:p>
        </w:tc>
        <w:tc>
          <w:tcPr>
            <w:tcW w:w="0" w:type="auto"/>
            <w:vAlign w:val="center"/>
          </w:tcPr>
          <w:p w14:paraId="35AD5B1B" w14:textId="5C2DE8EF" w:rsidR="006901B3" w:rsidRPr="00AD55AA" w:rsidRDefault="006901B3" w:rsidP="006901B3">
            <w:pPr>
              <w:widowControl w:val="0"/>
              <w:autoSpaceDE w:val="0"/>
              <w:autoSpaceDN w:val="0"/>
              <w:adjustRightInd w:val="0"/>
              <w:jc w:val="center"/>
              <w:rPr>
                <w:sz w:val="16"/>
                <w:szCs w:val="16"/>
              </w:rPr>
            </w:pPr>
            <w:r>
              <w:rPr>
                <w:sz w:val="16"/>
                <w:szCs w:val="16"/>
              </w:rPr>
              <w:t>01/02/2018</w:t>
            </w:r>
          </w:p>
        </w:tc>
        <w:tc>
          <w:tcPr>
            <w:tcW w:w="0" w:type="auto"/>
            <w:vAlign w:val="center"/>
          </w:tcPr>
          <w:p w14:paraId="568CEC68" w14:textId="32FF24EA" w:rsidR="006901B3" w:rsidRPr="00AD55AA" w:rsidRDefault="006901B3" w:rsidP="006901B3">
            <w:pPr>
              <w:widowControl w:val="0"/>
              <w:autoSpaceDE w:val="0"/>
              <w:autoSpaceDN w:val="0"/>
              <w:adjustRightInd w:val="0"/>
              <w:jc w:val="center"/>
              <w:rPr>
                <w:sz w:val="16"/>
                <w:szCs w:val="16"/>
              </w:rPr>
            </w:pPr>
            <w:r w:rsidRPr="004D61BD">
              <w:rPr>
                <w:sz w:val="16"/>
                <w:szCs w:val="16"/>
              </w:rPr>
              <w:t>A</w:t>
            </w:r>
            <w:r>
              <w:rPr>
                <w:sz w:val="16"/>
                <w:szCs w:val="16"/>
              </w:rPr>
              <w:t>NT FINANCIAL</w:t>
            </w:r>
          </w:p>
        </w:tc>
        <w:tc>
          <w:tcPr>
            <w:tcW w:w="0" w:type="auto"/>
            <w:vAlign w:val="center"/>
          </w:tcPr>
          <w:p w14:paraId="77562433" w14:textId="72ED4DC7" w:rsidR="006901B3" w:rsidRPr="00AD55AA" w:rsidRDefault="006901B3" w:rsidP="006901B3">
            <w:pPr>
              <w:widowControl w:val="0"/>
              <w:autoSpaceDE w:val="0"/>
              <w:autoSpaceDN w:val="0"/>
              <w:adjustRightInd w:val="0"/>
              <w:jc w:val="center"/>
              <w:rPr>
                <w:sz w:val="16"/>
                <w:szCs w:val="16"/>
              </w:rPr>
            </w:pPr>
            <w:r>
              <w:rPr>
                <w:sz w:val="16"/>
                <w:szCs w:val="16"/>
              </w:rPr>
              <w:t>MONEYGRAM INTERNATIONAL INC</w:t>
            </w:r>
          </w:p>
        </w:tc>
        <w:tc>
          <w:tcPr>
            <w:tcW w:w="0" w:type="auto"/>
            <w:vAlign w:val="center"/>
          </w:tcPr>
          <w:p w14:paraId="3EB7B13D" w14:textId="1B6F967C" w:rsidR="006901B3" w:rsidRPr="00AD55AA" w:rsidRDefault="006901B3" w:rsidP="006901B3">
            <w:pPr>
              <w:widowControl w:val="0"/>
              <w:autoSpaceDE w:val="0"/>
              <w:autoSpaceDN w:val="0"/>
              <w:adjustRightInd w:val="0"/>
              <w:jc w:val="center"/>
              <w:rPr>
                <w:sz w:val="16"/>
                <w:szCs w:val="16"/>
              </w:rPr>
            </w:pPr>
            <w:r w:rsidRPr="00232632">
              <w:rPr>
                <w:sz w:val="16"/>
                <w:szCs w:val="16"/>
              </w:rPr>
              <w:t>005342</w:t>
            </w:r>
          </w:p>
        </w:tc>
        <w:tc>
          <w:tcPr>
            <w:tcW w:w="0" w:type="auto"/>
            <w:vAlign w:val="center"/>
          </w:tcPr>
          <w:p w14:paraId="28173C9D" w14:textId="05B4A073" w:rsidR="006901B3" w:rsidRPr="00AD55AA" w:rsidRDefault="006901B3" w:rsidP="006901B3">
            <w:pPr>
              <w:widowControl w:val="0"/>
              <w:autoSpaceDE w:val="0"/>
              <w:autoSpaceDN w:val="0"/>
              <w:adjustRightInd w:val="0"/>
              <w:jc w:val="center"/>
              <w:rPr>
                <w:sz w:val="16"/>
                <w:szCs w:val="16"/>
              </w:rPr>
            </w:pPr>
            <w:r w:rsidRPr="00232632">
              <w:rPr>
                <w:sz w:val="16"/>
                <w:szCs w:val="16"/>
              </w:rPr>
              <w:t>6099</w:t>
            </w:r>
          </w:p>
        </w:tc>
        <w:tc>
          <w:tcPr>
            <w:tcW w:w="0" w:type="auto"/>
            <w:vAlign w:val="center"/>
          </w:tcPr>
          <w:p w14:paraId="1E7D2981" w14:textId="5BE037D5" w:rsidR="006901B3" w:rsidRPr="00AD55AA" w:rsidRDefault="006901B3" w:rsidP="006901B3">
            <w:pPr>
              <w:widowControl w:val="0"/>
              <w:autoSpaceDE w:val="0"/>
              <w:autoSpaceDN w:val="0"/>
              <w:adjustRightInd w:val="0"/>
              <w:jc w:val="center"/>
              <w:rPr>
                <w:sz w:val="16"/>
                <w:szCs w:val="16"/>
              </w:rPr>
            </w:pPr>
            <w:r>
              <w:rPr>
                <w:sz w:val="16"/>
                <w:szCs w:val="16"/>
              </w:rPr>
              <w:t>1,200</w:t>
            </w:r>
          </w:p>
        </w:tc>
      </w:tr>
      <w:tr w:rsidR="006901B3" w:rsidRPr="00AD55AA" w14:paraId="0D8AD9D2" w14:textId="77777777" w:rsidTr="0062126E">
        <w:trPr>
          <w:trHeight w:val="504"/>
          <w:jc w:val="center"/>
        </w:trPr>
        <w:tc>
          <w:tcPr>
            <w:tcW w:w="0" w:type="auto"/>
            <w:vAlign w:val="center"/>
          </w:tcPr>
          <w:p w14:paraId="14B3D0B5" w14:textId="3D5D2F46" w:rsidR="006901B3" w:rsidRPr="00AD55AA" w:rsidRDefault="006901B3" w:rsidP="006901B3">
            <w:pPr>
              <w:widowControl w:val="0"/>
              <w:autoSpaceDE w:val="0"/>
              <w:autoSpaceDN w:val="0"/>
              <w:adjustRightInd w:val="0"/>
              <w:rPr>
                <w:sz w:val="16"/>
                <w:szCs w:val="16"/>
              </w:rPr>
            </w:pPr>
            <w:r>
              <w:rPr>
                <w:sz w:val="16"/>
                <w:szCs w:val="16"/>
              </w:rPr>
              <w:t>19</w:t>
            </w:r>
          </w:p>
        </w:tc>
        <w:tc>
          <w:tcPr>
            <w:tcW w:w="0" w:type="auto"/>
            <w:vAlign w:val="center"/>
          </w:tcPr>
          <w:p w14:paraId="515A7AE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2/20/2018</w:t>
            </w:r>
          </w:p>
        </w:tc>
        <w:tc>
          <w:tcPr>
            <w:tcW w:w="0" w:type="auto"/>
            <w:vAlign w:val="center"/>
          </w:tcPr>
          <w:p w14:paraId="1729F73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BLUEFOCUS INTERNATIONAL LIMITED</w:t>
            </w:r>
          </w:p>
        </w:tc>
        <w:tc>
          <w:tcPr>
            <w:tcW w:w="0" w:type="auto"/>
            <w:vAlign w:val="center"/>
          </w:tcPr>
          <w:p w14:paraId="3FFEBAA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FLUENT INC</w:t>
            </w:r>
          </w:p>
        </w:tc>
        <w:tc>
          <w:tcPr>
            <w:tcW w:w="0" w:type="auto"/>
            <w:vAlign w:val="center"/>
          </w:tcPr>
          <w:p w14:paraId="2A4B43D4"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183799</w:t>
            </w:r>
          </w:p>
        </w:tc>
        <w:tc>
          <w:tcPr>
            <w:tcW w:w="0" w:type="auto"/>
            <w:vAlign w:val="center"/>
          </w:tcPr>
          <w:p w14:paraId="2475E77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8742</w:t>
            </w:r>
          </w:p>
        </w:tc>
        <w:tc>
          <w:tcPr>
            <w:tcW w:w="0" w:type="auto"/>
            <w:vAlign w:val="center"/>
          </w:tcPr>
          <w:p w14:paraId="5A3DBD0F"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100</w:t>
            </w:r>
          </w:p>
        </w:tc>
      </w:tr>
      <w:tr w:rsidR="006901B3" w:rsidRPr="00AD55AA" w14:paraId="6D5BB9C7" w14:textId="77777777" w:rsidTr="0062126E">
        <w:trPr>
          <w:trHeight w:val="504"/>
          <w:jc w:val="center"/>
        </w:trPr>
        <w:tc>
          <w:tcPr>
            <w:tcW w:w="0" w:type="auto"/>
            <w:vAlign w:val="center"/>
          </w:tcPr>
          <w:p w14:paraId="22D2F9F3" w14:textId="3AEB5BBC" w:rsidR="006901B3" w:rsidRPr="00AD55AA" w:rsidRDefault="006901B3" w:rsidP="006901B3">
            <w:pPr>
              <w:widowControl w:val="0"/>
              <w:autoSpaceDE w:val="0"/>
              <w:autoSpaceDN w:val="0"/>
              <w:adjustRightInd w:val="0"/>
              <w:rPr>
                <w:sz w:val="16"/>
                <w:szCs w:val="16"/>
              </w:rPr>
            </w:pPr>
            <w:r w:rsidRPr="00AD55AA">
              <w:rPr>
                <w:sz w:val="16"/>
                <w:szCs w:val="16"/>
              </w:rPr>
              <w:t>20</w:t>
            </w:r>
          </w:p>
        </w:tc>
        <w:tc>
          <w:tcPr>
            <w:tcW w:w="0" w:type="auto"/>
            <w:vAlign w:val="center"/>
          </w:tcPr>
          <w:p w14:paraId="12CB9CA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2/22/2018</w:t>
            </w:r>
          </w:p>
        </w:tc>
        <w:tc>
          <w:tcPr>
            <w:tcW w:w="0" w:type="auto"/>
            <w:vAlign w:val="center"/>
          </w:tcPr>
          <w:p w14:paraId="284536B7"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UNIC CAPITAL MANAGEMENT CO</w:t>
            </w:r>
          </w:p>
        </w:tc>
        <w:tc>
          <w:tcPr>
            <w:tcW w:w="0" w:type="auto"/>
            <w:vAlign w:val="center"/>
          </w:tcPr>
          <w:p w14:paraId="0250DCF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XCERRA CORPORATION</w:t>
            </w:r>
          </w:p>
        </w:tc>
        <w:tc>
          <w:tcPr>
            <w:tcW w:w="0" w:type="auto"/>
            <w:vAlign w:val="center"/>
          </w:tcPr>
          <w:p w14:paraId="733A3C2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003158</w:t>
            </w:r>
          </w:p>
        </w:tc>
        <w:tc>
          <w:tcPr>
            <w:tcW w:w="0" w:type="auto"/>
            <w:vAlign w:val="center"/>
          </w:tcPr>
          <w:p w14:paraId="1C21D1FA"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3825</w:t>
            </w:r>
          </w:p>
        </w:tc>
        <w:tc>
          <w:tcPr>
            <w:tcW w:w="0" w:type="auto"/>
            <w:vAlign w:val="center"/>
          </w:tcPr>
          <w:p w14:paraId="58812455"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580</w:t>
            </w:r>
          </w:p>
        </w:tc>
      </w:tr>
      <w:tr w:rsidR="006901B3" w:rsidRPr="00AD55AA" w14:paraId="5831A65E" w14:textId="77777777" w:rsidTr="0062126E">
        <w:trPr>
          <w:trHeight w:val="504"/>
          <w:jc w:val="center"/>
        </w:trPr>
        <w:tc>
          <w:tcPr>
            <w:tcW w:w="0" w:type="auto"/>
            <w:vAlign w:val="center"/>
          </w:tcPr>
          <w:p w14:paraId="72F2EC85" w14:textId="722B03D3" w:rsidR="006901B3" w:rsidRPr="00AD55AA" w:rsidRDefault="006901B3" w:rsidP="006901B3">
            <w:pPr>
              <w:widowControl w:val="0"/>
              <w:autoSpaceDE w:val="0"/>
              <w:autoSpaceDN w:val="0"/>
              <w:adjustRightInd w:val="0"/>
              <w:rPr>
                <w:sz w:val="16"/>
                <w:szCs w:val="16"/>
              </w:rPr>
            </w:pPr>
            <w:r w:rsidRPr="00AD55AA">
              <w:rPr>
                <w:sz w:val="16"/>
                <w:szCs w:val="16"/>
              </w:rPr>
              <w:t>21</w:t>
            </w:r>
          </w:p>
        </w:tc>
        <w:tc>
          <w:tcPr>
            <w:tcW w:w="0" w:type="auto"/>
            <w:vAlign w:val="center"/>
          </w:tcPr>
          <w:p w14:paraId="6C689370"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3/1/2018</w:t>
            </w:r>
          </w:p>
        </w:tc>
        <w:tc>
          <w:tcPr>
            <w:tcW w:w="0" w:type="auto"/>
            <w:vAlign w:val="center"/>
          </w:tcPr>
          <w:p w14:paraId="02ED29E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JINZI HAM CO LTD</w:t>
            </w:r>
          </w:p>
        </w:tc>
        <w:tc>
          <w:tcPr>
            <w:tcW w:w="0" w:type="auto"/>
            <w:vAlign w:val="center"/>
          </w:tcPr>
          <w:p w14:paraId="5F6D19EB"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NOVABAY PHARMACEUTICALS INC</w:t>
            </w:r>
          </w:p>
        </w:tc>
        <w:tc>
          <w:tcPr>
            <w:tcW w:w="0" w:type="auto"/>
            <w:vAlign w:val="center"/>
          </w:tcPr>
          <w:p w14:paraId="7788438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177228</w:t>
            </w:r>
          </w:p>
        </w:tc>
        <w:tc>
          <w:tcPr>
            <w:tcW w:w="0" w:type="auto"/>
            <w:vAlign w:val="center"/>
          </w:tcPr>
          <w:p w14:paraId="4192BBBA"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2834</w:t>
            </w:r>
          </w:p>
        </w:tc>
        <w:tc>
          <w:tcPr>
            <w:tcW w:w="0" w:type="auto"/>
            <w:vAlign w:val="center"/>
          </w:tcPr>
          <w:p w14:paraId="35389ED2"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27</w:t>
            </w:r>
          </w:p>
        </w:tc>
      </w:tr>
      <w:tr w:rsidR="006901B3" w:rsidRPr="00AD55AA" w14:paraId="4D23AB18" w14:textId="77777777" w:rsidTr="0062126E">
        <w:trPr>
          <w:trHeight w:val="504"/>
          <w:jc w:val="center"/>
        </w:trPr>
        <w:tc>
          <w:tcPr>
            <w:tcW w:w="0" w:type="auto"/>
            <w:tcBorders>
              <w:bottom w:val="single" w:sz="4" w:space="0" w:color="auto"/>
            </w:tcBorders>
            <w:vAlign w:val="center"/>
          </w:tcPr>
          <w:p w14:paraId="03C85A50" w14:textId="773EAF42" w:rsidR="006901B3" w:rsidRPr="00AD55AA" w:rsidRDefault="006901B3" w:rsidP="006901B3">
            <w:pPr>
              <w:widowControl w:val="0"/>
              <w:autoSpaceDE w:val="0"/>
              <w:autoSpaceDN w:val="0"/>
              <w:adjustRightInd w:val="0"/>
              <w:rPr>
                <w:sz w:val="16"/>
                <w:szCs w:val="16"/>
              </w:rPr>
            </w:pPr>
            <w:r w:rsidRPr="00AD55AA">
              <w:rPr>
                <w:sz w:val="16"/>
                <w:szCs w:val="16"/>
              </w:rPr>
              <w:t>22</w:t>
            </w:r>
          </w:p>
        </w:tc>
        <w:tc>
          <w:tcPr>
            <w:tcW w:w="0" w:type="auto"/>
            <w:tcBorders>
              <w:bottom w:val="single" w:sz="4" w:space="0" w:color="auto"/>
            </w:tcBorders>
            <w:vAlign w:val="center"/>
          </w:tcPr>
          <w:p w14:paraId="383D73B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3/12/2018</w:t>
            </w:r>
          </w:p>
        </w:tc>
        <w:tc>
          <w:tcPr>
            <w:tcW w:w="0" w:type="auto"/>
            <w:tcBorders>
              <w:bottom w:val="single" w:sz="4" w:space="0" w:color="auto"/>
            </w:tcBorders>
            <w:vAlign w:val="center"/>
          </w:tcPr>
          <w:p w14:paraId="288C5C31"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BROADCOM LIMITED</w:t>
            </w:r>
          </w:p>
        </w:tc>
        <w:tc>
          <w:tcPr>
            <w:tcW w:w="0" w:type="auto"/>
            <w:tcBorders>
              <w:bottom w:val="single" w:sz="4" w:space="0" w:color="auto"/>
            </w:tcBorders>
            <w:vAlign w:val="center"/>
          </w:tcPr>
          <w:p w14:paraId="2BB98630"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QUALCOMM INC</w:t>
            </w:r>
          </w:p>
        </w:tc>
        <w:tc>
          <w:tcPr>
            <w:tcW w:w="0" w:type="auto"/>
            <w:tcBorders>
              <w:bottom w:val="single" w:sz="4" w:space="0" w:color="auto"/>
            </w:tcBorders>
            <w:vAlign w:val="center"/>
          </w:tcPr>
          <w:p w14:paraId="075DB6BC"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024800</w:t>
            </w:r>
          </w:p>
        </w:tc>
        <w:tc>
          <w:tcPr>
            <w:tcW w:w="0" w:type="auto"/>
            <w:tcBorders>
              <w:bottom w:val="single" w:sz="4" w:space="0" w:color="auto"/>
            </w:tcBorders>
            <w:vAlign w:val="center"/>
          </w:tcPr>
          <w:p w14:paraId="3137EEDD"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3674</w:t>
            </w:r>
          </w:p>
        </w:tc>
        <w:tc>
          <w:tcPr>
            <w:tcW w:w="0" w:type="auto"/>
            <w:tcBorders>
              <w:bottom w:val="single" w:sz="4" w:space="0" w:color="auto"/>
            </w:tcBorders>
            <w:vAlign w:val="center"/>
          </w:tcPr>
          <w:p w14:paraId="49D36056"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117,000</w:t>
            </w:r>
          </w:p>
        </w:tc>
      </w:tr>
      <w:tr w:rsidR="006901B3" w:rsidRPr="00AD55AA" w14:paraId="5F698CB7" w14:textId="77777777" w:rsidTr="0062126E">
        <w:trPr>
          <w:trHeight w:val="504"/>
          <w:jc w:val="center"/>
        </w:trPr>
        <w:tc>
          <w:tcPr>
            <w:tcW w:w="0" w:type="auto"/>
            <w:tcBorders>
              <w:bottom w:val="single" w:sz="4" w:space="0" w:color="auto"/>
            </w:tcBorders>
            <w:vAlign w:val="center"/>
          </w:tcPr>
          <w:p w14:paraId="6C67881D" w14:textId="4F877E64" w:rsidR="006901B3" w:rsidRPr="00AD55AA" w:rsidRDefault="006901B3" w:rsidP="006901B3">
            <w:pPr>
              <w:widowControl w:val="0"/>
              <w:autoSpaceDE w:val="0"/>
              <w:autoSpaceDN w:val="0"/>
              <w:adjustRightInd w:val="0"/>
              <w:rPr>
                <w:sz w:val="16"/>
                <w:szCs w:val="16"/>
              </w:rPr>
            </w:pPr>
            <w:r w:rsidRPr="00AD55AA">
              <w:rPr>
                <w:sz w:val="16"/>
                <w:szCs w:val="16"/>
              </w:rPr>
              <w:t>23</w:t>
            </w:r>
          </w:p>
        </w:tc>
        <w:tc>
          <w:tcPr>
            <w:tcW w:w="0" w:type="auto"/>
            <w:tcBorders>
              <w:bottom w:val="single" w:sz="4" w:space="0" w:color="auto"/>
            </w:tcBorders>
            <w:vAlign w:val="center"/>
          </w:tcPr>
          <w:p w14:paraId="5ADDBCEA"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5/9/2018</w:t>
            </w:r>
          </w:p>
        </w:tc>
        <w:tc>
          <w:tcPr>
            <w:tcW w:w="0" w:type="auto"/>
            <w:tcBorders>
              <w:bottom w:val="single" w:sz="4" w:space="0" w:color="auto"/>
            </w:tcBorders>
            <w:vAlign w:val="center"/>
          </w:tcPr>
          <w:p w14:paraId="07A54AE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CHINA HEAVY DUTY TRUCK GROUP CO</w:t>
            </w:r>
          </w:p>
        </w:tc>
        <w:tc>
          <w:tcPr>
            <w:tcW w:w="0" w:type="auto"/>
            <w:tcBorders>
              <w:bottom w:val="single" w:sz="4" w:space="0" w:color="auto"/>
            </w:tcBorders>
            <w:vAlign w:val="center"/>
          </w:tcPr>
          <w:p w14:paraId="6B3851D8"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UQM TECHNOLOGIES INC</w:t>
            </w:r>
          </w:p>
        </w:tc>
        <w:tc>
          <w:tcPr>
            <w:tcW w:w="0" w:type="auto"/>
            <w:tcBorders>
              <w:bottom w:val="single" w:sz="4" w:space="0" w:color="auto"/>
            </w:tcBorders>
            <w:vAlign w:val="center"/>
          </w:tcPr>
          <w:p w14:paraId="6AA8ACF3"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022772</w:t>
            </w:r>
          </w:p>
        </w:tc>
        <w:tc>
          <w:tcPr>
            <w:tcW w:w="0" w:type="auto"/>
            <w:tcBorders>
              <w:bottom w:val="single" w:sz="4" w:space="0" w:color="auto"/>
            </w:tcBorders>
            <w:vAlign w:val="center"/>
          </w:tcPr>
          <w:p w14:paraId="63FFCC41"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3621</w:t>
            </w:r>
          </w:p>
        </w:tc>
        <w:tc>
          <w:tcPr>
            <w:tcW w:w="0" w:type="auto"/>
            <w:tcBorders>
              <w:bottom w:val="single" w:sz="4" w:space="0" w:color="auto"/>
            </w:tcBorders>
            <w:vAlign w:val="center"/>
          </w:tcPr>
          <w:p w14:paraId="674BBB9E" w14:textId="77777777" w:rsidR="006901B3" w:rsidRPr="00AD55AA" w:rsidRDefault="006901B3" w:rsidP="006901B3">
            <w:pPr>
              <w:widowControl w:val="0"/>
              <w:autoSpaceDE w:val="0"/>
              <w:autoSpaceDN w:val="0"/>
              <w:adjustRightInd w:val="0"/>
              <w:jc w:val="center"/>
              <w:rPr>
                <w:sz w:val="16"/>
                <w:szCs w:val="16"/>
              </w:rPr>
            </w:pPr>
            <w:r w:rsidRPr="00AD55AA">
              <w:rPr>
                <w:sz w:val="16"/>
                <w:szCs w:val="16"/>
              </w:rPr>
              <w:t>29</w:t>
            </w:r>
          </w:p>
        </w:tc>
      </w:tr>
    </w:tbl>
    <w:p w14:paraId="7AA192A1" w14:textId="5B99BF3D" w:rsidR="00A31622" w:rsidRDefault="00A31622">
      <w:pPr>
        <w:spacing w:after="160" w:line="259" w:lineRule="auto"/>
        <w:rPr>
          <w:rStyle w:val="Normal2Car"/>
        </w:rPr>
      </w:pPr>
      <w:r>
        <w:rPr>
          <w:rStyle w:val="Normal2Car"/>
        </w:rPr>
        <w:br w:type="page"/>
      </w:r>
    </w:p>
    <w:p w14:paraId="77396C96" w14:textId="77777777" w:rsidR="00C43D3A" w:rsidRPr="00AD55AA" w:rsidRDefault="00C43D3A" w:rsidP="00862FE0">
      <w:pPr>
        <w:spacing w:after="160" w:line="259" w:lineRule="auto"/>
        <w:rPr>
          <w:rStyle w:val="Normal2Car"/>
        </w:rPr>
      </w:pPr>
    </w:p>
    <w:tbl>
      <w:tblPr>
        <w:tblW w:w="5000" w:type="pct"/>
        <w:jc w:val="center"/>
        <w:tblLook w:val="04A0" w:firstRow="1" w:lastRow="0" w:firstColumn="1" w:lastColumn="0" w:noHBand="0" w:noVBand="1"/>
      </w:tblPr>
      <w:tblGrid>
        <w:gridCol w:w="2096"/>
        <w:gridCol w:w="684"/>
        <w:gridCol w:w="6287"/>
      </w:tblGrid>
      <w:tr w:rsidR="00862FE0" w:rsidRPr="00AD55AA" w14:paraId="316B1AFF" w14:textId="77777777" w:rsidTr="00357B0D">
        <w:trPr>
          <w:jc w:val="center"/>
        </w:trPr>
        <w:tc>
          <w:tcPr>
            <w:tcW w:w="5000" w:type="pct"/>
            <w:gridSpan w:val="3"/>
          </w:tcPr>
          <w:p w14:paraId="13C96D19" w14:textId="09B4E0F2" w:rsidR="00862FE0" w:rsidRPr="00AD55AA" w:rsidRDefault="00862FE0" w:rsidP="00862FE0">
            <w:pPr>
              <w:widowControl w:val="0"/>
              <w:autoSpaceDE w:val="0"/>
              <w:autoSpaceDN w:val="0"/>
              <w:adjustRightInd w:val="0"/>
              <w:jc w:val="both"/>
              <w:rPr>
                <w:b/>
                <w:sz w:val="22"/>
                <w:szCs w:val="22"/>
              </w:rPr>
            </w:pPr>
            <w:r w:rsidRPr="00AD55AA">
              <w:rPr>
                <w:b/>
                <w:bCs/>
                <w:sz w:val="22"/>
                <w:szCs w:val="22"/>
              </w:rPr>
              <w:t xml:space="preserve">Table </w:t>
            </w:r>
            <w:r w:rsidR="00377D86">
              <w:rPr>
                <w:b/>
                <w:bCs/>
                <w:sz w:val="22"/>
                <w:szCs w:val="22"/>
              </w:rPr>
              <w:t>1</w:t>
            </w:r>
            <w:r w:rsidRPr="00AD55AA">
              <w:rPr>
                <w:b/>
                <w:bCs/>
                <w:sz w:val="22"/>
                <w:szCs w:val="22"/>
              </w:rPr>
              <w:t xml:space="preserve"> – Panel C</w:t>
            </w:r>
          </w:p>
        </w:tc>
      </w:tr>
      <w:tr w:rsidR="003C5107" w:rsidRPr="00AD55AA" w14:paraId="4F6EB7EC" w14:textId="77777777" w:rsidTr="00357B0D">
        <w:trPr>
          <w:jc w:val="center"/>
        </w:trPr>
        <w:tc>
          <w:tcPr>
            <w:tcW w:w="5000" w:type="pct"/>
            <w:gridSpan w:val="3"/>
            <w:hideMark/>
          </w:tcPr>
          <w:p w14:paraId="63E47BD0" w14:textId="336A7AAE" w:rsidR="003C5107" w:rsidRPr="00AD55AA" w:rsidRDefault="003C5107" w:rsidP="00862FE0">
            <w:pPr>
              <w:widowControl w:val="0"/>
              <w:autoSpaceDE w:val="0"/>
              <w:autoSpaceDN w:val="0"/>
              <w:adjustRightInd w:val="0"/>
              <w:jc w:val="both"/>
              <w:rPr>
                <w:b/>
                <w:sz w:val="22"/>
                <w:szCs w:val="22"/>
              </w:rPr>
            </w:pPr>
            <w:r w:rsidRPr="00AD55AA">
              <w:rPr>
                <w:b/>
                <w:sz w:val="22"/>
                <w:szCs w:val="22"/>
              </w:rPr>
              <w:t xml:space="preserve">Distribution of CFIUS </w:t>
            </w:r>
            <w:r w:rsidR="0067117A">
              <w:rPr>
                <w:b/>
                <w:sz w:val="22"/>
                <w:szCs w:val="22"/>
              </w:rPr>
              <w:t>i</w:t>
            </w:r>
            <w:r w:rsidR="00995948" w:rsidRPr="00AD55AA">
              <w:rPr>
                <w:b/>
                <w:sz w:val="22"/>
                <w:szCs w:val="22"/>
              </w:rPr>
              <w:t>nterventions</w:t>
            </w:r>
            <w:r w:rsidRPr="00AD55AA">
              <w:rPr>
                <w:b/>
                <w:sz w:val="22"/>
                <w:szCs w:val="22"/>
              </w:rPr>
              <w:t xml:space="preserve"> by </w:t>
            </w:r>
            <w:r w:rsidR="0067117A">
              <w:rPr>
                <w:b/>
                <w:sz w:val="22"/>
                <w:szCs w:val="22"/>
              </w:rPr>
              <w:t>y</w:t>
            </w:r>
            <w:r w:rsidRPr="00AD55AA">
              <w:rPr>
                <w:b/>
                <w:sz w:val="22"/>
                <w:szCs w:val="22"/>
              </w:rPr>
              <w:t>ear</w:t>
            </w:r>
          </w:p>
        </w:tc>
      </w:tr>
      <w:tr w:rsidR="00862FE0" w:rsidRPr="00AD55AA" w14:paraId="0C074A2B" w14:textId="77777777" w:rsidTr="00357B0D">
        <w:trPr>
          <w:jc w:val="center"/>
        </w:trPr>
        <w:tc>
          <w:tcPr>
            <w:tcW w:w="5000" w:type="pct"/>
            <w:gridSpan w:val="3"/>
          </w:tcPr>
          <w:p w14:paraId="7BF5493B" w14:textId="4F162FF3" w:rsidR="00862FE0" w:rsidRPr="00AD55AA" w:rsidRDefault="00862FE0" w:rsidP="000715AB">
            <w:pPr>
              <w:widowControl w:val="0"/>
              <w:autoSpaceDE w:val="0"/>
              <w:autoSpaceDN w:val="0"/>
              <w:adjustRightInd w:val="0"/>
              <w:jc w:val="both"/>
              <w:rPr>
                <w:b/>
                <w:sz w:val="22"/>
                <w:szCs w:val="22"/>
              </w:rPr>
            </w:pPr>
          </w:p>
        </w:tc>
      </w:tr>
      <w:tr w:rsidR="00862FE0" w:rsidRPr="00AD55AA" w14:paraId="24329222" w14:textId="77777777" w:rsidTr="00357B0D">
        <w:trPr>
          <w:jc w:val="center"/>
        </w:trPr>
        <w:tc>
          <w:tcPr>
            <w:tcW w:w="1156" w:type="pct"/>
            <w:tcBorders>
              <w:top w:val="single" w:sz="4" w:space="0" w:color="auto"/>
              <w:left w:val="nil"/>
              <w:bottom w:val="nil"/>
              <w:right w:val="nil"/>
            </w:tcBorders>
          </w:tcPr>
          <w:p w14:paraId="6592BF02" w14:textId="77777777" w:rsidR="003C5107" w:rsidRPr="00AD55AA" w:rsidRDefault="003C5107" w:rsidP="00AB6C46">
            <w:pPr>
              <w:widowControl w:val="0"/>
              <w:autoSpaceDE w:val="0"/>
              <w:autoSpaceDN w:val="0"/>
              <w:adjustRightInd w:val="0"/>
              <w:rPr>
                <w:sz w:val="22"/>
                <w:szCs w:val="22"/>
              </w:rPr>
            </w:pPr>
          </w:p>
        </w:tc>
        <w:tc>
          <w:tcPr>
            <w:tcW w:w="377" w:type="pct"/>
            <w:tcBorders>
              <w:top w:val="single" w:sz="4" w:space="0" w:color="auto"/>
              <w:left w:val="nil"/>
              <w:bottom w:val="nil"/>
              <w:right w:val="nil"/>
            </w:tcBorders>
          </w:tcPr>
          <w:p w14:paraId="49B6AD9B" w14:textId="77777777" w:rsidR="003C5107" w:rsidRPr="00AD55AA" w:rsidRDefault="003C5107" w:rsidP="00AB6C46">
            <w:pPr>
              <w:widowControl w:val="0"/>
              <w:autoSpaceDE w:val="0"/>
              <w:autoSpaceDN w:val="0"/>
              <w:adjustRightInd w:val="0"/>
              <w:jc w:val="center"/>
              <w:rPr>
                <w:sz w:val="22"/>
                <w:szCs w:val="22"/>
              </w:rPr>
            </w:pPr>
          </w:p>
        </w:tc>
        <w:tc>
          <w:tcPr>
            <w:tcW w:w="3467" w:type="pct"/>
            <w:tcBorders>
              <w:top w:val="single" w:sz="4" w:space="0" w:color="auto"/>
              <w:left w:val="nil"/>
              <w:bottom w:val="nil"/>
              <w:right w:val="nil"/>
            </w:tcBorders>
          </w:tcPr>
          <w:p w14:paraId="002EF325" w14:textId="77777777" w:rsidR="003C5107" w:rsidRPr="00AD55AA" w:rsidRDefault="003C5107" w:rsidP="00AB6C46">
            <w:pPr>
              <w:widowControl w:val="0"/>
              <w:autoSpaceDE w:val="0"/>
              <w:autoSpaceDN w:val="0"/>
              <w:adjustRightInd w:val="0"/>
              <w:jc w:val="center"/>
              <w:rPr>
                <w:sz w:val="22"/>
                <w:szCs w:val="22"/>
              </w:rPr>
            </w:pPr>
          </w:p>
        </w:tc>
      </w:tr>
      <w:tr w:rsidR="00862FE0" w:rsidRPr="00AD55AA" w14:paraId="298DBCB5" w14:textId="77777777" w:rsidTr="00357B0D">
        <w:trPr>
          <w:jc w:val="center"/>
        </w:trPr>
        <w:tc>
          <w:tcPr>
            <w:tcW w:w="1156" w:type="pct"/>
            <w:hideMark/>
          </w:tcPr>
          <w:p w14:paraId="431CE4F7" w14:textId="77777777" w:rsidR="00B066A2" w:rsidRPr="00AD55AA" w:rsidRDefault="00B066A2" w:rsidP="00B066A2">
            <w:pPr>
              <w:widowControl w:val="0"/>
              <w:autoSpaceDE w:val="0"/>
              <w:autoSpaceDN w:val="0"/>
              <w:adjustRightInd w:val="0"/>
              <w:rPr>
                <w:sz w:val="22"/>
                <w:szCs w:val="22"/>
              </w:rPr>
            </w:pPr>
            <w:r w:rsidRPr="00AD55AA">
              <w:rPr>
                <w:sz w:val="22"/>
                <w:szCs w:val="22"/>
              </w:rPr>
              <w:t>Year</w:t>
            </w:r>
          </w:p>
        </w:tc>
        <w:tc>
          <w:tcPr>
            <w:tcW w:w="377" w:type="pct"/>
          </w:tcPr>
          <w:p w14:paraId="4688ABF3" w14:textId="02DB7528" w:rsidR="00B066A2" w:rsidRPr="00AD55AA" w:rsidRDefault="00B066A2" w:rsidP="00B066A2">
            <w:pPr>
              <w:widowControl w:val="0"/>
              <w:autoSpaceDE w:val="0"/>
              <w:autoSpaceDN w:val="0"/>
              <w:adjustRightInd w:val="0"/>
              <w:jc w:val="center"/>
              <w:rPr>
                <w:sz w:val="22"/>
                <w:szCs w:val="22"/>
              </w:rPr>
            </w:pPr>
          </w:p>
        </w:tc>
        <w:tc>
          <w:tcPr>
            <w:tcW w:w="3467" w:type="pct"/>
          </w:tcPr>
          <w:p w14:paraId="0439696A" w14:textId="41DD03C2" w:rsidR="00B066A2" w:rsidRPr="00AD55AA" w:rsidRDefault="00862FE0" w:rsidP="00B066A2">
            <w:pPr>
              <w:widowControl w:val="0"/>
              <w:autoSpaceDE w:val="0"/>
              <w:autoSpaceDN w:val="0"/>
              <w:adjustRightInd w:val="0"/>
              <w:jc w:val="center"/>
              <w:rPr>
                <w:sz w:val="22"/>
                <w:szCs w:val="22"/>
              </w:rPr>
            </w:pPr>
            <w:r w:rsidRPr="00AD55AA">
              <w:rPr>
                <w:sz w:val="22"/>
                <w:szCs w:val="22"/>
              </w:rPr>
              <w:t>CFIUS interventions</w:t>
            </w:r>
          </w:p>
        </w:tc>
      </w:tr>
      <w:tr w:rsidR="00862FE0" w:rsidRPr="00AD55AA" w14:paraId="2938B3FF" w14:textId="77777777" w:rsidTr="00357B0D">
        <w:trPr>
          <w:jc w:val="center"/>
        </w:trPr>
        <w:tc>
          <w:tcPr>
            <w:tcW w:w="1156" w:type="pct"/>
            <w:tcBorders>
              <w:top w:val="single" w:sz="4" w:space="0" w:color="auto"/>
              <w:left w:val="nil"/>
              <w:bottom w:val="nil"/>
              <w:right w:val="nil"/>
            </w:tcBorders>
            <w:hideMark/>
          </w:tcPr>
          <w:p w14:paraId="3D8D443F" w14:textId="77777777" w:rsidR="00B066A2" w:rsidRPr="00AD55AA" w:rsidRDefault="00B066A2" w:rsidP="00B066A2">
            <w:pPr>
              <w:widowControl w:val="0"/>
              <w:autoSpaceDE w:val="0"/>
              <w:autoSpaceDN w:val="0"/>
              <w:adjustRightInd w:val="0"/>
              <w:rPr>
                <w:sz w:val="22"/>
                <w:szCs w:val="22"/>
              </w:rPr>
            </w:pPr>
            <w:r w:rsidRPr="00AD55AA">
              <w:rPr>
                <w:sz w:val="22"/>
                <w:szCs w:val="22"/>
              </w:rPr>
              <w:t>2008</w:t>
            </w:r>
          </w:p>
        </w:tc>
        <w:tc>
          <w:tcPr>
            <w:tcW w:w="377" w:type="pct"/>
            <w:tcBorders>
              <w:top w:val="single" w:sz="4" w:space="0" w:color="auto"/>
              <w:left w:val="nil"/>
              <w:bottom w:val="nil"/>
              <w:right w:val="nil"/>
            </w:tcBorders>
          </w:tcPr>
          <w:p w14:paraId="6F7FEC37" w14:textId="382A3F4C" w:rsidR="00B066A2" w:rsidRPr="00AD55AA" w:rsidRDefault="00B066A2" w:rsidP="00B066A2">
            <w:pPr>
              <w:widowControl w:val="0"/>
              <w:autoSpaceDE w:val="0"/>
              <w:autoSpaceDN w:val="0"/>
              <w:adjustRightInd w:val="0"/>
              <w:jc w:val="center"/>
              <w:rPr>
                <w:sz w:val="22"/>
                <w:szCs w:val="22"/>
              </w:rPr>
            </w:pPr>
          </w:p>
        </w:tc>
        <w:tc>
          <w:tcPr>
            <w:tcW w:w="3467" w:type="pct"/>
            <w:tcBorders>
              <w:top w:val="single" w:sz="4" w:space="0" w:color="auto"/>
              <w:left w:val="nil"/>
              <w:bottom w:val="nil"/>
              <w:right w:val="nil"/>
            </w:tcBorders>
          </w:tcPr>
          <w:p w14:paraId="1995F730" w14:textId="0177BECA" w:rsidR="00B066A2" w:rsidRPr="00AD55AA" w:rsidRDefault="00B066A2" w:rsidP="00B066A2">
            <w:pPr>
              <w:widowControl w:val="0"/>
              <w:autoSpaceDE w:val="0"/>
              <w:autoSpaceDN w:val="0"/>
              <w:adjustRightInd w:val="0"/>
              <w:jc w:val="center"/>
              <w:rPr>
                <w:sz w:val="22"/>
                <w:szCs w:val="22"/>
              </w:rPr>
            </w:pPr>
            <w:r w:rsidRPr="00AD55AA">
              <w:rPr>
                <w:sz w:val="22"/>
                <w:szCs w:val="22"/>
              </w:rPr>
              <w:t>1</w:t>
            </w:r>
          </w:p>
        </w:tc>
      </w:tr>
      <w:tr w:rsidR="00862FE0" w:rsidRPr="00AD55AA" w14:paraId="628A597F" w14:textId="77777777" w:rsidTr="00357B0D">
        <w:trPr>
          <w:jc w:val="center"/>
        </w:trPr>
        <w:tc>
          <w:tcPr>
            <w:tcW w:w="1156" w:type="pct"/>
            <w:hideMark/>
          </w:tcPr>
          <w:p w14:paraId="7F5E0304" w14:textId="77777777" w:rsidR="00B066A2" w:rsidRPr="00AD55AA" w:rsidRDefault="00B066A2" w:rsidP="00B066A2">
            <w:pPr>
              <w:widowControl w:val="0"/>
              <w:autoSpaceDE w:val="0"/>
              <w:autoSpaceDN w:val="0"/>
              <w:adjustRightInd w:val="0"/>
              <w:rPr>
                <w:sz w:val="22"/>
                <w:szCs w:val="22"/>
              </w:rPr>
            </w:pPr>
            <w:r w:rsidRPr="00AD55AA">
              <w:rPr>
                <w:sz w:val="22"/>
                <w:szCs w:val="22"/>
              </w:rPr>
              <w:t>2009</w:t>
            </w:r>
          </w:p>
        </w:tc>
        <w:tc>
          <w:tcPr>
            <w:tcW w:w="377" w:type="pct"/>
          </w:tcPr>
          <w:p w14:paraId="54A6B84C" w14:textId="47CB1031" w:rsidR="00B066A2" w:rsidRPr="00AD55AA" w:rsidRDefault="00B066A2" w:rsidP="00B066A2">
            <w:pPr>
              <w:widowControl w:val="0"/>
              <w:autoSpaceDE w:val="0"/>
              <w:autoSpaceDN w:val="0"/>
              <w:adjustRightInd w:val="0"/>
              <w:jc w:val="center"/>
              <w:rPr>
                <w:sz w:val="22"/>
                <w:szCs w:val="22"/>
              </w:rPr>
            </w:pPr>
          </w:p>
        </w:tc>
        <w:tc>
          <w:tcPr>
            <w:tcW w:w="3467" w:type="pct"/>
          </w:tcPr>
          <w:p w14:paraId="1AF92197" w14:textId="69DEF857" w:rsidR="00B066A2" w:rsidRPr="00AD55AA" w:rsidRDefault="00B066A2" w:rsidP="00B066A2">
            <w:pPr>
              <w:widowControl w:val="0"/>
              <w:autoSpaceDE w:val="0"/>
              <w:autoSpaceDN w:val="0"/>
              <w:adjustRightInd w:val="0"/>
              <w:jc w:val="center"/>
              <w:rPr>
                <w:sz w:val="22"/>
                <w:szCs w:val="22"/>
              </w:rPr>
            </w:pPr>
            <w:r w:rsidRPr="00AD55AA">
              <w:rPr>
                <w:sz w:val="22"/>
                <w:szCs w:val="22"/>
              </w:rPr>
              <w:t>-</w:t>
            </w:r>
          </w:p>
        </w:tc>
      </w:tr>
      <w:tr w:rsidR="00862FE0" w:rsidRPr="00AD55AA" w14:paraId="599B5B0E" w14:textId="77777777" w:rsidTr="00357B0D">
        <w:trPr>
          <w:jc w:val="center"/>
        </w:trPr>
        <w:tc>
          <w:tcPr>
            <w:tcW w:w="1156" w:type="pct"/>
            <w:hideMark/>
          </w:tcPr>
          <w:p w14:paraId="70984D74" w14:textId="77777777" w:rsidR="00B066A2" w:rsidRPr="00AD55AA" w:rsidRDefault="00B066A2" w:rsidP="00B066A2">
            <w:pPr>
              <w:widowControl w:val="0"/>
              <w:autoSpaceDE w:val="0"/>
              <w:autoSpaceDN w:val="0"/>
              <w:adjustRightInd w:val="0"/>
              <w:rPr>
                <w:sz w:val="22"/>
                <w:szCs w:val="22"/>
              </w:rPr>
            </w:pPr>
            <w:r w:rsidRPr="00AD55AA">
              <w:rPr>
                <w:sz w:val="22"/>
                <w:szCs w:val="22"/>
              </w:rPr>
              <w:t>2010</w:t>
            </w:r>
          </w:p>
        </w:tc>
        <w:tc>
          <w:tcPr>
            <w:tcW w:w="377" w:type="pct"/>
          </w:tcPr>
          <w:p w14:paraId="1DE03FB2" w14:textId="54390084" w:rsidR="00B066A2" w:rsidRPr="00AD55AA" w:rsidRDefault="00B066A2" w:rsidP="00B066A2">
            <w:pPr>
              <w:widowControl w:val="0"/>
              <w:autoSpaceDE w:val="0"/>
              <w:autoSpaceDN w:val="0"/>
              <w:adjustRightInd w:val="0"/>
              <w:jc w:val="center"/>
              <w:rPr>
                <w:sz w:val="22"/>
                <w:szCs w:val="22"/>
              </w:rPr>
            </w:pPr>
          </w:p>
        </w:tc>
        <w:tc>
          <w:tcPr>
            <w:tcW w:w="3467" w:type="pct"/>
          </w:tcPr>
          <w:p w14:paraId="3EF86083" w14:textId="29EA0938" w:rsidR="00B066A2" w:rsidRPr="00AD55AA" w:rsidRDefault="00B066A2" w:rsidP="00B066A2">
            <w:pPr>
              <w:widowControl w:val="0"/>
              <w:autoSpaceDE w:val="0"/>
              <w:autoSpaceDN w:val="0"/>
              <w:adjustRightInd w:val="0"/>
              <w:jc w:val="center"/>
              <w:rPr>
                <w:sz w:val="22"/>
                <w:szCs w:val="22"/>
              </w:rPr>
            </w:pPr>
            <w:r w:rsidRPr="00AD55AA">
              <w:rPr>
                <w:sz w:val="22"/>
                <w:szCs w:val="22"/>
              </w:rPr>
              <w:t>2</w:t>
            </w:r>
          </w:p>
        </w:tc>
      </w:tr>
      <w:tr w:rsidR="00862FE0" w:rsidRPr="00AD55AA" w14:paraId="1D8F00A9" w14:textId="77777777" w:rsidTr="00357B0D">
        <w:trPr>
          <w:jc w:val="center"/>
        </w:trPr>
        <w:tc>
          <w:tcPr>
            <w:tcW w:w="1156" w:type="pct"/>
            <w:hideMark/>
          </w:tcPr>
          <w:p w14:paraId="3800FD48" w14:textId="77777777" w:rsidR="00B066A2" w:rsidRPr="00AD55AA" w:rsidRDefault="00B066A2" w:rsidP="00B066A2">
            <w:pPr>
              <w:widowControl w:val="0"/>
              <w:autoSpaceDE w:val="0"/>
              <w:autoSpaceDN w:val="0"/>
              <w:adjustRightInd w:val="0"/>
              <w:rPr>
                <w:sz w:val="22"/>
                <w:szCs w:val="22"/>
              </w:rPr>
            </w:pPr>
            <w:r w:rsidRPr="00AD55AA">
              <w:rPr>
                <w:sz w:val="22"/>
                <w:szCs w:val="22"/>
              </w:rPr>
              <w:t>2011</w:t>
            </w:r>
          </w:p>
        </w:tc>
        <w:tc>
          <w:tcPr>
            <w:tcW w:w="377" w:type="pct"/>
          </w:tcPr>
          <w:p w14:paraId="19017ACA" w14:textId="29D5A431" w:rsidR="00B066A2" w:rsidRPr="00AD55AA" w:rsidRDefault="00B066A2" w:rsidP="00B066A2">
            <w:pPr>
              <w:widowControl w:val="0"/>
              <w:autoSpaceDE w:val="0"/>
              <w:autoSpaceDN w:val="0"/>
              <w:adjustRightInd w:val="0"/>
              <w:jc w:val="center"/>
              <w:rPr>
                <w:sz w:val="22"/>
                <w:szCs w:val="22"/>
              </w:rPr>
            </w:pPr>
          </w:p>
        </w:tc>
        <w:tc>
          <w:tcPr>
            <w:tcW w:w="3467" w:type="pct"/>
          </w:tcPr>
          <w:p w14:paraId="68D063BC" w14:textId="12707FD0" w:rsidR="00B066A2" w:rsidRPr="00AD55AA" w:rsidRDefault="00B066A2" w:rsidP="00B066A2">
            <w:pPr>
              <w:widowControl w:val="0"/>
              <w:autoSpaceDE w:val="0"/>
              <w:autoSpaceDN w:val="0"/>
              <w:adjustRightInd w:val="0"/>
              <w:jc w:val="center"/>
              <w:rPr>
                <w:sz w:val="22"/>
                <w:szCs w:val="22"/>
              </w:rPr>
            </w:pPr>
            <w:r w:rsidRPr="00AD55AA">
              <w:rPr>
                <w:sz w:val="22"/>
                <w:szCs w:val="22"/>
              </w:rPr>
              <w:t>-</w:t>
            </w:r>
          </w:p>
        </w:tc>
      </w:tr>
      <w:tr w:rsidR="00862FE0" w:rsidRPr="00AD55AA" w14:paraId="7F51979C" w14:textId="77777777" w:rsidTr="00357B0D">
        <w:trPr>
          <w:jc w:val="center"/>
        </w:trPr>
        <w:tc>
          <w:tcPr>
            <w:tcW w:w="1156" w:type="pct"/>
            <w:hideMark/>
          </w:tcPr>
          <w:p w14:paraId="12191350" w14:textId="77777777" w:rsidR="00B066A2" w:rsidRPr="00AD55AA" w:rsidRDefault="00B066A2" w:rsidP="00B066A2">
            <w:pPr>
              <w:widowControl w:val="0"/>
              <w:autoSpaceDE w:val="0"/>
              <w:autoSpaceDN w:val="0"/>
              <w:adjustRightInd w:val="0"/>
              <w:rPr>
                <w:sz w:val="22"/>
                <w:szCs w:val="22"/>
              </w:rPr>
            </w:pPr>
            <w:r w:rsidRPr="00AD55AA">
              <w:rPr>
                <w:sz w:val="22"/>
                <w:szCs w:val="22"/>
              </w:rPr>
              <w:t>2012</w:t>
            </w:r>
          </w:p>
        </w:tc>
        <w:tc>
          <w:tcPr>
            <w:tcW w:w="377" w:type="pct"/>
          </w:tcPr>
          <w:p w14:paraId="67069537" w14:textId="0408B649" w:rsidR="00B066A2" w:rsidRPr="00AD55AA" w:rsidRDefault="00B066A2" w:rsidP="00B066A2">
            <w:pPr>
              <w:widowControl w:val="0"/>
              <w:autoSpaceDE w:val="0"/>
              <w:autoSpaceDN w:val="0"/>
              <w:adjustRightInd w:val="0"/>
              <w:jc w:val="center"/>
              <w:rPr>
                <w:sz w:val="22"/>
                <w:szCs w:val="22"/>
              </w:rPr>
            </w:pPr>
          </w:p>
        </w:tc>
        <w:tc>
          <w:tcPr>
            <w:tcW w:w="3467" w:type="pct"/>
          </w:tcPr>
          <w:p w14:paraId="02973ED1" w14:textId="00E41992" w:rsidR="00B066A2" w:rsidRPr="00AD55AA" w:rsidRDefault="00B066A2" w:rsidP="00B066A2">
            <w:pPr>
              <w:widowControl w:val="0"/>
              <w:autoSpaceDE w:val="0"/>
              <w:autoSpaceDN w:val="0"/>
              <w:adjustRightInd w:val="0"/>
              <w:jc w:val="center"/>
              <w:rPr>
                <w:sz w:val="22"/>
                <w:szCs w:val="22"/>
              </w:rPr>
            </w:pPr>
            <w:r w:rsidRPr="00AD55AA">
              <w:rPr>
                <w:sz w:val="22"/>
                <w:szCs w:val="22"/>
              </w:rPr>
              <w:t>1</w:t>
            </w:r>
          </w:p>
        </w:tc>
      </w:tr>
      <w:tr w:rsidR="00862FE0" w:rsidRPr="00AD55AA" w14:paraId="203A8C3E" w14:textId="77777777" w:rsidTr="00357B0D">
        <w:trPr>
          <w:jc w:val="center"/>
        </w:trPr>
        <w:tc>
          <w:tcPr>
            <w:tcW w:w="1156" w:type="pct"/>
            <w:hideMark/>
          </w:tcPr>
          <w:p w14:paraId="78324B02" w14:textId="77777777" w:rsidR="00B066A2" w:rsidRPr="00AD55AA" w:rsidRDefault="00B066A2" w:rsidP="00B066A2">
            <w:pPr>
              <w:widowControl w:val="0"/>
              <w:autoSpaceDE w:val="0"/>
              <w:autoSpaceDN w:val="0"/>
              <w:adjustRightInd w:val="0"/>
              <w:rPr>
                <w:sz w:val="22"/>
                <w:szCs w:val="22"/>
              </w:rPr>
            </w:pPr>
            <w:r w:rsidRPr="00AD55AA">
              <w:rPr>
                <w:sz w:val="22"/>
                <w:szCs w:val="22"/>
              </w:rPr>
              <w:t>2013</w:t>
            </w:r>
          </w:p>
        </w:tc>
        <w:tc>
          <w:tcPr>
            <w:tcW w:w="377" w:type="pct"/>
          </w:tcPr>
          <w:p w14:paraId="3C748EED" w14:textId="5D45B0C3" w:rsidR="00B066A2" w:rsidRPr="00AD55AA" w:rsidRDefault="00B066A2" w:rsidP="00B066A2">
            <w:pPr>
              <w:widowControl w:val="0"/>
              <w:autoSpaceDE w:val="0"/>
              <w:autoSpaceDN w:val="0"/>
              <w:adjustRightInd w:val="0"/>
              <w:jc w:val="center"/>
              <w:rPr>
                <w:sz w:val="22"/>
                <w:szCs w:val="22"/>
              </w:rPr>
            </w:pPr>
          </w:p>
        </w:tc>
        <w:tc>
          <w:tcPr>
            <w:tcW w:w="3467" w:type="pct"/>
          </w:tcPr>
          <w:p w14:paraId="5E9BF608" w14:textId="49B5A2B2" w:rsidR="00B066A2" w:rsidRPr="00AD55AA" w:rsidRDefault="00B066A2" w:rsidP="00B066A2">
            <w:pPr>
              <w:widowControl w:val="0"/>
              <w:autoSpaceDE w:val="0"/>
              <w:autoSpaceDN w:val="0"/>
              <w:adjustRightInd w:val="0"/>
              <w:jc w:val="center"/>
              <w:rPr>
                <w:sz w:val="22"/>
                <w:szCs w:val="22"/>
              </w:rPr>
            </w:pPr>
            <w:r w:rsidRPr="00AD55AA">
              <w:rPr>
                <w:sz w:val="22"/>
                <w:szCs w:val="22"/>
              </w:rPr>
              <w:t>-</w:t>
            </w:r>
          </w:p>
        </w:tc>
      </w:tr>
      <w:tr w:rsidR="00862FE0" w:rsidRPr="00AD55AA" w14:paraId="23306713" w14:textId="77777777" w:rsidTr="00357B0D">
        <w:trPr>
          <w:jc w:val="center"/>
        </w:trPr>
        <w:tc>
          <w:tcPr>
            <w:tcW w:w="1156" w:type="pct"/>
            <w:hideMark/>
          </w:tcPr>
          <w:p w14:paraId="0122D941" w14:textId="77777777" w:rsidR="00B066A2" w:rsidRPr="00AD55AA" w:rsidRDefault="00B066A2" w:rsidP="00B066A2">
            <w:pPr>
              <w:widowControl w:val="0"/>
              <w:autoSpaceDE w:val="0"/>
              <w:autoSpaceDN w:val="0"/>
              <w:adjustRightInd w:val="0"/>
              <w:rPr>
                <w:sz w:val="22"/>
                <w:szCs w:val="22"/>
              </w:rPr>
            </w:pPr>
            <w:r w:rsidRPr="00AD55AA">
              <w:rPr>
                <w:sz w:val="22"/>
                <w:szCs w:val="22"/>
              </w:rPr>
              <w:t>2014</w:t>
            </w:r>
          </w:p>
        </w:tc>
        <w:tc>
          <w:tcPr>
            <w:tcW w:w="377" w:type="pct"/>
          </w:tcPr>
          <w:p w14:paraId="30F544F7" w14:textId="559B030D" w:rsidR="00B066A2" w:rsidRPr="00AD55AA" w:rsidRDefault="00B066A2" w:rsidP="00B066A2">
            <w:pPr>
              <w:widowControl w:val="0"/>
              <w:autoSpaceDE w:val="0"/>
              <w:autoSpaceDN w:val="0"/>
              <w:adjustRightInd w:val="0"/>
              <w:jc w:val="center"/>
              <w:rPr>
                <w:sz w:val="22"/>
                <w:szCs w:val="22"/>
              </w:rPr>
            </w:pPr>
          </w:p>
        </w:tc>
        <w:tc>
          <w:tcPr>
            <w:tcW w:w="3467" w:type="pct"/>
          </w:tcPr>
          <w:p w14:paraId="4C6393F8" w14:textId="582F6A65" w:rsidR="00B066A2" w:rsidRPr="00AD55AA" w:rsidRDefault="00B066A2" w:rsidP="00B066A2">
            <w:pPr>
              <w:widowControl w:val="0"/>
              <w:autoSpaceDE w:val="0"/>
              <w:autoSpaceDN w:val="0"/>
              <w:adjustRightInd w:val="0"/>
              <w:jc w:val="center"/>
              <w:rPr>
                <w:sz w:val="22"/>
                <w:szCs w:val="22"/>
              </w:rPr>
            </w:pPr>
            <w:r w:rsidRPr="00AD55AA">
              <w:rPr>
                <w:sz w:val="22"/>
                <w:szCs w:val="22"/>
              </w:rPr>
              <w:t>-</w:t>
            </w:r>
          </w:p>
        </w:tc>
      </w:tr>
      <w:tr w:rsidR="00862FE0" w:rsidRPr="00AD55AA" w14:paraId="7C40495C" w14:textId="77777777" w:rsidTr="00357B0D">
        <w:trPr>
          <w:jc w:val="center"/>
        </w:trPr>
        <w:tc>
          <w:tcPr>
            <w:tcW w:w="1156" w:type="pct"/>
            <w:hideMark/>
          </w:tcPr>
          <w:p w14:paraId="12EF1B1F" w14:textId="77777777" w:rsidR="00B066A2" w:rsidRPr="00AD55AA" w:rsidRDefault="00B066A2" w:rsidP="00B066A2">
            <w:pPr>
              <w:widowControl w:val="0"/>
              <w:autoSpaceDE w:val="0"/>
              <w:autoSpaceDN w:val="0"/>
              <w:adjustRightInd w:val="0"/>
              <w:rPr>
                <w:sz w:val="22"/>
                <w:szCs w:val="22"/>
              </w:rPr>
            </w:pPr>
            <w:r w:rsidRPr="00AD55AA">
              <w:rPr>
                <w:sz w:val="22"/>
                <w:szCs w:val="22"/>
              </w:rPr>
              <w:t>2015</w:t>
            </w:r>
          </w:p>
        </w:tc>
        <w:tc>
          <w:tcPr>
            <w:tcW w:w="377" w:type="pct"/>
          </w:tcPr>
          <w:p w14:paraId="79F03838" w14:textId="36D0FE3D" w:rsidR="00B066A2" w:rsidRPr="00AD55AA" w:rsidRDefault="00B066A2" w:rsidP="00B066A2">
            <w:pPr>
              <w:widowControl w:val="0"/>
              <w:autoSpaceDE w:val="0"/>
              <w:autoSpaceDN w:val="0"/>
              <w:adjustRightInd w:val="0"/>
              <w:jc w:val="center"/>
              <w:rPr>
                <w:sz w:val="22"/>
                <w:szCs w:val="22"/>
              </w:rPr>
            </w:pPr>
          </w:p>
        </w:tc>
        <w:tc>
          <w:tcPr>
            <w:tcW w:w="3467" w:type="pct"/>
          </w:tcPr>
          <w:p w14:paraId="0FA9B2E2" w14:textId="542AC879" w:rsidR="00B066A2" w:rsidRPr="00AD55AA" w:rsidRDefault="006F49F9" w:rsidP="00B066A2">
            <w:pPr>
              <w:widowControl w:val="0"/>
              <w:autoSpaceDE w:val="0"/>
              <w:autoSpaceDN w:val="0"/>
              <w:adjustRightInd w:val="0"/>
              <w:jc w:val="center"/>
              <w:rPr>
                <w:sz w:val="22"/>
                <w:szCs w:val="22"/>
              </w:rPr>
            </w:pPr>
            <w:r w:rsidRPr="00AD55AA">
              <w:rPr>
                <w:sz w:val="22"/>
                <w:szCs w:val="22"/>
              </w:rPr>
              <w:t>-</w:t>
            </w:r>
          </w:p>
        </w:tc>
      </w:tr>
      <w:tr w:rsidR="00862FE0" w:rsidRPr="00AD55AA" w14:paraId="25651E34" w14:textId="77777777" w:rsidTr="00357B0D">
        <w:trPr>
          <w:jc w:val="center"/>
        </w:trPr>
        <w:tc>
          <w:tcPr>
            <w:tcW w:w="1156" w:type="pct"/>
            <w:hideMark/>
          </w:tcPr>
          <w:p w14:paraId="494B56A4" w14:textId="77777777" w:rsidR="00B066A2" w:rsidRPr="00AD55AA" w:rsidRDefault="00B066A2" w:rsidP="00B066A2">
            <w:pPr>
              <w:widowControl w:val="0"/>
              <w:autoSpaceDE w:val="0"/>
              <w:autoSpaceDN w:val="0"/>
              <w:adjustRightInd w:val="0"/>
              <w:rPr>
                <w:sz w:val="22"/>
                <w:szCs w:val="22"/>
              </w:rPr>
            </w:pPr>
            <w:r w:rsidRPr="00AD55AA">
              <w:rPr>
                <w:sz w:val="22"/>
                <w:szCs w:val="22"/>
              </w:rPr>
              <w:t>2016</w:t>
            </w:r>
          </w:p>
        </w:tc>
        <w:tc>
          <w:tcPr>
            <w:tcW w:w="377" w:type="pct"/>
          </w:tcPr>
          <w:p w14:paraId="6A47B41B" w14:textId="0AB62EF3" w:rsidR="00B066A2" w:rsidRPr="00AD55AA" w:rsidRDefault="00B066A2" w:rsidP="00B066A2">
            <w:pPr>
              <w:widowControl w:val="0"/>
              <w:autoSpaceDE w:val="0"/>
              <w:autoSpaceDN w:val="0"/>
              <w:adjustRightInd w:val="0"/>
              <w:jc w:val="center"/>
              <w:rPr>
                <w:sz w:val="22"/>
                <w:szCs w:val="22"/>
              </w:rPr>
            </w:pPr>
          </w:p>
        </w:tc>
        <w:tc>
          <w:tcPr>
            <w:tcW w:w="3467" w:type="pct"/>
          </w:tcPr>
          <w:p w14:paraId="5BD56A8A" w14:textId="708BF4F0" w:rsidR="00B066A2" w:rsidRPr="00AD55AA" w:rsidRDefault="00B066A2" w:rsidP="00B066A2">
            <w:pPr>
              <w:widowControl w:val="0"/>
              <w:autoSpaceDE w:val="0"/>
              <w:autoSpaceDN w:val="0"/>
              <w:adjustRightInd w:val="0"/>
              <w:jc w:val="center"/>
              <w:rPr>
                <w:sz w:val="22"/>
                <w:szCs w:val="22"/>
              </w:rPr>
            </w:pPr>
            <w:r w:rsidRPr="00AD55AA">
              <w:rPr>
                <w:sz w:val="22"/>
                <w:szCs w:val="22"/>
              </w:rPr>
              <w:t>7</w:t>
            </w:r>
          </w:p>
        </w:tc>
      </w:tr>
      <w:tr w:rsidR="00862FE0" w:rsidRPr="00AD55AA" w14:paraId="6017C79C" w14:textId="77777777" w:rsidTr="00357B0D">
        <w:trPr>
          <w:jc w:val="center"/>
        </w:trPr>
        <w:tc>
          <w:tcPr>
            <w:tcW w:w="1156" w:type="pct"/>
            <w:hideMark/>
          </w:tcPr>
          <w:p w14:paraId="33448436" w14:textId="77777777" w:rsidR="00B066A2" w:rsidRPr="00AD55AA" w:rsidRDefault="00B066A2" w:rsidP="00B066A2">
            <w:pPr>
              <w:widowControl w:val="0"/>
              <w:autoSpaceDE w:val="0"/>
              <w:autoSpaceDN w:val="0"/>
              <w:adjustRightInd w:val="0"/>
              <w:rPr>
                <w:sz w:val="22"/>
                <w:szCs w:val="22"/>
              </w:rPr>
            </w:pPr>
            <w:r w:rsidRPr="00AD55AA">
              <w:rPr>
                <w:sz w:val="22"/>
                <w:szCs w:val="22"/>
              </w:rPr>
              <w:t>2017</w:t>
            </w:r>
          </w:p>
        </w:tc>
        <w:tc>
          <w:tcPr>
            <w:tcW w:w="377" w:type="pct"/>
          </w:tcPr>
          <w:p w14:paraId="6690E4DB" w14:textId="0A33CA04" w:rsidR="00B066A2" w:rsidRPr="00AD55AA" w:rsidRDefault="00B066A2" w:rsidP="00B066A2">
            <w:pPr>
              <w:widowControl w:val="0"/>
              <w:autoSpaceDE w:val="0"/>
              <w:autoSpaceDN w:val="0"/>
              <w:adjustRightInd w:val="0"/>
              <w:jc w:val="center"/>
              <w:rPr>
                <w:sz w:val="22"/>
                <w:szCs w:val="22"/>
              </w:rPr>
            </w:pPr>
          </w:p>
        </w:tc>
        <w:tc>
          <w:tcPr>
            <w:tcW w:w="3467" w:type="pct"/>
          </w:tcPr>
          <w:p w14:paraId="5FA88C35" w14:textId="44408A28" w:rsidR="00B066A2" w:rsidRPr="00AD55AA" w:rsidRDefault="00B066A2" w:rsidP="00B066A2">
            <w:pPr>
              <w:widowControl w:val="0"/>
              <w:autoSpaceDE w:val="0"/>
              <w:autoSpaceDN w:val="0"/>
              <w:adjustRightInd w:val="0"/>
              <w:jc w:val="center"/>
              <w:rPr>
                <w:sz w:val="22"/>
                <w:szCs w:val="22"/>
              </w:rPr>
            </w:pPr>
            <w:r w:rsidRPr="00AD55AA">
              <w:rPr>
                <w:sz w:val="22"/>
                <w:szCs w:val="22"/>
              </w:rPr>
              <w:t>6</w:t>
            </w:r>
          </w:p>
        </w:tc>
      </w:tr>
      <w:tr w:rsidR="00862FE0" w:rsidRPr="00AD55AA" w14:paraId="038B7F71" w14:textId="77777777" w:rsidTr="00357B0D">
        <w:trPr>
          <w:jc w:val="center"/>
        </w:trPr>
        <w:tc>
          <w:tcPr>
            <w:tcW w:w="1156" w:type="pct"/>
            <w:hideMark/>
          </w:tcPr>
          <w:p w14:paraId="0B519D44" w14:textId="77777777" w:rsidR="00B066A2" w:rsidRPr="00AD55AA" w:rsidRDefault="00B066A2" w:rsidP="00B066A2">
            <w:pPr>
              <w:widowControl w:val="0"/>
              <w:autoSpaceDE w:val="0"/>
              <w:autoSpaceDN w:val="0"/>
              <w:adjustRightInd w:val="0"/>
              <w:rPr>
                <w:sz w:val="22"/>
                <w:szCs w:val="22"/>
              </w:rPr>
            </w:pPr>
            <w:r w:rsidRPr="00AD55AA">
              <w:rPr>
                <w:sz w:val="22"/>
                <w:szCs w:val="22"/>
              </w:rPr>
              <w:t>2018</w:t>
            </w:r>
          </w:p>
        </w:tc>
        <w:tc>
          <w:tcPr>
            <w:tcW w:w="377" w:type="pct"/>
          </w:tcPr>
          <w:p w14:paraId="550AFB44" w14:textId="7FD9B598" w:rsidR="00B066A2" w:rsidRPr="00AD55AA" w:rsidRDefault="00B066A2" w:rsidP="00B066A2">
            <w:pPr>
              <w:widowControl w:val="0"/>
              <w:autoSpaceDE w:val="0"/>
              <w:autoSpaceDN w:val="0"/>
              <w:adjustRightInd w:val="0"/>
              <w:jc w:val="center"/>
              <w:rPr>
                <w:sz w:val="22"/>
                <w:szCs w:val="22"/>
              </w:rPr>
            </w:pPr>
          </w:p>
        </w:tc>
        <w:tc>
          <w:tcPr>
            <w:tcW w:w="3467" w:type="pct"/>
          </w:tcPr>
          <w:p w14:paraId="21563712" w14:textId="150A9937" w:rsidR="00B066A2" w:rsidRPr="00AD55AA" w:rsidRDefault="00232632" w:rsidP="00B066A2">
            <w:pPr>
              <w:widowControl w:val="0"/>
              <w:autoSpaceDE w:val="0"/>
              <w:autoSpaceDN w:val="0"/>
              <w:adjustRightInd w:val="0"/>
              <w:jc w:val="center"/>
              <w:rPr>
                <w:sz w:val="22"/>
                <w:szCs w:val="22"/>
              </w:rPr>
            </w:pPr>
            <w:r>
              <w:rPr>
                <w:sz w:val="22"/>
                <w:szCs w:val="22"/>
              </w:rPr>
              <w:t>6</w:t>
            </w:r>
          </w:p>
        </w:tc>
      </w:tr>
      <w:tr w:rsidR="00862FE0" w:rsidRPr="00AD55AA" w14:paraId="1EBCAEC7" w14:textId="77777777" w:rsidTr="00357B0D">
        <w:trPr>
          <w:jc w:val="center"/>
        </w:trPr>
        <w:tc>
          <w:tcPr>
            <w:tcW w:w="1156" w:type="pct"/>
            <w:tcBorders>
              <w:top w:val="nil"/>
              <w:left w:val="nil"/>
              <w:bottom w:val="single" w:sz="4" w:space="0" w:color="auto"/>
              <w:right w:val="nil"/>
            </w:tcBorders>
            <w:hideMark/>
          </w:tcPr>
          <w:p w14:paraId="19A4B39F" w14:textId="77777777" w:rsidR="00B066A2" w:rsidRPr="00AD55AA" w:rsidRDefault="00B066A2" w:rsidP="00B066A2">
            <w:pPr>
              <w:widowControl w:val="0"/>
              <w:autoSpaceDE w:val="0"/>
              <w:autoSpaceDN w:val="0"/>
              <w:adjustRightInd w:val="0"/>
              <w:rPr>
                <w:sz w:val="22"/>
                <w:szCs w:val="22"/>
              </w:rPr>
            </w:pPr>
            <w:r w:rsidRPr="00AD55AA">
              <w:rPr>
                <w:sz w:val="22"/>
                <w:szCs w:val="22"/>
              </w:rPr>
              <w:t>2019</w:t>
            </w:r>
          </w:p>
        </w:tc>
        <w:tc>
          <w:tcPr>
            <w:tcW w:w="377" w:type="pct"/>
            <w:tcBorders>
              <w:top w:val="nil"/>
              <w:left w:val="nil"/>
              <w:bottom w:val="single" w:sz="4" w:space="0" w:color="auto"/>
              <w:right w:val="nil"/>
            </w:tcBorders>
          </w:tcPr>
          <w:p w14:paraId="5E8B9C9F" w14:textId="5E18869F" w:rsidR="00B066A2" w:rsidRPr="00AD55AA" w:rsidRDefault="00B066A2" w:rsidP="00B066A2">
            <w:pPr>
              <w:widowControl w:val="0"/>
              <w:autoSpaceDE w:val="0"/>
              <w:autoSpaceDN w:val="0"/>
              <w:adjustRightInd w:val="0"/>
              <w:jc w:val="center"/>
              <w:rPr>
                <w:sz w:val="22"/>
                <w:szCs w:val="22"/>
              </w:rPr>
            </w:pPr>
          </w:p>
        </w:tc>
        <w:tc>
          <w:tcPr>
            <w:tcW w:w="3467" w:type="pct"/>
            <w:tcBorders>
              <w:top w:val="nil"/>
              <w:left w:val="nil"/>
              <w:bottom w:val="single" w:sz="4" w:space="0" w:color="auto"/>
              <w:right w:val="nil"/>
            </w:tcBorders>
          </w:tcPr>
          <w:p w14:paraId="2D047301" w14:textId="6FA31F68" w:rsidR="00B066A2" w:rsidRPr="00AD55AA" w:rsidRDefault="00B066A2" w:rsidP="00B066A2">
            <w:pPr>
              <w:widowControl w:val="0"/>
              <w:autoSpaceDE w:val="0"/>
              <w:autoSpaceDN w:val="0"/>
              <w:adjustRightInd w:val="0"/>
              <w:jc w:val="center"/>
              <w:rPr>
                <w:sz w:val="22"/>
                <w:szCs w:val="22"/>
              </w:rPr>
            </w:pPr>
            <w:r w:rsidRPr="00AD55AA">
              <w:rPr>
                <w:sz w:val="22"/>
                <w:szCs w:val="22"/>
              </w:rPr>
              <w:t>-</w:t>
            </w:r>
          </w:p>
        </w:tc>
      </w:tr>
      <w:tr w:rsidR="00862FE0" w:rsidRPr="00AD55AA" w14:paraId="1C4699DC" w14:textId="77777777" w:rsidTr="00357B0D">
        <w:trPr>
          <w:jc w:val="center"/>
        </w:trPr>
        <w:tc>
          <w:tcPr>
            <w:tcW w:w="1156" w:type="pct"/>
            <w:tcBorders>
              <w:top w:val="single" w:sz="4" w:space="0" w:color="auto"/>
              <w:left w:val="nil"/>
              <w:bottom w:val="single" w:sz="4" w:space="0" w:color="auto"/>
              <w:right w:val="nil"/>
            </w:tcBorders>
            <w:hideMark/>
          </w:tcPr>
          <w:p w14:paraId="4789D1B9" w14:textId="77777777" w:rsidR="00B066A2" w:rsidRPr="00AD55AA" w:rsidRDefault="00B066A2" w:rsidP="00B066A2">
            <w:pPr>
              <w:widowControl w:val="0"/>
              <w:autoSpaceDE w:val="0"/>
              <w:autoSpaceDN w:val="0"/>
              <w:adjustRightInd w:val="0"/>
              <w:rPr>
                <w:sz w:val="22"/>
                <w:szCs w:val="22"/>
              </w:rPr>
            </w:pPr>
            <w:r w:rsidRPr="00AD55AA">
              <w:rPr>
                <w:sz w:val="22"/>
                <w:szCs w:val="22"/>
              </w:rPr>
              <w:t>Total</w:t>
            </w:r>
          </w:p>
        </w:tc>
        <w:tc>
          <w:tcPr>
            <w:tcW w:w="377" w:type="pct"/>
            <w:tcBorders>
              <w:top w:val="single" w:sz="4" w:space="0" w:color="auto"/>
              <w:left w:val="nil"/>
              <w:bottom w:val="single" w:sz="4" w:space="0" w:color="auto"/>
              <w:right w:val="nil"/>
            </w:tcBorders>
          </w:tcPr>
          <w:p w14:paraId="0D3F8059" w14:textId="6DF16C15" w:rsidR="00B066A2" w:rsidRPr="00AD55AA" w:rsidRDefault="00B066A2" w:rsidP="00B066A2">
            <w:pPr>
              <w:widowControl w:val="0"/>
              <w:autoSpaceDE w:val="0"/>
              <w:autoSpaceDN w:val="0"/>
              <w:adjustRightInd w:val="0"/>
              <w:jc w:val="center"/>
              <w:rPr>
                <w:sz w:val="22"/>
                <w:szCs w:val="22"/>
              </w:rPr>
            </w:pPr>
          </w:p>
        </w:tc>
        <w:tc>
          <w:tcPr>
            <w:tcW w:w="3467" w:type="pct"/>
            <w:tcBorders>
              <w:top w:val="single" w:sz="4" w:space="0" w:color="auto"/>
              <w:left w:val="nil"/>
              <w:bottom w:val="single" w:sz="4" w:space="0" w:color="auto"/>
              <w:right w:val="nil"/>
            </w:tcBorders>
          </w:tcPr>
          <w:p w14:paraId="582B9D83" w14:textId="0FEA0EAE" w:rsidR="00B066A2" w:rsidRPr="00AD55AA" w:rsidRDefault="006F49F9" w:rsidP="00B066A2">
            <w:pPr>
              <w:widowControl w:val="0"/>
              <w:autoSpaceDE w:val="0"/>
              <w:autoSpaceDN w:val="0"/>
              <w:adjustRightInd w:val="0"/>
              <w:jc w:val="center"/>
              <w:rPr>
                <w:sz w:val="22"/>
                <w:szCs w:val="22"/>
              </w:rPr>
            </w:pPr>
            <w:r>
              <w:rPr>
                <w:sz w:val="22"/>
                <w:szCs w:val="22"/>
              </w:rPr>
              <w:t>23</w:t>
            </w:r>
          </w:p>
        </w:tc>
      </w:tr>
      <w:tr w:rsidR="00357B0D" w:rsidRPr="00AD55AA" w14:paraId="1C12ABE2" w14:textId="77777777" w:rsidTr="00357B0D">
        <w:trPr>
          <w:jc w:val="center"/>
        </w:trPr>
        <w:tc>
          <w:tcPr>
            <w:tcW w:w="1156" w:type="pct"/>
            <w:tcBorders>
              <w:top w:val="single" w:sz="4" w:space="0" w:color="auto"/>
              <w:left w:val="nil"/>
              <w:right w:val="nil"/>
            </w:tcBorders>
          </w:tcPr>
          <w:p w14:paraId="59150AF4" w14:textId="77777777" w:rsidR="00357B0D" w:rsidRPr="00AD55AA" w:rsidRDefault="00357B0D" w:rsidP="00B066A2">
            <w:pPr>
              <w:widowControl w:val="0"/>
              <w:autoSpaceDE w:val="0"/>
              <w:autoSpaceDN w:val="0"/>
              <w:adjustRightInd w:val="0"/>
              <w:rPr>
                <w:sz w:val="22"/>
                <w:szCs w:val="22"/>
              </w:rPr>
            </w:pPr>
          </w:p>
        </w:tc>
        <w:tc>
          <w:tcPr>
            <w:tcW w:w="377" w:type="pct"/>
            <w:tcBorders>
              <w:top w:val="single" w:sz="4" w:space="0" w:color="auto"/>
              <w:left w:val="nil"/>
              <w:right w:val="nil"/>
            </w:tcBorders>
          </w:tcPr>
          <w:p w14:paraId="17521EB1" w14:textId="77777777" w:rsidR="00357B0D" w:rsidRPr="00AD55AA" w:rsidRDefault="00357B0D" w:rsidP="00B066A2">
            <w:pPr>
              <w:widowControl w:val="0"/>
              <w:autoSpaceDE w:val="0"/>
              <w:autoSpaceDN w:val="0"/>
              <w:adjustRightInd w:val="0"/>
              <w:jc w:val="center"/>
              <w:rPr>
                <w:sz w:val="22"/>
                <w:szCs w:val="22"/>
              </w:rPr>
            </w:pPr>
          </w:p>
        </w:tc>
        <w:tc>
          <w:tcPr>
            <w:tcW w:w="3467" w:type="pct"/>
            <w:tcBorders>
              <w:top w:val="single" w:sz="4" w:space="0" w:color="auto"/>
              <w:left w:val="nil"/>
              <w:right w:val="nil"/>
            </w:tcBorders>
          </w:tcPr>
          <w:p w14:paraId="44701CEE" w14:textId="77777777" w:rsidR="00357B0D" w:rsidRPr="00AD55AA" w:rsidRDefault="00357B0D" w:rsidP="00B066A2">
            <w:pPr>
              <w:widowControl w:val="0"/>
              <w:autoSpaceDE w:val="0"/>
              <w:autoSpaceDN w:val="0"/>
              <w:adjustRightInd w:val="0"/>
              <w:jc w:val="center"/>
              <w:rPr>
                <w:sz w:val="22"/>
                <w:szCs w:val="22"/>
              </w:rPr>
            </w:pPr>
          </w:p>
        </w:tc>
      </w:tr>
      <w:tr w:rsidR="00357B0D" w:rsidRPr="00AD55AA" w14:paraId="7125E6E0" w14:textId="77777777" w:rsidTr="00357B0D">
        <w:trPr>
          <w:jc w:val="center"/>
        </w:trPr>
        <w:tc>
          <w:tcPr>
            <w:tcW w:w="5000" w:type="pct"/>
            <w:gridSpan w:val="3"/>
            <w:tcBorders>
              <w:left w:val="nil"/>
              <w:right w:val="nil"/>
            </w:tcBorders>
            <w:vAlign w:val="center"/>
          </w:tcPr>
          <w:p w14:paraId="330F686D" w14:textId="11000A72" w:rsidR="00357B0D" w:rsidRPr="00AD55AA" w:rsidRDefault="00357B0D" w:rsidP="009B7E9B">
            <w:pPr>
              <w:widowControl w:val="0"/>
              <w:autoSpaceDE w:val="0"/>
              <w:autoSpaceDN w:val="0"/>
              <w:adjustRightInd w:val="0"/>
              <w:jc w:val="both"/>
              <w:rPr>
                <w:sz w:val="22"/>
                <w:szCs w:val="22"/>
              </w:rPr>
            </w:pPr>
            <w:r>
              <w:rPr>
                <w:bCs/>
                <w:sz w:val="22"/>
                <w:szCs w:val="22"/>
              </w:rPr>
              <w:t>This table</w:t>
            </w:r>
            <w:r w:rsidRPr="00AD55AA">
              <w:rPr>
                <w:bCs/>
                <w:sz w:val="22"/>
                <w:szCs w:val="22"/>
              </w:rPr>
              <w:t xml:space="preserve"> </w:t>
            </w:r>
            <w:r>
              <w:rPr>
                <w:bCs/>
                <w:sz w:val="22"/>
                <w:szCs w:val="22"/>
              </w:rPr>
              <w:t>presents</w:t>
            </w:r>
            <w:r w:rsidRPr="00AD55AA">
              <w:rPr>
                <w:bCs/>
                <w:sz w:val="22"/>
                <w:szCs w:val="22"/>
              </w:rPr>
              <w:t xml:space="preserve"> the distribution of CFIUS interventions by year.</w:t>
            </w:r>
          </w:p>
        </w:tc>
      </w:tr>
    </w:tbl>
    <w:p w14:paraId="201C5CCD" w14:textId="506163E5" w:rsidR="005215CE" w:rsidRPr="00AD55AA" w:rsidRDefault="005215CE" w:rsidP="00245A4A">
      <w:pPr>
        <w:jc w:val="both"/>
        <w:rPr>
          <w:b/>
          <w:bCs/>
          <w:sz w:val="22"/>
          <w:szCs w:val="22"/>
        </w:rPr>
      </w:pPr>
    </w:p>
    <w:tbl>
      <w:tblPr>
        <w:tblW w:w="0" w:type="auto"/>
        <w:jc w:val="center"/>
        <w:tblLook w:val="04A0" w:firstRow="1" w:lastRow="0" w:firstColumn="1" w:lastColumn="0" w:noHBand="0" w:noVBand="1"/>
      </w:tblPr>
      <w:tblGrid>
        <w:gridCol w:w="1221"/>
        <w:gridCol w:w="281"/>
        <w:gridCol w:w="4859"/>
        <w:gridCol w:w="2425"/>
        <w:gridCol w:w="281"/>
      </w:tblGrid>
      <w:tr w:rsidR="00862FE0" w:rsidRPr="00AD55AA" w14:paraId="419CE286" w14:textId="77777777" w:rsidTr="00862FE0">
        <w:trPr>
          <w:jc w:val="center"/>
        </w:trPr>
        <w:tc>
          <w:tcPr>
            <w:tcW w:w="0" w:type="auto"/>
            <w:gridSpan w:val="5"/>
          </w:tcPr>
          <w:p w14:paraId="15784287" w14:textId="3440C1FD" w:rsidR="00862FE0" w:rsidRPr="00AD55AA" w:rsidRDefault="00862FE0" w:rsidP="00AB6C46">
            <w:pPr>
              <w:widowControl w:val="0"/>
              <w:autoSpaceDE w:val="0"/>
              <w:autoSpaceDN w:val="0"/>
              <w:adjustRightInd w:val="0"/>
              <w:rPr>
                <w:b/>
                <w:sz w:val="22"/>
                <w:szCs w:val="22"/>
              </w:rPr>
            </w:pPr>
            <w:r w:rsidRPr="00AD55AA">
              <w:rPr>
                <w:b/>
                <w:bCs/>
                <w:sz w:val="22"/>
                <w:szCs w:val="22"/>
              </w:rPr>
              <w:t xml:space="preserve">Table </w:t>
            </w:r>
            <w:r w:rsidR="00377D86">
              <w:rPr>
                <w:b/>
                <w:bCs/>
                <w:sz w:val="22"/>
                <w:szCs w:val="22"/>
              </w:rPr>
              <w:t>1</w:t>
            </w:r>
            <w:r w:rsidRPr="00AD55AA">
              <w:rPr>
                <w:b/>
                <w:bCs/>
                <w:sz w:val="22"/>
                <w:szCs w:val="22"/>
              </w:rPr>
              <w:t xml:space="preserve"> – Panel D</w:t>
            </w:r>
          </w:p>
        </w:tc>
      </w:tr>
      <w:tr w:rsidR="005215CE" w:rsidRPr="00AD55AA" w14:paraId="159F3831" w14:textId="77777777" w:rsidTr="00862FE0">
        <w:trPr>
          <w:jc w:val="center"/>
        </w:trPr>
        <w:tc>
          <w:tcPr>
            <w:tcW w:w="0" w:type="auto"/>
            <w:gridSpan w:val="5"/>
            <w:hideMark/>
          </w:tcPr>
          <w:p w14:paraId="35443B2F" w14:textId="308C9793" w:rsidR="005215CE" w:rsidRPr="00AD55AA" w:rsidRDefault="005215CE" w:rsidP="00AB6C46">
            <w:pPr>
              <w:widowControl w:val="0"/>
              <w:autoSpaceDE w:val="0"/>
              <w:autoSpaceDN w:val="0"/>
              <w:adjustRightInd w:val="0"/>
              <w:rPr>
                <w:b/>
                <w:sz w:val="22"/>
                <w:szCs w:val="22"/>
              </w:rPr>
            </w:pPr>
            <w:r w:rsidRPr="00AD55AA">
              <w:rPr>
                <w:b/>
                <w:sz w:val="22"/>
                <w:szCs w:val="22"/>
              </w:rPr>
              <w:t xml:space="preserve">Distribution of CFIUS </w:t>
            </w:r>
            <w:r w:rsidR="0067117A">
              <w:rPr>
                <w:b/>
                <w:sz w:val="22"/>
                <w:szCs w:val="22"/>
              </w:rPr>
              <w:t>i</w:t>
            </w:r>
            <w:r w:rsidRPr="00AD55AA">
              <w:rPr>
                <w:b/>
                <w:sz w:val="22"/>
                <w:szCs w:val="22"/>
              </w:rPr>
              <w:t xml:space="preserve">nterventions by </w:t>
            </w:r>
            <w:r w:rsidR="0067117A">
              <w:rPr>
                <w:b/>
                <w:sz w:val="22"/>
                <w:szCs w:val="22"/>
              </w:rPr>
              <w:t>i</w:t>
            </w:r>
            <w:r w:rsidRPr="00AD55AA">
              <w:rPr>
                <w:b/>
                <w:sz w:val="22"/>
                <w:szCs w:val="22"/>
              </w:rPr>
              <w:t>ndustry</w:t>
            </w:r>
          </w:p>
        </w:tc>
      </w:tr>
      <w:tr w:rsidR="00862FE0" w:rsidRPr="00AD55AA" w14:paraId="4A6E3006" w14:textId="77777777" w:rsidTr="00862FE0">
        <w:trPr>
          <w:jc w:val="center"/>
        </w:trPr>
        <w:tc>
          <w:tcPr>
            <w:tcW w:w="0" w:type="auto"/>
            <w:gridSpan w:val="5"/>
          </w:tcPr>
          <w:p w14:paraId="77B3DE90" w14:textId="27A868FF" w:rsidR="00862FE0" w:rsidRPr="00AD55AA" w:rsidRDefault="00862FE0" w:rsidP="00862FE0">
            <w:pPr>
              <w:widowControl w:val="0"/>
              <w:autoSpaceDE w:val="0"/>
              <w:autoSpaceDN w:val="0"/>
              <w:adjustRightInd w:val="0"/>
              <w:jc w:val="both"/>
              <w:rPr>
                <w:b/>
                <w:sz w:val="22"/>
                <w:szCs w:val="22"/>
              </w:rPr>
            </w:pPr>
          </w:p>
        </w:tc>
      </w:tr>
      <w:tr w:rsidR="005215CE" w:rsidRPr="00AD55AA" w14:paraId="6924A0F2" w14:textId="77777777" w:rsidTr="00862FE0">
        <w:trPr>
          <w:jc w:val="center"/>
        </w:trPr>
        <w:tc>
          <w:tcPr>
            <w:tcW w:w="0" w:type="auto"/>
            <w:tcBorders>
              <w:top w:val="single" w:sz="4" w:space="0" w:color="auto"/>
              <w:left w:val="nil"/>
              <w:bottom w:val="nil"/>
              <w:right w:val="nil"/>
            </w:tcBorders>
          </w:tcPr>
          <w:p w14:paraId="183B7988" w14:textId="77777777" w:rsidR="005215CE" w:rsidRPr="00AD55AA" w:rsidRDefault="005215CE" w:rsidP="00AB6C46">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3CB2260E" w14:textId="77777777" w:rsidR="005215CE" w:rsidRPr="00AD55AA" w:rsidRDefault="005215CE"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196AC426" w14:textId="77777777" w:rsidR="005215CE" w:rsidRPr="00AD55AA" w:rsidRDefault="005215CE"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2FF3B036" w14:textId="77777777" w:rsidR="005215CE" w:rsidRPr="00AD55AA" w:rsidRDefault="005215CE"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32BBC941" w14:textId="77777777" w:rsidR="005215CE" w:rsidRPr="00AD55AA" w:rsidRDefault="005215CE" w:rsidP="00AB6C46">
            <w:pPr>
              <w:widowControl w:val="0"/>
              <w:autoSpaceDE w:val="0"/>
              <w:autoSpaceDN w:val="0"/>
              <w:adjustRightInd w:val="0"/>
              <w:jc w:val="center"/>
              <w:rPr>
                <w:sz w:val="22"/>
                <w:szCs w:val="22"/>
              </w:rPr>
            </w:pPr>
          </w:p>
        </w:tc>
      </w:tr>
      <w:tr w:rsidR="005215CE" w:rsidRPr="00AD55AA" w14:paraId="40A598D7" w14:textId="77777777" w:rsidTr="00862FE0">
        <w:trPr>
          <w:jc w:val="center"/>
        </w:trPr>
        <w:tc>
          <w:tcPr>
            <w:tcW w:w="0" w:type="auto"/>
            <w:tcBorders>
              <w:top w:val="nil"/>
              <w:left w:val="nil"/>
              <w:bottom w:val="single" w:sz="4" w:space="0" w:color="auto"/>
              <w:right w:val="nil"/>
            </w:tcBorders>
            <w:hideMark/>
          </w:tcPr>
          <w:p w14:paraId="3D3F580E"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SIC code</w:t>
            </w:r>
          </w:p>
        </w:tc>
        <w:tc>
          <w:tcPr>
            <w:tcW w:w="0" w:type="auto"/>
            <w:tcBorders>
              <w:top w:val="nil"/>
              <w:left w:val="nil"/>
              <w:bottom w:val="single" w:sz="4" w:space="0" w:color="auto"/>
              <w:right w:val="nil"/>
            </w:tcBorders>
          </w:tcPr>
          <w:p w14:paraId="4221D964" w14:textId="77777777" w:rsidR="005215CE" w:rsidRPr="00AD55AA" w:rsidRDefault="005215CE" w:rsidP="00AB6C46">
            <w:pPr>
              <w:widowControl w:val="0"/>
              <w:autoSpaceDE w:val="0"/>
              <w:autoSpaceDN w:val="0"/>
              <w:adjustRightInd w:val="0"/>
              <w:rPr>
                <w:sz w:val="22"/>
                <w:szCs w:val="22"/>
              </w:rPr>
            </w:pPr>
          </w:p>
        </w:tc>
        <w:tc>
          <w:tcPr>
            <w:tcW w:w="0" w:type="auto"/>
            <w:tcBorders>
              <w:top w:val="nil"/>
              <w:left w:val="nil"/>
              <w:bottom w:val="single" w:sz="4" w:space="0" w:color="auto"/>
              <w:right w:val="nil"/>
            </w:tcBorders>
            <w:hideMark/>
          </w:tcPr>
          <w:p w14:paraId="279DB609" w14:textId="77777777" w:rsidR="005215CE" w:rsidRPr="00AD55AA" w:rsidRDefault="005215CE" w:rsidP="00AB6C46">
            <w:pPr>
              <w:widowControl w:val="0"/>
              <w:autoSpaceDE w:val="0"/>
              <w:autoSpaceDN w:val="0"/>
              <w:adjustRightInd w:val="0"/>
              <w:rPr>
                <w:sz w:val="22"/>
                <w:szCs w:val="22"/>
              </w:rPr>
            </w:pPr>
            <w:r w:rsidRPr="00AD55AA">
              <w:rPr>
                <w:sz w:val="22"/>
                <w:szCs w:val="22"/>
              </w:rPr>
              <w:t>Classification</w:t>
            </w:r>
          </w:p>
        </w:tc>
        <w:tc>
          <w:tcPr>
            <w:tcW w:w="0" w:type="auto"/>
            <w:tcBorders>
              <w:top w:val="nil"/>
              <w:left w:val="nil"/>
              <w:bottom w:val="single" w:sz="4" w:space="0" w:color="auto"/>
              <w:right w:val="nil"/>
            </w:tcBorders>
            <w:hideMark/>
          </w:tcPr>
          <w:p w14:paraId="685D2F8A" w14:textId="727266D5" w:rsidR="005215CE" w:rsidRPr="00AD55AA" w:rsidRDefault="00862FE0" w:rsidP="00AB6C46">
            <w:pPr>
              <w:widowControl w:val="0"/>
              <w:autoSpaceDE w:val="0"/>
              <w:autoSpaceDN w:val="0"/>
              <w:adjustRightInd w:val="0"/>
              <w:jc w:val="center"/>
              <w:rPr>
                <w:sz w:val="22"/>
                <w:szCs w:val="22"/>
              </w:rPr>
            </w:pPr>
            <w:r w:rsidRPr="00AD55AA">
              <w:rPr>
                <w:sz w:val="22"/>
                <w:szCs w:val="22"/>
              </w:rPr>
              <w:t>CFIUS interventions</w:t>
            </w:r>
          </w:p>
        </w:tc>
        <w:tc>
          <w:tcPr>
            <w:tcW w:w="0" w:type="auto"/>
            <w:tcBorders>
              <w:top w:val="nil"/>
              <w:left w:val="nil"/>
              <w:bottom w:val="single" w:sz="4" w:space="0" w:color="auto"/>
              <w:right w:val="nil"/>
            </w:tcBorders>
          </w:tcPr>
          <w:p w14:paraId="59F5AAC8" w14:textId="6E4239BE" w:rsidR="005215CE" w:rsidRPr="00AD55AA" w:rsidRDefault="005215CE" w:rsidP="00AB6C46">
            <w:pPr>
              <w:widowControl w:val="0"/>
              <w:autoSpaceDE w:val="0"/>
              <w:autoSpaceDN w:val="0"/>
              <w:adjustRightInd w:val="0"/>
              <w:jc w:val="center"/>
              <w:rPr>
                <w:sz w:val="22"/>
                <w:szCs w:val="22"/>
              </w:rPr>
            </w:pPr>
          </w:p>
        </w:tc>
      </w:tr>
      <w:tr w:rsidR="005215CE" w:rsidRPr="00AD55AA" w14:paraId="4154419B" w14:textId="77777777" w:rsidTr="00862FE0">
        <w:trPr>
          <w:jc w:val="center"/>
        </w:trPr>
        <w:tc>
          <w:tcPr>
            <w:tcW w:w="0" w:type="auto"/>
            <w:hideMark/>
          </w:tcPr>
          <w:p w14:paraId="2BE5564F"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131</w:t>
            </w:r>
          </w:p>
        </w:tc>
        <w:tc>
          <w:tcPr>
            <w:tcW w:w="0" w:type="auto"/>
          </w:tcPr>
          <w:p w14:paraId="182CE540" w14:textId="77777777" w:rsidR="005215CE" w:rsidRPr="00AD55AA" w:rsidRDefault="005215CE" w:rsidP="00AB6C46">
            <w:pPr>
              <w:widowControl w:val="0"/>
              <w:autoSpaceDE w:val="0"/>
              <w:autoSpaceDN w:val="0"/>
              <w:adjustRightInd w:val="0"/>
              <w:rPr>
                <w:sz w:val="22"/>
                <w:szCs w:val="22"/>
              </w:rPr>
            </w:pPr>
          </w:p>
        </w:tc>
        <w:tc>
          <w:tcPr>
            <w:tcW w:w="0" w:type="auto"/>
            <w:hideMark/>
          </w:tcPr>
          <w:p w14:paraId="0D6385D8" w14:textId="77777777" w:rsidR="005215CE" w:rsidRPr="00AD55AA" w:rsidRDefault="005215CE" w:rsidP="00AB6C46">
            <w:pPr>
              <w:widowControl w:val="0"/>
              <w:autoSpaceDE w:val="0"/>
              <w:autoSpaceDN w:val="0"/>
              <w:adjustRightInd w:val="0"/>
              <w:rPr>
                <w:sz w:val="22"/>
                <w:szCs w:val="22"/>
              </w:rPr>
            </w:pPr>
            <w:r w:rsidRPr="00AD55AA">
              <w:rPr>
                <w:sz w:val="22"/>
                <w:szCs w:val="22"/>
              </w:rPr>
              <w:t>Crude petroleum and natural gas</w:t>
            </w:r>
          </w:p>
        </w:tc>
        <w:tc>
          <w:tcPr>
            <w:tcW w:w="0" w:type="auto"/>
            <w:hideMark/>
          </w:tcPr>
          <w:p w14:paraId="3E126EC9"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6430DB27" w14:textId="7DAE186B" w:rsidR="005215CE" w:rsidRPr="00AD55AA" w:rsidRDefault="005215CE" w:rsidP="00AB6C46">
            <w:pPr>
              <w:widowControl w:val="0"/>
              <w:autoSpaceDE w:val="0"/>
              <w:autoSpaceDN w:val="0"/>
              <w:adjustRightInd w:val="0"/>
              <w:jc w:val="center"/>
              <w:rPr>
                <w:sz w:val="22"/>
                <w:szCs w:val="22"/>
              </w:rPr>
            </w:pPr>
          </w:p>
        </w:tc>
      </w:tr>
      <w:tr w:rsidR="005215CE" w:rsidRPr="00AD55AA" w14:paraId="388F02AD" w14:textId="77777777" w:rsidTr="00862FE0">
        <w:trPr>
          <w:jc w:val="center"/>
        </w:trPr>
        <w:tc>
          <w:tcPr>
            <w:tcW w:w="0" w:type="auto"/>
            <w:hideMark/>
          </w:tcPr>
          <w:p w14:paraId="5865BA5D"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283</w:t>
            </w:r>
          </w:p>
        </w:tc>
        <w:tc>
          <w:tcPr>
            <w:tcW w:w="0" w:type="auto"/>
          </w:tcPr>
          <w:p w14:paraId="51AB6092" w14:textId="77777777" w:rsidR="005215CE" w:rsidRPr="00AD55AA" w:rsidRDefault="005215CE" w:rsidP="00AB6C46">
            <w:pPr>
              <w:widowControl w:val="0"/>
              <w:autoSpaceDE w:val="0"/>
              <w:autoSpaceDN w:val="0"/>
              <w:adjustRightInd w:val="0"/>
              <w:rPr>
                <w:sz w:val="22"/>
                <w:szCs w:val="22"/>
              </w:rPr>
            </w:pPr>
          </w:p>
        </w:tc>
        <w:tc>
          <w:tcPr>
            <w:tcW w:w="0" w:type="auto"/>
            <w:hideMark/>
          </w:tcPr>
          <w:p w14:paraId="36A49243" w14:textId="77777777" w:rsidR="005215CE" w:rsidRPr="00AD55AA" w:rsidRDefault="005215CE" w:rsidP="00AB6C46">
            <w:pPr>
              <w:widowControl w:val="0"/>
              <w:autoSpaceDE w:val="0"/>
              <w:autoSpaceDN w:val="0"/>
              <w:adjustRightInd w:val="0"/>
              <w:rPr>
                <w:sz w:val="22"/>
                <w:szCs w:val="22"/>
              </w:rPr>
            </w:pPr>
            <w:r w:rsidRPr="00AD55AA">
              <w:rPr>
                <w:sz w:val="22"/>
                <w:szCs w:val="22"/>
              </w:rPr>
              <w:t>Pharmaceutical preparations</w:t>
            </w:r>
          </w:p>
        </w:tc>
        <w:tc>
          <w:tcPr>
            <w:tcW w:w="0" w:type="auto"/>
            <w:hideMark/>
          </w:tcPr>
          <w:p w14:paraId="628BEA48"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2CA7B31C" w14:textId="1AEBBE61" w:rsidR="005215CE" w:rsidRPr="00AD55AA" w:rsidRDefault="005215CE" w:rsidP="00AB6C46">
            <w:pPr>
              <w:widowControl w:val="0"/>
              <w:autoSpaceDE w:val="0"/>
              <w:autoSpaceDN w:val="0"/>
              <w:adjustRightInd w:val="0"/>
              <w:jc w:val="center"/>
              <w:rPr>
                <w:sz w:val="22"/>
                <w:szCs w:val="22"/>
              </w:rPr>
            </w:pPr>
          </w:p>
        </w:tc>
      </w:tr>
      <w:tr w:rsidR="005215CE" w:rsidRPr="00AD55AA" w14:paraId="6621B1DD" w14:textId="77777777" w:rsidTr="00862FE0">
        <w:trPr>
          <w:jc w:val="center"/>
        </w:trPr>
        <w:tc>
          <w:tcPr>
            <w:tcW w:w="0" w:type="auto"/>
            <w:hideMark/>
          </w:tcPr>
          <w:p w14:paraId="616687F4"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335</w:t>
            </w:r>
          </w:p>
        </w:tc>
        <w:tc>
          <w:tcPr>
            <w:tcW w:w="0" w:type="auto"/>
          </w:tcPr>
          <w:p w14:paraId="357A8511" w14:textId="77777777" w:rsidR="005215CE" w:rsidRPr="00AD55AA" w:rsidRDefault="005215CE" w:rsidP="00AB6C46">
            <w:pPr>
              <w:widowControl w:val="0"/>
              <w:autoSpaceDE w:val="0"/>
              <w:autoSpaceDN w:val="0"/>
              <w:adjustRightInd w:val="0"/>
              <w:rPr>
                <w:sz w:val="22"/>
                <w:szCs w:val="22"/>
              </w:rPr>
            </w:pPr>
          </w:p>
        </w:tc>
        <w:tc>
          <w:tcPr>
            <w:tcW w:w="0" w:type="auto"/>
            <w:hideMark/>
          </w:tcPr>
          <w:p w14:paraId="384FA675" w14:textId="5C6127D8" w:rsidR="005215CE" w:rsidRPr="00AD55AA" w:rsidRDefault="005215CE" w:rsidP="00AB6C46">
            <w:pPr>
              <w:widowControl w:val="0"/>
              <w:autoSpaceDE w:val="0"/>
              <w:autoSpaceDN w:val="0"/>
              <w:adjustRightInd w:val="0"/>
              <w:rPr>
                <w:sz w:val="22"/>
                <w:szCs w:val="22"/>
              </w:rPr>
            </w:pPr>
            <w:r w:rsidRPr="00AD55AA">
              <w:rPr>
                <w:sz w:val="22"/>
                <w:szCs w:val="22"/>
              </w:rPr>
              <w:t>Alumin</w:t>
            </w:r>
            <w:r w:rsidR="009D4550" w:rsidRPr="00AD55AA">
              <w:rPr>
                <w:sz w:val="22"/>
                <w:szCs w:val="22"/>
              </w:rPr>
              <w:t>i</w:t>
            </w:r>
            <w:r w:rsidRPr="00AD55AA">
              <w:rPr>
                <w:sz w:val="22"/>
                <w:szCs w:val="22"/>
              </w:rPr>
              <w:t>um rolling and drawing</w:t>
            </w:r>
          </w:p>
        </w:tc>
        <w:tc>
          <w:tcPr>
            <w:tcW w:w="0" w:type="auto"/>
            <w:hideMark/>
          </w:tcPr>
          <w:p w14:paraId="62B1A2B4"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53BBC92D" w14:textId="60F34C4E" w:rsidR="005215CE" w:rsidRPr="00AD55AA" w:rsidRDefault="005215CE" w:rsidP="00AB6C46">
            <w:pPr>
              <w:widowControl w:val="0"/>
              <w:autoSpaceDE w:val="0"/>
              <w:autoSpaceDN w:val="0"/>
              <w:adjustRightInd w:val="0"/>
              <w:jc w:val="center"/>
              <w:rPr>
                <w:sz w:val="22"/>
                <w:szCs w:val="22"/>
              </w:rPr>
            </w:pPr>
          </w:p>
        </w:tc>
      </w:tr>
      <w:tr w:rsidR="005215CE" w:rsidRPr="00AD55AA" w14:paraId="47F3FA7D" w14:textId="77777777" w:rsidTr="00862FE0">
        <w:trPr>
          <w:jc w:val="center"/>
        </w:trPr>
        <w:tc>
          <w:tcPr>
            <w:tcW w:w="0" w:type="auto"/>
            <w:hideMark/>
          </w:tcPr>
          <w:p w14:paraId="3D639AE2"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353</w:t>
            </w:r>
          </w:p>
        </w:tc>
        <w:tc>
          <w:tcPr>
            <w:tcW w:w="0" w:type="auto"/>
          </w:tcPr>
          <w:p w14:paraId="313999E8" w14:textId="77777777" w:rsidR="005215CE" w:rsidRPr="00AD55AA" w:rsidRDefault="005215CE" w:rsidP="00AB6C46">
            <w:pPr>
              <w:widowControl w:val="0"/>
              <w:autoSpaceDE w:val="0"/>
              <w:autoSpaceDN w:val="0"/>
              <w:adjustRightInd w:val="0"/>
              <w:rPr>
                <w:sz w:val="22"/>
                <w:szCs w:val="22"/>
              </w:rPr>
            </w:pPr>
          </w:p>
        </w:tc>
        <w:tc>
          <w:tcPr>
            <w:tcW w:w="0" w:type="auto"/>
            <w:hideMark/>
          </w:tcPr>
          <w:p w14:paraId="09D22FE7" w14:textId="77777777" w:rsidR="005215CE" w:rsidRPr="00AD55AA" w:rsidRDefault="005215CE" w:rsidP="00AB6C46">
            <w:pPr>
              <w:widowControl w:val="0"/>
              <w:autoSpaceDE w:val="0"/>
              <w:autoSpaceDN w:val="0"/>
              <w:adjustRightInd w:val="0"/>
              <w:rPr>
                <w:sz w:val="22"/>
                <w:szCs w:val="22"/>
              </w:rPr>
            </w:pPr>
            <w:r w:rsidRPr="00AD55AA">
              <w:rPr>
                <w:sz w:val="22"/>
                <w:szCs w:val="22"/>
              </w:rPr>
              <w:t>Construction machinery and equipment</w:t>
            </w:r>
          </w:p>
        </w:tc>
        <w:tc>
          <w:tcPr>
            <w:tcW w:w="0" w:type="auto"/>
            <w:hideMark/>
          </w:tcPr>
          <w:p w14:paraId="5F84637E"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74E9C9EA" w14:textId="09D2FB91" w:rsidR="005215CE" w:rsidRPr="00AD55AA" w:rsidRDefault="005215CE" w:rsidP="00AB6C46">
            <w:pPr>
              <w:widowControl w:val="0"/>
              <w:autoSpaceDE w:val="0"/>
              <w:autoSpaceDN w:val="0"/>
              <w:adjustRightInd w:val="0"/>
              <w:jc w:val="center"/>
              <w:rPr>
                <w:sz w:val="22"/>
                <w:szCs w:val="22"/>
              </w:rPr>
            </w:pPr>
          </w:p>
        </w:tc>
      </w:tr>
      <w:tr w:rsidR="005215CE" w:rsidRPr="00AD55AA" w14:paraId="7B315D17" w14:textId="77777777" w:rsidTr="00862FE0">
        <w:trPr>
          <w:jc w:val="center"/>
        </w:trPr>
        <w:tc>
          <w:tcPr>
            <w:tcW w:w="0" w:type="auto"/>
            <w:hideMark/>
          </w:tcPr>
          <w:p w14:paraId="75DD5736"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355</w:t>
            </w:r>
          </w:p>
        </w:tc>
        <w:tc>
          <w:tcPr>
            <w:tcW w:w="0" w:type="auto"/>
          </w:tcPr>
          <w:p w14:paraId="4767AF99" w14:textId="77777777" w:rsidR="005215CE" w:rsidRPr="00AD55AA" w:rsidRDefault="005215CE" w:rsidP="00AB6C46">
            <w:pPr>
              <w:widowControl w:val="0"/>
              <w:autoSpaceDE w:val="0"/>
              <w:autoSpaceDN w:val="0"/>
              <w:adjustRightInd w:val="0"/>
              <w:rPr>
                <w:sz w:val="22"/>
                <w:szCs w:val="22"/>
              </w:rPr>
            </w:pPr>
          </w:p>
        </w:tc>
        <w:tc>
          <w:tcPr>
            <w:tcW w:w="0" w:type="auto"/>
            <w:hideMark/>
          </w:tcPr>
          <w:p w14:paraId="6FC85985" w14:textId="77777777" w:rsidR="005215CE" w:rsidRPr="00AD55AA" w:rsidRDefault="005215CE" w:rsidP="00AB6C46">
            <w:pPr>
              <w:widowControl w:val="0"/>
              <w:autoSpaceDE w:val="0"/>
              <w:autoSpaceDN w:val="0"/>
              <w:adjustRightInd w:val="0"/>
              <w:rPr>
                <w:sz w:val="22"/>
                <w:szCs w:val="22"/>
              </w:rPr>
            </w:pPr>
            <w:r w:rsidRPr="00AD55AA">
              <w:rPr>
                <w:sz w:val="22"/>
                <w:szCs w:val="22"/>
              </w:rPr>
              <w:t>Special industry machinery</w:t>
            </w:r>
          </w:p>
        </w:tc>
        <w:tc>
          <w:tcPr>
            <w:tcW w:w="0" w:type="auto"/>
            <w:hideMark/>
          </w:tcPr>
          <w:p w14:paraId="741F3475"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6C2C5121" w14:textId="7E099B33" w:rsidR="005215CE" w:rsidRPr="00AD55AA" w:rsidRDefault="005215CE" w:rsidP="00AB6C46">
            <w:pPr>
              <w:widowControl w:val="0"/>
              <w:autoSpaceDE w:val="0"/>
              <w:autoSpaceDN w:val="0"/>
              <w:adjustRightInd w:val="0"/>
              <w:jc w:val="center"/>
              <w:rPr>
                <w:sz w:val="22"/>
                <w:szCs w:val="22"/>
              </w:rPr>
            </w:pPr>
          </w:p>
        </w:tc>
      </w:tr>
      <w:tr w:rsidR="005215CE" w:rsidRPr="00AD55AA" w14:paraId="06C10DC4" w14:textId="77777777" w:rsidTr="00862FE0">
        <w:trPr>
          <w:jc w:val="center"/>
        </w:trPr>
        <w:tc>
          <w:tcPr>
            <w:tcW w:w="0" w:type="auto"/>
            <w:hideMark/>
          </w:tcPr>
          <w:p w14:paraId="2FCD302C"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357</w:t>
            </w:r>
          </w:p>
        </w:tc>
        <w:tc>
          <w:tcPr>
            <w:tcW w:w="0" w:type="auto"/>
          </w:tcPr>
          <w:p w14:paraId="6DBDC25A" w14:textId="77777777" w:rsidR="005215CE" w:rsidRPr="00AD55AA" w:rsidRDefault="005215CE" w:rsidP="00AB6C46">
            <w:pPr>
              <w:widowControl w:val="0"/>
              <w:autoSpaceDE w:val="0"/>
              <w:autoSpaceDN w:val="0"/>
              <w:adjustRightInd w:val="0"/>
              <w:rPr>
                <w:sz w:val="22"/>
                <w:szCs w:val="22"/>
              </w:rPr>
            </w:pPr>
          </w:p>
        </w:tc>
        <w:tc>
          <w:tcPr>
            <w:tcW w:w="0" w:type="auto"/>
            <w:hideMark/>
          </w:tcPr>
          <w:p w14:paraId="23D5E3A5" w14:textId="77777777" w:rsidR="005215CE" w:rsidRPr="00AD55AA" w:rsidRDefault="005215CE" w:rsidP="00AB6C46">
            <w:pPr>
              <w:widowControl w:val="0"/>
              <w:autoSpaceDE w:val="0"/>
              <w:autoSpaceDN w:val="0"/>
              <w:adjustRightInd w:val="0"/>
              <w:rPr>
                <w:sz w:val="22"/>
                <w:szCs w:val="22"/>
              </w:rPr>
            </w:pPr>
            <w:r w:rsidRPr="00AD55AA">
              <w:rPr>
                <w:sz w:val="22"/>
                <w:szCs w:val="22"/>
              </w:rPr>
              <w:t>Computer peripheral equipment</w:t>
            </w:r>
          </w:p>
        </w:tc>
        <w:tc>
          <w:tcPr>
            <w:tcW w:w="0" w:type="auto"/>
            <w:hideMark/>
          </w:tcPr>
          <w:p w14:paraId="5F8AE89D"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2</w:t>
            </w:r>
          </w:p>
        </w:tc>
        <w:tc>
          <w:tcPr>
            <w:tcW w:w="0" w:type="auto"/>
          </w:tcPr>
          <w:p w14:paraId="6F0AA74C" w14:textId="5193F634" w:rsidR="005215CE" w:rsidRPr="00AD55AA" w:rsidRDefault="005215CE" w:rsidP="00AB6C46">
            <w:pPr>
              <w:widowControl w:val="0"/>
              <w:autoSpaceDE w:val="0"/>
              <w:autoSpaceDN w:val="0"/>
              <w:adjustRightInd w:val="0"/>
              <w:jc w:val="center"/>
              <w:rPr>
                <w:sz w:val="22"/>
                <w:szCs w:val="22"/>
              </w:rPr>
            </w:pPr>
          </w:p>
        </w:tc>
      </w:tr>
      <w:tr w:rsidR="005215CE" w:rsidRPr="00AD55AA" w14:paraId="300A46C4" w14:textId="77777777" w:rsidTr="00862FE0">
        <w:trPr>
          <w:jc w:val="center"/>
        </w:trPr>
        <w:tc>
          <w:tcPr>
            <w:tcW w:w="0" w:type="auto"/>
            <w:hideMark/>
          </w:tcPr>
          <w:p w14:paraId="3739D51F"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361</w:t>
            </w:r>
          </w:p>
        </w:tc>
        <w:tc>
          <w:tcPr>
            <w:tcW w:w="0" w:type="auto"/>
          </w:tcPr>
          <w:p w14:paraId="40B1D397" w14:textId="77777777" w:rsidR="005215CE" w:rsidRPr="00AD55AA" w:rsidRDefault="005215CE" w:rsidP="00AB6C46">
            <w:pPr>
              <w:widowControl w:val="0"/>
              <w:autoSpaceDE w:val="0"/>
              <w:autoSpaceDN w:val="0"/>
              <w:adjustRightInd w:val="0"/>
              <w:rPr>
                <w:sz w:val="22"/>
                <w:szCs w:val="22"/>
              </w:rPr>
            </w:pPr>
          </w:p>
        </w:tc>
        <w:tc>
          <w:tcPr>
            <w:tcW w:w="0" w:type="auto"/>
            <w:hideMark/>
          </w:tcPr>
          <w:p w14:paraId="010F0CB8" w14:textId="77777777" w:rsidR="005215CE" w:rsidRPr="00AD55AA" w:rsidRDefault="005215CE" w:rsidP="00AB6C46">
            <w:pPr>
              <w:widowControl w:val="0"/>
              <w:autoSpaceDE w:val="0"/>
              <w:autoSpaceDN w:val="0"/>
              <w:adjustRightInd w:val="0"/>
              <w:rPr>
                <w:sz w:val="22"/>
                <w:szCs w:val="22"/>
              </w:rPr>
            </w:pPr>
            <w:r w:rsidRPr="00AD55AA">
              <w:rPr>
                <w:sz w:val="22"/>
                <w:szCs w:val="22"/>
              </w:rPr>
              <w:t>Power, distribution, and specialty transformers</w:t>
            </w:r>
          </w:p>
        </w:tc>
        <w:tc>
          <w:tcPr>
            <w:tcW w:w="0" w:type="auto"/>
            <w:hideMark/>
          </w:tcPr>
          <w:p w14:paraId="39679F8C"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57609A3F" w14:textId="3458FA57" w:rsidR="005215CE" w:rsidRPr="00AD55AA" w:rsidRDefault="005215CE" w:rsidP="00AB6C46">
            <w:pPr>
              <w:widowControl w:val="0"/>
              <w:autoSpaceDE w:val="0"/>
              <w:autoSpaceDN w:val="0"/>
              <w:adjustRightInd w:val="0"/>
              <w:jc w:val="center"/>
              <w:rPr>
                <w:sz w:val="22"/>
                <w:szCs w:val="22"/>
              </w:rPr>
            </w:pPr>
          </w:p>
        </w:tc>
      </w:tr>
      <w:tr w:rsidR="005215CE" w:rsidRPr="00AD55AA" w14:paraId="5FA8AB1B" w14:textId="77777777" w:rsidTr="00862FE0">
        <w:trPr>
          <w:jc w:val="center"/>
        </w:trPr>
        <w:tc>
          <w:tcPr>
            <w:tcW w:w="0" w:type="auto"/>
            <w:hideMark/>
          </w:tcPr>
          <w:p w14:paraId="1549ABEA"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362</w:t>
            </w:r>
          </w:p>
        </w:tc>
        <w:tc>
          <w:tcPr>
            <w:tcW w:w="0" w:type="auto"/>
          </w:tcPr>
          <w:p w14:paraId="4654FA43" w14:textId="77777777" w:rsidR="005215CE" w:rsidRPr="00AD55AA" w:rsidRDefault="005215CE" w:rsidP="00AB6C46">
            <w:pPr>
              <w:widowControl w:val="0"/>
              <w:autoSpaceDE w:val="0"/>
              <w:autoSpaceDN w:val="0"/>
              <w:adjustRightInd w:val="0"/>
              <w:rPr>
                <w:sz w:val="22"/>
                <w:szCs w:val="22"/>
              </w:rPr>
            </w:pPr>
          </w:p>
        </w:tc>
        <w:tc>
          <w:tcPr>
            <w:tcW w:w="0" w:type="auto"/>
            <w:hideMark/>
          </w:tcPr>
          <w:p w14:paraId="4511B667" w14:textId="77777777" w:rsidR="005215CE" w:rsidRPr="00AD55AA" w:rsidRDefault="005215CE" w:rsidP="00AB6C46">
            <w:pPr>
              <w:widowControl w:val="0"/>
              <w:autoSpaceDE w:val="0"/>
              <w:autoSpaceDN w:val="0"/>
              <w:adjustRightInd w:val="0"/>
              <w:rPr>
                <w:sz w:val="22"/>
                <w:szCs w:val="22"/>
              </w:rPr>
            </w:pPr>
            <w:r w:rsidRPr="00AD55AA">
              <w:rPr>
                <w:sz w:val="22"/>
                <w:szCs w:val="22"/>
              </w:rPr>
              <w:t>Motors and generators</w:t>
            </w:r>
          </w:p>
        </w:tc>
        <w:tc>
          <w:tcPr>
            <w:tcW w:w="0" w:type="auto"/>
            <w:hideMark/>
          </w:tcPr>
          <w:p w14:paraId="538F73FE"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2</w:t>
            </w:r>
          </w:p>
        </w:tc>
        <w:tc>
          <w:tcPr>
            <w:tcW w:w="0" w:type="auto"/>
          </w:tcPr>
          <w:p w14:paraId="4161CAAA" w14:textId="5488A017" w:rsidR="005215CE" w:rsidRPr="00AD55AA" w:rsidRDefault="005215CE" w:rsidP="00AB6C46">
            <w:pPr>
              <w:widowControl w:val="0"/>
              <w:autoSpaceDE w:val="0"/>
              <w:autoSpaceDN w:val="0"/>
              <w:adjustRightInd w:val="0"/>
              <w:jc w:val="center"/>
              <w:rPr>
                <w:sz w:val="22"/>
                <w:szCs w:val="22"/>
              </w:rPr>
            </w:pPr>
          </w:p>
        </w:tc>
      </w:tr>
      <w:tr w:rsidR="005215CE" w:rsidRPr="00AD55AA" w14:paraId="3D634099" w14:textId="77777777" w:rsidTr="00862FE0">
        <w:trPr>
          <w:jc w:val="center"/>
        </w:trPr>
        <w:tc>
          <w:tcPr>
            <w:tcW w:w="0" w:type="auto"/>
            <w:hideMark/>
          </w:tcPr>
          <w:p w14:paraId="03BEB8BA"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365</w:t>
            </w:r>
          </w:p>
        </w:tc>
        <w:tc>
          <w:tcPr>
            <w:tcW w:w="0" w:type="auto"/>
          </w:tcPr>
          <w:p w14:paraId="46C17174" w14:textId="77777777" w:rsidR="005215CE" w:rsidRPr="00AD55AA" w:rsidRDefault="005215CE" w:rsidP="00AB6C46">
            <w:pPr>
              <w:widowControl w:val="0"/>
              <w:autoSpaceDE w:val="0"/>
              <w:autoSpaceDN w:val="0"/>
              <w:adjustRightInd w:val="0"/>
              <w:rPr>
                <w:sz w:val="22"/>
                <w:szCs w:val="22"/>
              </w:rPr>
            </w:pPr>
          </w:p>
        </w:tc>
        <w:tc>
          <w:tcPr>
            <w:tcW w:w="0" w:type="auto"/>
            <w:hideMark/>
          </w:tcPr>
          <w:p w14:paraId="062A41FA" w14:textId="77777777" w:rsidR="005215CE" w:rsidRPr="00AD55AA" w:rsidRDefault="005215CE" w:rsidP="00AB6C46">
            <w:pPr>
              <w:widowControl w:val="0"/>
              <w:autoSpaceDE w:val="0"/>
              <w:autoSpaceDN w:val="0"/>
              <w:adjustRightInd w:val="0"/>
              <w:rPr>
                <w:sz w:val="22"/>
                <w:szCs w:val="22"/>
              </w:rPr>
            </w:pPr>
            <w:r w:rsidRPr="00AD55AA">
              <w:rPr>
                <w:sz w:val="22"/>
                <w:szCs w:val="22"/>
              </w:rPr>
              <w:t>Household audio and video equipment</w:t>
            </w:r>
          </w:p>
        </w:tc>
        <w:tc>
          <w:tcPr>
            <w:tcW w:w="0" w:type="auto"/>
            <w:hideMark/>
          </w:tcPr>
          <w:p w14:paraId="1E31D2EA"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78750C3C" w14:textId="78CA4A8A" w:rsidR="005215CE" w:rsidRPr="00AD55AA" w:rsidRDefault="005215CE" w:rsidP="00AB6C46">
            <w:pPr>
              <w:widowControl w:val="0"/>
              <w:autoSpaceDE w:val="0"/>
              <w:autoSpaceDN w:val="0"/>
              <w:adjustRightInd w:val="0"/>
              <w:jc w:val="center"/>
              <w:rPr>
                <w:sz w:val="22"/>
                <w:szCs w:val="22"/>
              </w:rPr>
            </w:pPr>
          </w:p>
        </w:tc>
      </w:tr>
      <w:tr w:rsidR="005215CE" w:rsidRPr="00AD55AA" w14:paraId="2AE709F8" w14:textId="77777777" w:rsidTr="00862FE0">
        <w:trPr>
          <w:jc w:val="center"/>
        </w:trPr>
        <w:tc>
          <w:tcPr>
            <w:tcW w:w="0" w:type="auto"/>
            <w:hideMark/>
          </w:tcPr>
          <w:p w14:paraId="23B20F84"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366</w:t>
            </w:r>
          </w:p>
        </w:tc>
        <w:tc>
          <w:tcPr>
            <w:tcW w:w="0" w:type="auto"/>
          </w:tcPr>
          <w:p w14:paraId="0109FDF1" w14:textId="77777777" w:rsidR="005215CE" w:rsidRPr="00AD55AA" w:rsidRDefault="005215CE" w:rsidP="00AB6C46">
            <w:pPr>
              <w:widowControl w:val="0"/>
              <w:autoSpaceDE w:val="0"/>
              <w:autoSpaceDN w:val="0"/>
              <w:adjustRightInd w:val="0"/>
              <w:rPr>
                <w:sz w:val="22"/>
                <w:szCs w:val="22"/>
              </w:rPr>
            </w:pPr>
          </w:p>
        </w:tc>
        <w:tc>
          <w:tcPr>
            <w:tcW w:w="0" w:type="auto"/>
            <w:hideMark/>
          </w:tcPr>
          <w:p w14:paraId="775FC8DC" w14:textId="77777777" w:rsidR="005215CE" w:rsidRPr="00AD55AA" w:rsidRDefault="005215CE" w:rsidP="00AB6C46">
            <w:pPr>
              <w:widowControl w:val="0"/>
              <w:autoSpaceDE w:val="0"/>
              <w:autoSpaceDN w:val="0"/>
              <w:adjustRightInd w:val="0"/>
              <w:rPr>
                <w:sz w:val="22"/>
                <w:szCs w:val="22"/>
              </w:rPr>
            </w:pPr>
            <w:r w:rsidRPr="00AD55AA">
              <w:rPr>
                <w:sz w:val="22"/>
                <w:szCs w:val="22"/>
              </w:rPr>
              <w:t>Broadcasting and communications equipment</w:t>
            </w:r>
          </w:p>
        </w:tc>
        <w:tc>
          <w:tcPr>
            <w:tcW w:w="0" w:type="auto"/>
            <w:hideMark/>
          </w:tcPr>
          <w:p w14:paraId="30A9969C"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7503B942" w14:textId="039A8D0B" w:rsidR="005215CE" w:rsidRPr="00AD55AA" w:rsidRDefault="005215CE" w:rsidP="00AB6C46">
            <w:pPr>
              <w:widowControl w:val="0"/>
              <w:autoSpaceDE w:val="0"/>
              <w:autoSpaceDN w:val="0"/>
              <w:adjustRightInd w:val="0"/>
              <w:jc w:val="center"/>
              <w:rPr>
                <w:sz w:val="22"/>
                <w:szCs w:val="22"/>
              </w:rPr>
            </w:pPr>
          </w:p>
        </w:tc>
      </w:tr>
      <w:tr w:rsidR="005215CE" w:rsidRPr="00AD55AA" w14:paraId="4AE41EDD" w14:textId="77777777" w:rsidTr="00862FE0">
        <w:trPr>
          <w:jc w:val="center"/>
        </w:trPr>
        <w:tc>
          <w:tcPr>
            <w:tcW w:w="0" w:type="auto"/>
            <w:hideMark/>
          </w:tcPr>
          <w:p w14:paraId="7C7645A2"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367</w:t>
            </w:r>
          </w:p>
        </w:tc>
        <w:tc>
          <w:tcPr>
            <w:tcW w:w="0" w:type="auto"/>
          </w:tcPr>
          <w:p w14:paraId="605A502F" w14:textId="77777777" w:rsidR="005215CE" w:rsidRPr="00AD55AA" w:rsidRDefault="005215CE" w:rsidP="00AB6C46">
            <w:pPr>
              <w:widowControl w:val="0"/>
              <w:autoSpaceDE w:val="0"/>
              <w:autoSpaceDN w:val="0"/>
              <w:adjustRightInd w:val="0"/>
              <w:rPr>
                <w:sz w:val="22"/>
                <w:szCs w:val="22"/>
              </w:rPr>
            </w:pPr>
          </w:p>
        </w:tc>
        <w:tc>
          <w:tcPr>
            <w:tcW w:w="0" w:type="auto"/>
            <w:hideMark/>
          </w:tcPr>
          <w:p w14:paraId="03C3107E" w14:textId="77777777" w:rsidR="005215CE" w:rsidRPr="00AD55AA" w:rsidRDefault="005215CE" w:rsidP="00AB6C46">
            <w:pPr>
              <w:widowControl w:val="0"/>
              <w:autoSpaceDE w:val="0"/>
              <w:autoSpaceDN w:val="0"/>
              <w:adjustRightInd w:val="0"/>
              <w:rPr>
                <w:sz w:val="22"/>
                <w:szCs w:val="22"/>
              </w:rPr>
            </w:pPr>
            <w:r w:rsidRPr="00AD55AA">
              <w:rPr>
                <w:sz w:val="22"/>
                <w:szCs w:val="22"/>
              </w:rPr>
              <w:t>Semiconductors and related devices</w:t>
            </w:r>
          </w:p>
        </w:tc>
        <w:tc>
          <w:tcPr>
            <w:tcW w:w="0" w:type="auto"/>
            <w:hideMark/>
          </w:tcPr>
          <w:p w14:paraId="6D5C5716" w14:textId="4BE124EA" w:rsidR="005215CE" w:rsidRPr="00AD55AA" w:rsidRDefault="006F3F63" w:rsidP="00AB6C46">
            <w:pPr>
              <w:widowControl w:val="0"/>
              <w:autoSpaceDE w:val="0"/>
              <w:autoSpaceDN w:val="0"/>
              <w:adjustRightInd w:val="0"/>
              <w:jc w:val="center"/>
              <w:rPr>
                <w:sz w:val="22"/>
                <w:szCs w:val="22"/>
              </w:rPr>
            </w:pPr>
            <w:r>
              <w:rPr>
                <w:sz w:val="22"/>
                <w:szCs w:val="22"/>
              </w:rPr>
              <w:t>4</w:t>
            </w:r>
          </w:p>
        </w:tc>
        <w:tc>
          <w:tcPr>
            <w:tcW w:w="0" w:type="auto"/>
          </w:tcPr>
          <w:p w14:paraId="0A85D25E" w14:textId="5B218AAE" w:rsidR="005215CE" w:rsidRPr="00AD55AA" w:rsidRDefault="005215CE" w:rsidP="00AB6C46">
            <w:pPr>
              <w:widowControl w:val="0"/>
              <w:autoSpaceDE w:val="0"/>
              <w:autoSpaceDN w:val="0"/>
              <w:adjustRightInd w:val="0"/>
              <w:jc w:val="center"/>
              <w:rPr>
                <w:sz w:val="22"/>
                <w:szCs w:val="22"/>
              </w:rPr>
            </w:pPr>
          </w:p>
        </w:tc>
      </w:tr>
      <w:tr w:rsidR="005215CE" w:rsidRPr="00AD55AA" w14:paraId="4DABF45E" w14:textId="77777777" w:rsidTr="00862FE0">
        <w:trPr>
          <w:jc w:val="center"/>
        </w:trPr>
        <w:tc>
          <w:tcPr>
            <w:tcW w:w="0" w:type="auto"/>
            <w:hideMark/>
          </w:tcPr>
          <w:p w14:paraId="4BE37BFF"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372</w:t>
            </w:r>
          </w:p>
        </w:tc>
        <w:tc>
          <w:tcPr>
            <w:tcW w:w="0" w:type="auto"/>
          </w:tcPr>
          <w:p w14:paraId="7118C1B9" w14:textId="77777777" w:rsidR="005215CE" w:rsidRPr="00AD55AA" w:rsidRDefault="005215CE" w:rsidP="00AB6C46">
            <w:pPr>
              <w:widowControl w:val="0"/>
              <w:autoSpaceDE w:val="0"/>
              <w:autoSpaceDN w:val="0"/>
              <w:adjustRightInd w:val="0"/>
              <w:rPr>
                <w:sz w:val="22"/>
                <w:szCs w:val="22"/>
              </w:rPr>
            </w:pPr>
          </w:p>
        </w:tc>
        <w:tc>
          <w:tcPr>
            <w:tcW w:w="0" w:type="auto"/>
            <w:hideMark/>
          </w:tcPr>
          <w:p w14:paraId="5DCCB91C" w14:textId="77777777" w:rsidR="005215CE" w:rsidRPr="00AD55AA" w:rsidRDefault="005215CE" w:rsidP="00AB6C46">
            <w:pPr>
              <w:widowControl w:val="0"/>
              <w:autoSpaceDE w:val="0"/>
              <w:autoSpaceDN w:val="0"/>
              <w:adjustRightInd w:val="0"/>
              <w:rPr>
                <w:sz w:val="22"/>
                <w:szCs w:val="22"/>
              </w:rPr>
            </w:pPr>
            <w:r w:rsidRPr="00AD55AA">
              <w:rPr>
                <w:sz w:val="22"/>
                <w:szCs w:val="22"/>
              </w:rPr>
              <w:t>Aircraft parts and auxiliary equipment</w:t>
            </w:r>
          </w:p>
        </w:tc>
        <w:tc>
          <w:tcPr>
            <w:tcW w:w="0" w:type="auto"/>
            <w:hideMark/>
          </w:tcPr>
          <w:p w14:paraId="11E65E63"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4DBFAF11" w14:textId="04FFDE41" w:rsidR="005215CE" w:rsidRPr="00AD55AA" w:rsidRDefault="005215CE" w:rsidP="00AB6C46">
            <w:pPr>
              <w:widowControl w:val="0"/>
              <w:autoSpaceDE w:val="0"/>
              <w:autoSpaceDN w:val="0"/>
              <w:adjustRightInd w:val="0"/>
              <w:jc w:val="center"/>
              <w:rPr>
                <w:sz w:val="22"/>
                <w:szCs w:val="22"/>
              </w:rPr>
            </w:pPr>
          </w:p>
        </w:tc>
      </w:tr>
      <w:tr w:rsidR="005215CE" w:rsidRPr="00AD55AA" w14:paraId="188BE3D8" w14:textId="77777777" w:rsidTr="00862FE0">
        <w:trPr>
          <w:jc w:val="center"/>
        </w:trPr>
        <w:tc>
          <w:tcPr>
            <w:tcW w:w="0" w:type="auto"/>
            <w:hideMark/>
          </w:tcPr>
          <w:p w14:paraId="58CAA824"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382</w:t>
            </w:r>
          </w:p>
        </w:tc>
        <w:tc>
          <w:tcPr>
            <w:tcW w:w="0" w:type="auto"/>
          </w:tcPr>
          <w:p w14:paraId="71A15FCA" w14:textId="77777777" w:rsidR="005215CE" w:rsidRPr="00AD55AA" w:rsidRDefault="005215CE" w:rsidP="00AB6C46">
            <w:pPr>
              <w:widowControl w:val="0"/>
              <w:autoSpaceDE w:val="0"/>
              <w:autoSpaceDN w:val="0"/>
              <w:adjustRightInd w:val="0"/>
              <w:rPr>
                <w:sz w:val="22"/>
                <w:szCs w:val="22"/>
              </w:rPr>
            </w:pPr>
          </w:p>
        </w:tc>
        <w:tc>
          <w:tcPr>
            <w:tcW w:w="0" w:type="auto"/>
            <w:hideMark/>
          </w:tcPr>
          <w:p w14:paraId="56E4CC1B" w14:textId="77777777" w:rsidR="005215CE" w:rsidRPr="00AD55AA" w:rsidRDefault="005215CE" w:rsidP="00AB6C46">
            <w:pPr>
              <w:widowControl w:val="0"/>
              <w:autoSpaceDE w:val="0"/>
              <w:autoSpaceDN w:val="0"/>
              <w:adjustRightInd w:val="0"/>
              <w:rPr>
                <w:sz w:val="22"/>
                <w:szCs w:val="22"/>
              </w:rPr>
            </w:pPr>
            <w:r w:rsidRPr="00AD55AA">
              <w:rPr>
                <w:sz w:val="22"/>
                <w:szCs w:val="22"/>
              </w:rPr>
              <w:t>Laboratory analytical instruments</w:t>
            </w:r>
          </w:p>
        </w:tc>
        <w:tc>
          <w:tcPr>
            <w:tcW w:w="0" w:type="auto"/>
            <w:hideMark/>
          </w:tcPr>
          <w:p w14:paraId="22770E3D"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2</w:t>
            </w:r>
          </w:p>
        </w:tc>
        <w:tc>
          <w:tcPr>
            <w:tcW w:w="0" w:type="auto"/>
          </w:tcPr>
          <w:p w14:paraId="4C69F940" w14:textId="66FE0AE0" w:rsidR="005215CE" w:rsidRPr="00AD55AA" w:rsidRDefault="005215CE" w:rsidP="00AB6C46">
            <w:pPr>
              <w:widowControl w:val="0"/>
              <w:autoSpaceDE w:val="0"/>
              <w:autoSpaceDN w:val="0"/>
              <w:adjustRightInd w:val="0"/>
              <w:jc w:val="center"/>
              <w:rPr>
                <w:sz w:val="22"/>
                <w:szCs w:val="22"/>
              </w:rPr>
            </w:pPr>
          </w:p>
        </w:tc>
      </w:tr>
      <w:tr w:rsidR="005215CE" w:rsidRPr="00AD55AA" w14:paraId="2DF68BBB" w14:textId="77777777" w:rsidTr="00862FE0">
        <w:trPr>
          <w:jc w:val="center"/>
        </w:trPr>
        <w:tc>
          <w:tcPr>
            <w:tcW w:w="0" w:type="auto"/>
            <w:hideMark/>
          </w:tcPr>
          <w:p w14:paraId="49B095E8"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489</w:t>
            </w:r>
          </w:p>
        </w:tc>
        <w:tc>
          <w:tcPr>
            <w:tcW w:w="0" w:type="auto"/>
          </w:tcPr>
          <w:p w14:paraId="1673C737" w14:textId="77777777" w:rsidR="005215CE" w:rsidRPr="00AD55AA" w:rsidRDefault="005215CE" w:rsidP="00AB6C46">
            <w:pPr>
              <w:widowControl w:val="0"/>
              <w:autoSpaceDE w:val="0"/>
              <w:autoSpaceDN w:val="0"/>
              <w:adjustRightInd w:val="0"/>
              <w:rPr>
                <w:sz w:val="22"/>
                <w:szCs w:val="22"/>
              </w:rPr>
            </w:pPr>
          </w:p>
        </w:tc>
        <w:tc>
          <w:tcPr>
            <w:tcW w:w="0" w:type="auto"/>
            <w:hideMark/>
          </w:tcPr>
          <w:p w14:paraId="72AE4BF7" w14:textId="77777777" w:rsidR="005215CE" w:rsidRPr="00AD55AA" w:rsidRDefault="005215CE" w:rsidP="00AB6C46">
            <w:pPr>
              <w:widowControl w:val="0"/>
              <w:autoSpaceDE w:val="0"/>
              <w:autoSpaceDN w:val="0"/>
              <w:adjustRightInd w:val="0"/>
              <w:rPr>
                <w:sz w:val="22"/>
                <w:szCs w:val="22"/>
              </w:rPr>
            </w:pPr>
            <w:r w:rsidRPr="00AD55AA">
              <w:rPr>
                <w:sz w:val="22"/>
                <w:szCs w:val="22"/>
              </w:rPr>
              <w:t>Communications services</w:t>
            </w:r>
          </w:p>
        </w:tc>
        <w:tc>
          <w:tcPr>
            <w:tcW w:w="0" w:type="auto"/>
            <w:hideMark/>
          </w:tcPr>
          <w:p w14:paraId="23A52B68"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2</w:t>
            </w:r>
          </w:p>
        </w:tc>
        <w:tc>
          <w:tcPr>
            <w:tcW w:w="0" w:type="auto"/>
          </w:tcPr>
          <w:p w14:paraId="127F052F" w14:textId="3AF4141C" w:rsidR="005215CE" w:rsidRPr="00AD55AA" w:rsidRDefault="005215CE" w:rsidP="00AB6C46">
            <w:pPr>
              <w:widowControl w:val="0"/>
              <w:autoSpaceDE w:val="0"/>
              <w:autoSpaceDN w:val="0"/>
              <w:adjustRightInd w:val="0"/>
              <w:jc w:val="center"/>
              <w:rPr>
                <w:sz w:val="22"/>
                <w:szCs w:val="22"/>
              </w:rPr>
            </w:pPr>
          </w:p>
        </w:tc>
      </w:tr>
      <w:tr w:rsidR="00232632" w:rsidRPr="00AD55AA" w14:paraId="77F05384" w14:textId="77777777" w:rsidTr="00862FE0">
        <w:trPr>
          <w:jc w:val="center"/>
        </w:trPr>
        <w:tc>
          <w:tcPr>
            <w:tcW w:w="0" w:type="auto"/>
          </w:tcPr>
          <w:p w14:paraId="1506147E" w14:textId="120BA10C" w:rsidR="00232632" w:rsidRPr="00AD55AA" w:rsidRDefault="00232632" w:rsidP="00AB6C46">
            <w:pPr>
              <w:widowControl w:val="0"/>
              <w:autoSpaceDE w:val="0"/>
              <w:autoSpaceDN w:val="0"/>
              <w:adjustRightInd w:val="0"/>
              <w:jc w:val="center"/>
              <w:rPr>
                <w:sz w:val="22"/>
                <w:szCs w:val="22"/>
              </w:rPr>
            </w:pPr>
            <w:r>
              <w:rPr>
                <w:sz w:val="22"/>
                <w:szCs w:val="22"/>
              </w:rPr>
              <w:t>609</w:t>
            </w:r>
          </w:p>
        </w:tc>
        <w:tc>
          <w:tcPr>
            <w:tcW w:w="0" w:type="auto"/>
          </w:tcPr>
          <w:p w14:paraId="254CD85A" w14:textId="77777777" w:rsidR="00232632" w:rsidRPr="00AD55AA" w:rsidRDefault="00232632" w:rsidP="00AB6C46">
            <w:pPr>
              <w:widowControl w:val="0"/>
              <w:autoSpaceDE w:val="0"/>
              <w:autoSpaceDN w:val="0"/>
              <w:adjustRightInd w:val="0"/>
              <w:rPr>
                <w:sz w:val="22"/>
                <w:szCs w:val="22"/>
              </w:rPr>
            </w:pPr>
          </w:p>
        </w:tc>
        <w:tc>
          <w:tcPr>
            <w:tcW w:w="0" w:type="auto"/>
          </w:tcPr>
          <w:p w14:paraId="1014BF7A" w14:textId="47D45B69" w:rsidR="00232632" w:rsidRPr="00AD55AA" w:rsidRDefault="00232632" w:rsidP="00AB6C46">
            <w:pPr>
              <w:widowControl w:val="0"/>
              <w:autoSpaceDE w:val="0"/>
              <w:autoSpaceDN w:val="0"/>
              <w:adjustRightInd w:val="0"/>
              <w:rPr>
                <w:sz w:val="22"/>
                <w:szCs w:val="22"/>
              </w:rPr>
            </w:pPr>
            <w:r w:rsidRPr="00232632">
              <w:rPr>
                <w:sz w:val="22"/>
                <w:szCs w:val="22"/>
              </w:rPr>
              <w:t xml:space="preserve">Functions </w:t>
            </w:r>
            <w:r>
              <w:rPr>
                <w:sz w:val="22"/>
                <w:szCs w:val="22"/>
              </w:rPr>
              <w:t>r</w:t>
            </w:r>
            <w:r w:rsidRPr="00232632">
              <w:rPr>
                <w:sz w:val="22"/>
                <w:szCs w:val="22"/>
              </w:rPr>
              <w:t xml:space="preserve">elated </w:t>
            </w:r>
            <w:r>
              <w:rPr>
                <w:sz w:val="22"/>
                <w:szCs w:val="22"/>
              </w:rPr>
              <w:t>t</w:t>
            </w:r>
            <w:r w:rsidRPr="00232632">
              <w:rPr>
                <w:sz w:val="22"/>
                <w:szCs w:val="22"/>
              </w:rPr>
              <w:t xml:space="preserve">o </w:t>
            </w:r>
            <w:r>
              <w:rPr>
                <w:sz w:val="22"/>
                <w:szCs w:val="22"/>
              </w:rPr>
              <w:t>d</w:t>
            </w:r>
            <w:r w:rsidRPr="00232632">
              <w:rPr>
                <w:sz w:val="22"/>
                <w:szCs w:val="22"/>
              </w:rPr>
              <w:t xml:space="preserve">epository </w:t>
            </w:r>
            <w:r>
              <w:rPr>
                <w:sz w:val="22"/>
                <w:szCs w:val="22"/>
              </w:rPr>
              <w:t>b</w:t>
            </w:r>
            <w:r w:rsidRPr="00232632">
              <w:rPr>
                <w:sz w:val="22"/>
                <w:szCs w:val="22"/>
              </w:rPr>
              <w:t>anking</w:t>
            </w:r>
          </w:p>
        </w:tc>
        <w:tc>
          <w:tcPr>
            <w:tcW w:w="0" w:type="auto"/>
          </w:tcPr>
          <w:p w14:paraId="07026971" w14:textId="53E34E51" w:rsidR="00232632" w:rsidRPr="00AD55AA" w:rsidRDefault="00232632" w:rsidP="00AB6C46">
            <w:pPr>
              <w:widowControl w:val="0"/>
              <w:autoSpaceDE w:val="0"/>
              <w:autoSpaceDN w:val="0"/>
              <w:adjustRightInd w:val="0"/>
              <w:jc w:val="center"/>
              <w:rPr>
                <w:sz w:val="22"/>
                <w:szCs w:val="22"/>
              </w:rPr>
            </w:pPr>
            <w:r>
              <w:rPr>
                <w:sz w:val="22"/>
                <w:szCs w:val="22"/>
              </w:rPr>
              <w:t>1</w:t>
            </w:r>
          </w:p>
        </w:tc>
        <w:tc>
          <w:tcPr>
            <w:tcW w:w="0" w:type="auto"/>
          </w:tcPr>
          <w:p w14:paraId="0293B76C" w14:textId="77777777" w:rsidR="00232632" w:rsidRPr="00AD55AA" w:rsidRDefault="00232632" w:rsidP="00AB6C46">
            <w:pPr>
              <w:widowControl w:val="0"/>
              <w:autoSpaceDE w:val="0"/>
              <w:autoSpaceDN w:val="0"/>
              <w:adjustRightInd w:val="0"/>
              <w:jc w:val="center"/>
              <w:rPr>
                <w:sz w:val="22"/>
                <w:szCs w:val="22"/>
              </w:rPr>
            </w:pPr>
          </w:p>
        </w:tc>
      </w:tr>
      <w:tr w:rsidR="005215CE" w:rsidRPr="00AD55AA" w14:paraId="2BBC99DD" w14:textId="77777777" w:rsidTr="00862FE0">
        <w:trPr>
          <w:jc w:val="center"/>
        </w:trPr>
        <w:tc>
          <w:tcPr>
            <w:tcW w:w="0" w:type="auto"/>
          </w:tcPr>
          <w:p w14:paraId="68838F40"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874</w:t>
            </w:r>
          </w:p>
        </w:tc>
        <w:tc>
          <w:tcPr>
            <w:tcW w:w="0" w:type="auto"/>
          </w:tcPr>
          <w:p w14:paraId="1A1B89B5" w14:textId="77777777" w:rsidR="005215CE" w:rsidRPr="00AD55AA" w:rsidRDefault="005215CE" w:rsidP="00AB6C46">
            <w:pPr>
              <w:widowControl w:val="0"/>
              <w:autoSpaceDE w:val="0"/>
              <w:autoSpaceDN w:val="0"/>
              <w:adjustRightInd w:val="0"/>
              <w:rPr>
                <w:sz w:val="22"/>
                <w:szCs w:val="22"/>
              </w:rPr>
            </w:pPr>
          </w:p>
        </w:tc>
        <w:tc>
          <w:tcPr>
            <w:tcW w:w="0" w:type="auto"/>
          </w:tcPr>
          <w:p w14:paraId="2D7E971B" w14:textId="77777777" w:rsidR="005215CE" w:rsidRPr="00AD55AA" w:rsidRDefault="005215CE" w:rsidP="00AB6C46">
            <w:pPr>
              <w:widowControl w:val="0"/>
              <w:autoSpaceDE w:val="0"/>
              <w:autoSpaceDN w:val="0"/>
              <w:adjustRightInd w:val="0"/>
              <w:rPr>
                <w:sz w:val="22"/>
                <w:szCs w:val="22"/>
              </w:rPr>
            </w:pPr>
            <w:r w:rsidRPr="00AD55AA">
              <w:rPr>
                <w:sz w:val="22"/>
                <w:szCs w:val="22"/>
              </w:rPr>
              <w:t>Management consulting services</w:t>
            </w:r>
          </w:p>
        </w:tc>
        <w:tc>
          <w:tcPr>
            <w:tcW w:w="0" w:type="auto"/>
          </w:tcPr>
          <w:p w14:paraId="6C77C30B"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1</w:t>
            </w:r>
          </w:p>
        </w:tc>
        <w:tc>
          <w:tcPr>
            <w:tcW w:w="0" w:type="auto"/>
          </w:tcPr>
          <w:p w14:paraId="49826DD6" w14:textId="2222A051" w:rsidR="005215CE" w:rsidRPr="00AD55AA" w:rsidRDefault="005215CE" w:rsidP="00AB6C46">
            <w:pPr>
              <w:widowControl w:val="0"/>
              <w:autoSpaceDE w:val="0"/>
              <w:autoSpaceDN w:val="0"/>
              <w:adjustRightInd w:val="0"/>
              <w:jc w:val="center"/>
              <w:rPr>
                <w:sz w:val="22"/>
                <w:szCs w:val="22"/>
              </w:rPr>
            </w:pPr>
          </w:p>
        </w:tc>
      </w:tr>
      <w:tr w:rsidR="005215CE" w:rsidRPr="00AD55AA" w14:paraId="48AF86DD" w14:textId="77777777" w:rsidTr="00862FE0">
        <w:trPr>
          <w:jc w:val="center"/>
        </w:trPr>
        <w:tc>
          <w:tcPr>
            <w:tcW w:w="0" w:type="auto"/>
            <w:tcBorders>
              <w:top w:val="single" w:sz="4" w:space="0" w:color="auto"/>
              <w:left w:val="nil"/>
              <w:bottom w:val="single" w:sz="4" w:space="0" w:color="auto"/>
              <w:right w:val="nil"/>
            </w:tcBorders>
            <w:hideMark/>
          </w:tcPr>
          <w:p w14:paraId="7D677512" w14:textId="77777777" w:rsidR="005215CE" w:rsidRPr="00AD55AA" w:rsidRDefault="005215CE" w:rsidP="00AB6C46">
            <w:pPr>
              <w:widowControl w:val="0"/>
              <w:autoSpaceDE w:val="0"/>
              <w:autoSpaceDN w:val="0"/>
              <w:adjustRightInd w:val="0"/>
              <w:jc w:val="center"/>
              <w:rPr>
                <w:sz w:val="22"/>
                <w:szCs w:val="22"/>
              </w:rPr>
            </w:pPr>
            <w:r w:rsidRPr="00AD55AA">
              <w:rPr>
                <w:sz w:val="22"/>
                <w:szCs w:val="22"/>
              </w:rPr>
              <w:t>Total</w:t>
            </w:r>
          </w:p>
        </w:tc>
        <w:tc>
          <w:tcPr>
            <w:tcW w:w="0" w:type="auto"/>
            <w:tcBorders>
              <w:top w:val="single" w:sz="4" w:space="0" w:color="auto"/>
              <w:left w:val="nil"/>
              <w:bottom w:val="single" w:sz="4" w:space="0" w:color="auto"/>
              <w:right w:val="nil"/>
            </w:tcBorders>
          </w:tcPr>
          <w:p w14:paraId="05031FD0" w14:textId="77777777" w:rsidR="005215CE" w:rsidRPr="00AD55AA" w:rsidRDefault="005215CE" w:rsidP="00AB6C46">
            <w:pPr>
              <w:widowControl w:val="0"/>
              <w:autoSpaceDE w:val="0"/>
              <w:autoSpaceDN w:val="0"/>
              <w:adjustRightInd w:val="0"/>
              <w:rPr>
                <w:sz w:val="22"/>
                <w:szCs w:val="22"/>
              </w:rPr>
            </w:pPr>
          </w:p>
        </w:tc>
        <w:tc>
          <w:tcPr>
            <w:tcW w:w="0" w:type="auto"/>
            <w:tcBorders>
              <w:top w:val="single" w:sz="4" w:space="0" w:color="auto"/>
              <w:left w:val="nil"/>
              <w:bottom w:val="single" w:sz="4" w:space="0" w:color="auto"/>
              <w:right w:val="nil"/>
            </w:tcBorders>
          </w:tcPr>
          <w:p w14:paraId="63E8342B" w14:textId="77777777" w:rsidR="005215CE" w:rsidRPr="00AD55AA" w:rsidRDefault="005215CE" w:rsidP="00AB6C46">
            <w:pPr>
              <w:widowControl w:val="0"/>
              <w:autoSpaceDE w:val="0"/>
              <w:autoSpaceDN w:val="0"/>
              <w:adjustRightInd w:val="0"/>
              <w:rPr>
                <w:sz w:val="22"/>
                <w:szCs w:val="22"/>
              </w:rPr>
            </w:pPr>
          </w:p>
        </w:tc>
        <w:tc>
          <w:tcPr>
            <w:tcW w:w="0" w:type="auto"/>
            <w:tcBorders>
              <w:top w:val="single" w:sz="4" w:space="0" w:color="auto"/>
              <w:left w:val="nil"/>
              <w:bottom w:val="single" w:sz="4" w:space="0" w:color="auto"/>
              <w:right w:val="nil"/>
            </w:tcBorders>
            <w:hideMark/>
          </w:tcPr>
          <w:p w14:paraId="5E264C02" w14:textId="646E360B" w:rsidR="005215CE" w:rsidRPr="00AD55AA" w:rsidRDefault="005215CE" w:rsidP="006F3F63">
            <w:pPr>
              <w:widowControl w:val="0"/>
              <w:autoSpaceDE w:val="0"/>
              <w:autoSpaceDN w:val="0"/>
              <w:adjustRightInd w:val="0"/>
              <w:jc w:val="center"/>
              <w:rPr>
                <w:sz w:val="22"/>
                <w:szCs w:val="22"/>
              </w:rPr>
            </w:pPr>
            <w:r w:rsidRPr="00AD55AA">
              <w:rPr>
                <w:sz w:val="22"/>
                <w:szCs w:val="22"/>
              </w:rPr>
              <w:t>2</w:t>
            </w:r>
            <w:r w:rsidR="006F3F63">
              <w:rPr>
                <w:sz w:val="22"/>
                <w:szCs w:val="22"/>
              </w:rPr>
              <w:t>3</w:t>
            </w:r>
          </w:p>
        </w:tc>
        <w:tc>
          <w:tcPr>
            <w:tcW w:w="0" w:type="auto"/>
            <w:tcBorders>
              <w:top w:val="single" w:sz="4" w:space="0" w:color="auto"/>
              <w:left w:val="nil"/>
              <w:bottom w:val="single" w:sz="4" w:space="0" w:color="auto"/>
              <w:right w:val="nil"/>
            </w:tcBorders>
          </w:tcPr>
          <w:p w14:paraId="7E3EC243" w14:textId="256D10D4" w:rsidR="005215CE" w:rsidRPr="00AD55AA" w:rsidRDefault="005215CE" w:rsidP="00AB6C46">
            <w:pPr>
              <w:widowControl w:val="0"/>
              <w:autoSpaceDE w:val="0"/>
              <w:autoSpaceDN w:val="0"/>
              <w:adjustRightInd w:val="0"/>
              <w:jc w:val="center"/>
              <w:rPr>
                <w:sz w:val="22"/>
                <w:szCs w:val="22"/>
              </w:rPr>
            </w:pPr>
          </w:p>
        </w:tc>
      </w:tr>
      <w:tr w:rsidR="00357B0D" w:rsidRPr="00AD55AA" w14:paraId="68378140" w14:textId="77777777" w:rsidTr="00357B0D">
        <w:trPr>
          <w:jc w:val="center"/>
        </w:trPr>
        <w:tc>
          <w:tcPr>
            <w:tcW w:w="0" w:type="auto"/>
            <w:tcBorders>
              <w:top w:val="single" w:sz="4" w:space="0" w:color="auto"/>
              <w:left w:val="nil"/>
              <w:right w:val="nil"/>
            </w:tcBorders>
          </w:tcPr>
          <w:p w14:paraId="2391FCB8" w14:textId="77777777" w:rsidR="00357B0D" w:rsidRPr="00AD55AA" w:rsidRDefault="00357B0D" w:rsidP="00AB6C46">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3298F1B7" w14:textId="77777777" w:rsidR="00357B0D" w:rsidRPr="00AD55AA" w:rsidRDefault="00357B0D" w:rsidP="00AB6C46">
            <w:pPr>
              <w:widowControl w:val="0"/>
              <w:autoSpaceDE w:val="0"/>
              <w:autoSpaceDN w:val="0"/>
              <w:adjustRightInd w:val="0"/>
              <w:rPr>
                <w:sz w:val="22"/>
                <w:szCs w:val="22"/>
              </w:rPr>
            </w:pPr>
          </w:p>
        </w:tc>
        <w:tc>
          <w:tcPr>
            <w:tcW w:w="0" w:type="auto"/>
            <w:tcBorders>
              <w:top w:val="single" w:sz="4" w:space="0" w:color="auto"/>
              <w:left w:val="nil"/>
              <w:right w:val="nil"/>
            </w:tcBorders>
          </w:tcPr>
          <w:p w14:paraId="307DCF46" w14:textId="77777777" w:rsidR="00357B0D" w:rsidRPr="00AD55AA" w:rsidRDefault="00357B0D" w:rsidP="00AB6C46">
            <w:pPr>
              <w:widowControl w:val="0"/>
              <w:autoSpaceDE w:val="0"/>
              <w:autoSpaceDN w:val="0"/>
              <w:adjustRightInd w:val="0"/>
              <w:rPr>
                <w:sz w:val="22"/>
                <w:szCs w:val="22"/>
              </w:rPr>
            </w:pPr>
          </w:p>
        </w:tc>
        <w:tc>
          <w:tcPr>
            <w:tcW w:w="0" w:type="auto"/>
            <w:tcBorders>
              <w:top w:val="single" w:sz="4" w:space="0" w:color="auto"/>
              <w:left w:val="nil"/>
              <w:right w:val="nil"/>
            </w:tcBorders>
          </w:tcPr>
          <w:p w14:paraId="65858971" w14:textId="77777777" w:rsidR="00357B0D" w:rsidRPr="00AD55AA" w:rsidRDefault="00357B0D" w:rsidP="00AB6C46">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4EF6AC29" w14:textId="77777777" w:rsidR="00357B0D" w:rsidRPr="00AD55AA" w:rsidRDefault="00357B0D" w:rsidP="00AB6C46">
            <w:pPr>
              <w:widowControl w:val="0"/>
              <w:autoSpaceDE w:val="0"/>
              <w:autoSpaceDN w:val="0"/>
              <w:adjustRightInd w:val="0"/>
              <w:jc w:val="center"/>
              <w:rPr>
                <w:sz w:val="22"/>
                <w:szCs w:val="22"/>
              </w:rPr>
            </w:pPr>
          </w:p>
        </w:tc>
      </w:tr>
      <w:tr w:rsidR="00357B0D" w:rsidRPr="00AD55AA" w14:paraId="77E206D4" w14:textId="77777777" w:rsidTr="00357B0D">
        <w:trPr>
          <w:jc w:val="center"/>
        </w:trPr>
        <w:tc>
          <w:tcPr>
            <w:tcW w:w="0" w:type="auto"/>
            <w:gridSpan w:val="5"/>
            <w:tcBorders>
              <w:left w:val="nil"/>
              <w:right w:val="nil"/>
            </w:tcBorders>
            <w:vAlign w:val="center"/>
          </w:tcPr>
          <w:p w14:paraId="06FECBED" w14:textId="6918C1D6" w:rsidR="00357B0D" w:rsidRPr="00AD55AA" w:rsidRDefault="00357B0D" w:rsidP="009B7E9B">
            <w:pPr>
              <w:widowControl w:val="0"/>
              <w:autoSpaceDE w:val="0"/>
              <w:autoSpaceDN w:val="0"/>
              <w:adjustRightInd w:val="0"/>
              <w:jc w:val="both"/>
              <w:rPr>
                <w:sz w:val="22"/>
                <w:szCs w:val="22"/>
              </w:rPr>
            </w:pPr>
            <w:r>
              <w:rPr>
                <w:bCs/>
                <w:sz w:val="22"/>
                <w:szCs w:val="22"/>
              </w:rPr>
              <w:t>This table</w:t>
            </w:r>
            <w:r w:rsidRPr="00AD55AA">
              <w:rPr>
                <w:bCs/>
                <w:sz w:val="22"/>
                <w:szCs w:val="22"/>
              </w:rPr>
              <w:t xml:space="preserve"> </w:t>
            </w:r>
            <w:r>
              <w:rPr>
                <w:bCs/>
                <w:sz w:val="22"/>
                <w:szCs w:val="22"/>
              </w:rPr>
              <w:t>presents</w:t>
            </w:r>
            <w:r w:rsidRPr="00AD55AA">
              <w:rPr>
                <w:bCs/>
                <w:sz w:val="22"/>
                <w:szCs w:val="22"/>
              </w:rPr>
              <w:t xml:space="preserve"> the distribution of CFIUS interventions by industry.</w:t>
            </w:r>
            <w:r>
              <w:rPr>
                <w:bCs/>
                <w:sz w:val="22"/>
                <w:szCs w:val="22"/>
              </w:rPr>
              <w:t xml:space="preserve"> </w:t>
            </w:r>
            <w:r w:rsidRPr="00AD55AA">
              <w:rPr>
                <w:bCs/>
                <w:sz w:val="22"/>
                <w:szCs w:val="22"/>
              </w:rPr>
              <w:t>The industry classification is from Compustat.</w:t>
            </w:r>
          </w:p>
        </w:tc>
      </w:tr>
    </w:tbl>
    <w:p w14:paraId="0FF4A1F9" w14:textId="7C13AFEC" w:rsidR="008515D6" w:rsidRPr="00AD55AA" w:rsidRDefault="008515D6">
      <w:pPr>
        <w:spacing w:after="160" w:line="259" w:lineRule="auto"/>
        <w:rPr>
          <w:b/>
          <w:sz w:val="22"/>
          <w:szCs w:val="22"/>
        </w:rPr>
      </w:pPr>
      <w:r w:rsidRPr="00AD55AA">
        <w:rPr>
          <w:b/>
          <w:sz w:val="22"/>
          <w:szCs w:val="22"/>
        </w:rPr>
        <w:br w:type="page"/>
      </w:r>
    </w:p>
    <w:tbl>
      <w:tblPr>
        <w:tblW w:w="5000" w:type="pct"/>
        <w:jc w:val="center"/>
        <w:tblLook w:val="0000" w:firstRow="0" w:lastRow="0" w:firstColumn="0" w:lastColumn="0" w:noHBand="0" w:noVBand="0"/>
      </w:tblPr>
      <w:tblGrid>
        <w:gridCol w:w="1786"/>
        <w:gridCol w:w="506"/>
        <w:gridCol w:w="506"/>
        <w:gridCol w:w="3786"/>
        <w:gridCol w:w="2483"/>
      </w:tblGrid>
      <w:tr w:rsidR="002C5DA0" w:rsidRPr="00AD55AA" w14:paraId="18B52290" w14:textId="77777777" w:rsidTr="009B7E9B">
        <w:trPr>
          <w:jc w:val="center"/>
        </w:trPr>
        <w:tc>
          <w:tcPr>
            <w:tcW w:w="5000" w:type="pct"/>
            <w:gridSpan w:val="5"/>
            <w:tcBorders>
              <w:left w:val="nil"/>
              <w:bottom w:val="nil"/>
              <w:right w:val="nil"/>
            </w:tcBorders>
          </w:tcPr>
          <w:p w14:paraId="44660406" w14:textId="5BEF6127" w:rsidR="002C5DA0" w:rsidRPr="00AD55AA" w:rsidRDefault="00940566" w:rsidP="00377D86">
            <w:pPr>
              <w:widowControl w:val="0"/>
              <w:autoSpaceDE w:val="0"/>
              <w:autoSpaceDN w:val="0"/>
              <w:adjustRightInd w:val="0"/>
              <w:rPr>
                <w:b/>
                <w:sz w:val="22"/>
                <w:szCs w:val="22"/>
              </w:rPr>
            </w:pPr>
            <w:bookmarkStart w:id="10" w:name="_Hlk127786900"/>
            <w:r w:rsidRPr="0088417F">
              <w:rPr>
                <w:b/>
                <w:sz w:val="22"/>
                <w:szCs w:val="22"/>
              </w:rPr>
              <w:lastRenderedPageBreak/>
              <w:t xml:space="preserve">Table </w:t>
            </w:r>
            <w:r w:rsidR="00377D86" w:rsidRPr="0088417F">
              <w:rPr>
                <w:b/>
                <w:bCs/>
                <w:sz w:val="22"/>
                <w:szCs w:val="22"/>
              </w:rPr>
              <w:t>2</w:t>
            </w:r>
            <w:r w:rsidRPr="0088417F">
              <w:rPr>
                <w:b/>
                <w:sz w:val="22"/>
                <w:szCs w:val="22"/>
              </w:rPr>
              <w:t xml:space="preserve"> – Panel A</w:t>
            </w:r>
          </w:p>
        </w:tc>
      </w:tr>
      <w:tr w:rsidR="002C5DA0" w:rsidRPr="00AD55AA" w14:paraId="0E26B547" w14:textId="77777777" w:rsidTr="009B7E9B">
        <w:trPr>
          <w:jc w:val="center"/>
        </w:trPr>
        <w:tc>
          <w:tcPr>
            <w:tcW w:w="5000" w:type="pct"/>
            <w:gridSpan w:val="5"/>
            <w:tcBorders>
              <w:left w:val="nil"/>
              <w:right w:val="nil"/>
            </w:tcBorders>
          </w:tcPr>
          <w:p w14:paraId="77FBB39E" w14:textId="50CE2034" w:rsidR="002C5DA0" w:rsidRPr="00AD55AA" w:rsidRDefault="0067117A" w:rsidP="00CD2B55">
            <w:pPr>
              <w:widowControl w:val="0"/>
              <w:autoSpaceDE w:val="0"/>
              <w:autoSpaceDN w:val="0"/>
              <w:adjustRightInd w:val="0"/>
              <w:rPr>
                <w:b/>
                <w:sz w:val="22"/>
                <w:szCs w:val="22"/>
              </w:rPr>
            </w:pPr>
            <w:r>
              <w:rPr>
                <w:b/>
                <w:sz w:val="22"/>
                <w:szCs w:val="22"/>
              </w:rPr>
              <w:t xml:space="preserve">CFIUS </w:t>
            </w:r>
            <w:r w:rsidR="003D62B2">
              <w:rPr>
                <w:b/>
                <w:bCs/>
                <w:sz w:val="22"/>
                <w:szCs w:val="22"/>
              </w:rPr>
              <w:t xml:space="preserve">interventions </w:t>
            </w:r>
            <w:r>
              <w:rPr>
                <w:b/>
                <w:sz w:val="22"/>
                <w:szCs w:val="22"/>
              </w:rPr>
              <w:t xml:space="preserve">and </w:t>
            </w:r>
            <w:r w:rsidR="00DE3298">
              <w:rPr>
                <w:b/>
                <w:sz w:val="22"/>
                <w:szCs w:val="22"/>
              </w:rPr>
              <w:t xml:space="preserve">target </w:t>
            </w:r>
            <w:r>
              <w:rPr>
                <w:b/>
                <w:sz w:val="22"/>
                <w:szCs w:val="22"/>
              </w:rPr>
              <w:t>market r</w:t>
            </w:r>
            <w:r w:rsidR="00CB744B" w:rsidRPr="00AD55AA">
              <w:rPr>
                <w:b/>
                <w:sz w:val="22"/>
                <w:szCs w:val="22"/>
              </w:rPr>
              <w:t>eaction</w:t>
            </w:r>
          </w:p>
        </w:tc>
      </w:tr>
      <w:tr w:rsidR="002C5DA0" w:rsidRPr="00AD55AA" w14:paraId="26EDC4CE" w14:textId="77777777" w:rsidTr="009B7E9B">
        <w:trPr>
          <w:jc w:val="center"/>
        </w:trPr>
        <w:tc>
          <w:tcPr>
            <w:tcW w:w="5000" w:type="pct"/>
            <w:gridSpan w:val="5"/>
            <w:tcBorders>
              <w:left w:val="nil"/>
              <w:bottom w:val="single" w:sz="4" w:space="0" w:color="auto"/>
              <w:right w:val="nil"/>
            </w:tcBorders>
          </w:tcPr>
          <w:p w14:paraId="7E052873" w14:textId="0148C78C" w:rsidR="002C5DA0" w:rsidRPr="00AD55AA" w:rsidRDefault="002C5DA0" w:rsidP="00FA16F6">
            <w:pPr>
              <w:widowControl w:val="0"/>
              <w:autoSpaceDE w:val="0"/>
              <w:autoSpaceDN w:val="0"/>
              <w:adjustRightInd w:val="0"/>
              <w:jc w:val="both"/>
              <w:rPr>
                <w:sz w:val="22"/>
                <w:szCs w:val="22"/>
              </w:rPr>
            </w:pPr>
          </w:p>
        </w:tc>
      </w:tr>
      <w:tr w:rsidR="009B7E9B" w:rsidRPr="00AD55AA" w14:paraId="5CFF34AB" w14:textId="77777777" w:rsidTr="009B7E9B">
        <w:trPr>
          <w:jc w:val="center"/>
        </w:trPr>
        <w:tc>
          <w:tcPr>
            <w:tcW w:w="985" w:type="pct"/>
            <w:tcBorders>
              <w:top w:val="single" w:sz="4" w:space="0" w:color="auto"/>
              <w:left w:val="nil"/>
              <w:right w:val="nil"/>
            </w:tcBorders>
          </w:tcPr>
          <w:p w14:paraId="02E6C8D7" w14:textId="77777777" w:rsidR="009B7E9B" w:rsidRPr="00AD55AA" w:rsidRDefault="009B7E9B" w:rsidP="00346D4F">
            <w:pPr>
              <w:widowControl w:val="0"/>
              <w:autoSpaceDE w:val="0"/>
              <w:autoSpaceDN w:val="0"/>
              <w:adjustRightInd w:val="0"/>
              <w:rPr>
                <w:sz w:val="22"/>
                <w:szCs w:val="22"/>
              </w:rPr>
            </w:pPr>
          </w:p>
        </w:tc>
        <w:tc>
          <w:tcPr>
            <w:tcW w:w="279" w:type="pct"/>
            <w:tcBorders>
              <w:top w:val="single" w:sz="4" w:space="0" w:color="auto"/>
              <w:left w:val="nil"/>
              <w:right w:val="nil"/>
            </w:tcBorders>
          </w:tcPr>
          <w:p w14:paraId="6AB3935B" w14:textId="77777777" w:rsidR="009B7E9B" w:rsidRPr="00AD55AA" w:rsidRDefault="009B7E9B" w:rsidP="00346D4F">
            <w:pPr>
              <w:widowControl w:val="0"/>
              <w:autoSpaceDE w:val="0"/>
              <w:autoSpaceDN w:val="0"/>
              <w:adjustRightInd w:val="0"/>
              <w:jc w:val="center"/>
              <w:rPr>
                <w:sz w:val="22"/>
                <w:szCs w:val="22"/>
              </w:rPr>
            </w:pPr>
          </w:p>
        </w:tc>
        <w:tc>
          <w:tcPr>
            <w:tcW w:w="279" w:type="pct"/>
            <w:tcBorders>
              <w:top w:val="single" w:sz="4" w:space="0" w:color="auto"/>
              <w:left w:val="nil"/>
              <w:right w:val="nil"/>
            </w:tcBorders>
          </w:tcPr>
          <w:p w14:paraId="0628ED32" w14:textId="77777777" w:rsidR="009B7E9B" w:rsidRPr="00AD55AA" w:rsidRDefault="009B7E9B" w:rsidP="00346D4F">
            <w:pPr>
              <w:widowControl w:val="0"/>
              <w:autoSpaceDE w:val="0"/>
              <w:autoSpaceDN w:val="0"/>
              <w:adjustRightInd w:val="0"/>
              <w:jc w:val="center"/>
              <w:rPr>
                <w:sz w:val="22"/>
                <w:szCs w:val="22"/>
              </w:rPr>
            </w:pPr>
          </w:p>
        </w:tc>
        <w:tc>
          <w:tcPr>
            <w:tcW w:w="3457" w:type="pct"/>
            <w:gridSpan w:val="2"/>
            <w:tcBorders>
              <w:top w:val="single" w:sz="4" w:space="0" w:color="auto"/>
              <w:left w:val="nil"/>
              <w:right w:val="nil"/>
            </w:tcBorders>
          </w:tcPr>
          <w:p w14:paraId="50580D33" w14:textId="2B1335A1" w:rsidR="009B7E9B" w:rsidRPr="00AD55AA" w:rsidRDefault="009B7E9B" w:rsidP="00346D4F">
            <w:pPr>
              <w:widowControl w:val="0"/>
              <w:autoSpaceDE w:val="0"/>
              <w:autoSpaceDN w:val="0"/>
              <w:adjustRightInd w:val="0"/>
              <w:jc w:val="center"/>
              <w:rPr>
                <w:sz w:val="22"/>
                <w:szCs w:val="22"/>
              </w:rPr>
            </w:pPr>
            <w:r w:rsidRPr="00AD55AA">
              <w:rPr>
                <w:sz w:val="22"/>
                <w:szCs w:val="22"/>
              </w:rPr>
              <w:t>CAR</w:t>
            </w:r>
          </w:p>
        </w:tc>
      </w:tr>
      <w:tr w:rsidR="00346D4F" w:rsidRPr="00AD55AA" w14:paraId="3EF7D2A1" w14:textId="77777777" w:rsidTr="009B7E9B">
        <w:trPr>
          <w:jc w:val="center"/>
        </w:trPr>
        <w:tc>
          <w:tcPr>
            <w:tcW w:w="985" w:type="pct"/>
            <w:tcBorders>
              <w:top w:val="nil"/>
              <w:left w:val="nil"/>
              <w:right w:val="nil"/>
            </w:tcBorders>
          </w:tcPr>
          <w:p w14:paraId="7B960821" w14:textId="77777777" w:rsidR="00346D4F" w:rsidRPr="00AD55AA" w:rsidRDefault="00346D4F" w:rsidP="00346D4F">
            <w:pPr>
              <w:widowControl w:val="0"/>
              <w:autoSpaceDE w:val="0"/>
              <w:autoSpaceDN w:val="0"/>
              <w:adjustRightInd w:val="0"/>
              <w:rPr>
                <w:sz w:val="22"/>
                <w:szCs w:val="22"/>
              </w:rPr>
            </w:pPr>
          </w:p>
        </w:tc>
        <w:tc>
          <w:tcPr>
            <w:tcW w:w="279" w:type="pct"/>
            <w:tcBorders>
              <w:top w:val="nil"/>
              <w:left w:val="nil"/>
              <w:right w:val="nil"/>
            </w:tcBorders>
          </w:tcPr>
          <w:p w14:paraId="60ACD3BD" w14:textId="5F700220" w:rsidR="00346D4F" w:rsidRPr="00AD55AA" w:rsidRDefault="00346D4F" w:rsidP="00346D4F">
            <w:pPr>
              <w:widowControl w:val="0"/>
              <w:autoSpaceDE w:val="0"/>
              <w:autoSpaceDN w:val="0"/>
              <w:adjustRightInd w:val="0"/>
              <w:jc w:val="center"/>
              <w:rPr>
                <w:sz w:val="22"/>
                <w:szCs w:val="22"/>
              </w:rPr>
            </w:pPr>
          </w:p>
        </w:tc>
        <w:tc>
          <w:tcPr>
            <w:tcW w:w="279" w:type="pct"/>
            <w:tcBorders>
              <w:top w:val="nil"/>
              <w:left w:val="nil"/>
              <w:right w:val="nil"/>
            </w:tcBorders>
          </w:tcPr>
          <w:p w14:paraId="5CD1E418" w14:textId="358A0AC6" w:rsidR="00346D4F" w:rsidRPr="00AD55AA" w:rsidRDefault="00346D4F" w:rsidP="00346D4F">
            <w:pPr>
              <w:widowControl w:val="0"/>
              <w:autoSpaceDE w:val="0"/>
              <w:autoSpaceDN w:val="0"/>
              <w:adjustRightInd w:val="0"/>
              <w:jc w:val="center"/>
              <w:rPr>
                <w:sz w:val="22"/>
                <w:szCs w:val="22"/>
              </w:rPr>
            </w:pPr>
          </w:p>
        </w:tc>
        <w:tc>
          <w:tcPr>
            <w:tcW w:w="2088" w:type="pct"/>
            <w:tcBorders>
              <w:top w:val="nil"/>
              <w:left w:val="nil"/>
              <w:right w:val="nil"/>
            </w:tcBorders>
          </w:tcPr>
          <w:p w14:paraId="3FF2D19C" w14:textId="2F24B790" w:rsidR="00346D4F" w:rsidRPr="00AD55AA" w:rsidRDefault="00346D4F" w:rsidP="00346D4F">
            <w:pPr>
              <w:widowControl w:val="0"/>
              <w:autoSpaceDE w:val="0"/>
              <w:autoSpaceDN w:val="0"/>
              <w:adjustRightInd w:val="0"/>
              <w:jc w:val="center"/>
              <w:rPr>
                <w:sz w:val="22"/>
                <w:szCs w:val="22"/>
              </w:rPr>
            </w:pPr>
            <w:r>
              <w:rPr>
                <w:sz w:val="22"/>
                <w:szCs w:val="22"/>
              </w:rPr>
              <w:t>(1</w:t>
            </w:r>
            <w:r w:rsidRPr="00AD55AA">
              <w:rPr>
                <w:sz w:val="22"/>
                <w:szCs w:val="22"/>
              </w:rPr>
              <w:t>)</w:t>
            </w:r>
          </w:p>
        </w:tc>
        <w:tc>
          <w:tcPr>
            <w:tcW w:w="1369" w:type="pct"/>
            <w:tcBorders>
              <w:top w:val="nil"/>
              <w:left w:val="nil"/>
              <w:right w:val="nil"/>
            </w:tcBorders>
          </w:tcPr>
          <w:p w14:paraId="685278F9" w14:textId="276D1D3C" w:rsidR="00346D4F" w:rsidRPr="00AD55AA" w:rsidRDefault="00346D4F" w:rsidP="00346D4F">
            <w:pPr>
              <w:widowControl w:val="0"/>
              <w:autoSpaceDE w:val="0"/>
              <w:autoSpaceDN w:val="0"/>
              <w:adjustRightInd w:val="0"/>
              <w:jc w:val="center"/>
              <w:rPr>
                <w:sz w:val="22"/>
                <w:szCs w:val="22"/>
              </w:rPr>
            </w:pPr>
            <w:r w:rsidRPr="00AD55AA">
              <w:rPr>
                <w:sz w:val="22"/>
                <w:szCs w:val="22"/>
              </w:rPr>
              <w:t>(2)</w:t>
            </w:r>
          </w:p>
        </w:tc>
      </w:tr>
      <w:tr w:rsidR="00346D4F" w:rsidRPr="00AD55AA" w14:paraId="1550B5B9" w14:textId="77777777" w:rsidTr="009B7E9B">
        <w:trPr>
          <w:jc w:val="center"/>
        </w:trPr>
        <w:tc>
          <w:tcPr>
            <w:tcW w:w="985" w:type="pct"/>
            <w:tcBorders>
              <w:top w:val="nil"/>
              <w:left w:val="nil"/>
              <w:bottom w:val="single" w:sz="4" w:space="0" w:color="auto"/>
              <w:right w:val="nil"/>
            </w:tcBorders>
          </w:tcPr>
          <w:p w14:paraId="721A56F4" w14:textId="77777777" w:rsidR="00346D4F" w:rsidRPr="00AD55AA" w:rsidRDefault="00346D4F" w:rsidP="00346D4F">
            <w:pPr>
              <w:widowControl w:val="0"/>
              <w:autoSpaceDE w:val="0"/>
              <w:autoSpaceDN w:val="0"/>
              <w:adjustRightInd w:val="0"/>
              <w:rPr>
                <w:sz w:val="22"/>
                <w:szCs w:val="22"/>
              </w:rPr>
            </w:pPr>
          </w:p>
        </w:tc>
        <w:tc>
          <w:tcPr>
            <w:tcW w:w="279" w:type="pct"/>
            <w:tcBorders>
              <w:top w:val="nil"/>
              <w:left w:val="nil"/>
              <w:bottom w:val="single" w:sz="4" w:space="0" w:color="auto"/>
              <w:right w:val="nil"/>
            </w:tcBorders>
          </w:tcPr>
          <w:p w14:paraId="7786BB0F" w14:textId="77777777" w:rsidR="00346D4F" w:rsidRPr="00AD55AA" w:rsidRDefault="00346D4F" w:rsidP="00346D4F">
            <w:pPr>
              <w:widowControl w:val="0"/>
              <w:autoSpaceDE w:val="0"/>
              <w:autoSpaceDN w:val="0"/>
              <w:adjustRightInd w:val="0"/>
              <w:jc w:val="center"/>
              <w:rPr>
                <w:sz w:val="22"/>
                <w:szCs w:val="22"/>
              </w:rPr>
            </w:pPr>
          </w:p>
        </w:tc>
        <w:tc>
          <w:tcPr>
            <w:tcW w:w="279" w:type="pct"/>
            <w:tcBorders>
              <w:top w:val="nil"/>
              <w:left w:val="nil"/>
              <w:bottom w:val="single" w:sz="4" w:space="0" w:color="auto"/>
              <w:right w:val="nil"/>
            </w:tcBorders>
          </w:tcPr>
          <w:p w14:paraId="06C3285D" w14:textId="0BCC1F4E" w:rsidR="00346D4F" w:rsidRPr="00AD55AA" w:rsidRDefault="00346D4F" w:rsidP="00346D4F">
            <w:pPr>
              <w:widowControl w:val="0"/>
              <w:autoSpaceDE w:val="0"/>
              <w:autoSpaceDN w:val="0"/>
              <w:adjustRightInd w:val="0"/>
              <w:jc w:val="center"/>
              <w:rPr>
                <w:sz w:val="22"/>
                <w:szCs w:val="22"/>
              </w:rPr>
            </w:pPr>
          </w:p>
        </w:tc>
        <w:tc>
          <w:tcPr>
            <w:tcW w:w="2088" w:type="pct"/>
            <w:tcBorders>
              <w:top w:val="nil"/>
              <w:left w:val="nil"/>
              <w:bottom w:val="single" w:sz="4" w:space="0" w:color="auto"/>
              <w:right w:val="nil"/>
            </w:tcBorders>
          </w:tcPr>
          <w:p w14:paraId="07F01948" w14:textId="60863D99" w:rsidR="00346D4F" w:rsidRPr="00AD55AA" w:rsidRDefault="00243975" w:rsidP="00243975">
            <w:pPr>
              <w:widowControl w:val="0"/>
              <w:autoSpaceDE w:val="0"/>
              <w:autoSpaceDN w:val="0"/>
              <w:adjustRightInd w:val="0"/>
              <w:jc w:val="center"/>
              <w:rPr>
                <w:sz w:val="22"/>
                <w:szCs w:val="22"/>
              </w:rPr>
            </w:pPr>
            <w:r w:rsidRPr="00AD55AA">
              <w:rPr>
                <w:sz w:val="22"/>
                <w:szCs w:val="22"/>
              </w:rPr>
              <w:t xml:space="preserve">Obs. = </w:t>
            </w:r>
            <w:r>
              <w:rPr>
                <w:sz w:val="22"/>
                <w:szCs w:val="22"/>
              </w:rPr>
              <w:t>16</w:t>
            </w:r>
          </w:p>
        </w:tc>
        <w:tc>
          <w:tcPr>
            <w:tcW w:w="1369" w:type="pct"/>
            <w:tcBorders>
              <w:top w:val="nil"/>
              <w:left w:val="nil"/>
              <w:bottom w:val="single" w:sz="4" w:space="0" w:color="auto"/>
              <w:right w:val="nil"/>
            </w:tcBorders>
          </w:tcPr>
          <w:p w14:paraId="21069A0D" w14:textId="37E8F607" w:rsidR="00346D4F" w:rsidRPr="00AD55AA" w:rsidRDefault="00243975" w:rsidP="00FA16F6">
            <w:pPr>
              <w:widowControl w:val="0"/>
              <w:autoSpaceDE w:val="0"/>
              <w:autoSpaceDN w:val="0"/>
              <w:adjustRightInd w:val="0"/>
              <w:jc w:val="center"/>
              <w:rPr>
                <w:sz w:val="22"/>
                <w:szCs w:val="22"/>
              </w:rPr>
            </w:pPr>
            <w:r w:rsidRPr="00AD55AA">
              <w:rPr>
                <w:sz w:val="22"/>
                <w:szCs w:val="22"/>
              </w:rPr>
              <w:t xml:space="preserve">Obs. = </w:t>
            </w:r>
            <w:r>
              <w:rPr>
                <w:sz w:val="22"/>
                <w:szCs w:val="22"/>
              </w:rPr>
              <w:t>16</w:t>
            </w:r>
          </w:p>
        </w:tc>
      </w:tr>
      <w:tr w:rsidR="00346D4F" w:rsidRPr="00AD55AA" w14:paraId="5B5FE88F" w14:textId="77777777" w:rsidTr="009B7E9B">
        <w:trPr>
          <w:jc w:val="center"/>
        </w:trPr>
        <w:tc>
          <w:tcPr>
            <w:tcW w:w="985" w:type="pct"/>
            <w:tcBorders>
              <w:top w:val="nil"/>
              <w:left w:val="nil"/>
              <w:right w:val="nil"/>
            </w:tcBorders>
          </w:tcPr>
          <w:p w14:paraId="5AB21B53" w14:textId="78BB0C66" w:rsidR="00346D4F" w:rsidRPr="00AD55AA" w:rsidRDefault="00346D4F" w:rsidP="00346D4F">
            <w:pPr>
              <w:widowControl w:val="0"/>
              <w:autoSpaceDE w:val="0"/>
              <w:autoSpaceDN w:val="0"/>
              <w:adjustRightInd w:val="0"/>
              <w:rPr>
                <w:sz w:val="22"/>
                <w:szCs w:val="22"/>
              </w:rPr>
            </w:pPr>
            <w:r w:rsidRPr="00AD55AA">
              <w:rPr>
                <w:sz w:val="22"/>
                <w:szCs w:val="22"/>
              </w:rPr>
              <w:t>[-1,+1]</w:t>
            </w:r>
          </w:p>
        </w:tc>
        <w:tc>
          <w:tcPr>
            <w:tcW w:w="279" w:type="pct"/>
            <w:tcBorders>
              <w:top w:val="nil"/>
              <w:left w:val="nil"/>
              <w:right w:val="nil"/>
            </w:tcBorders>
          </w:tcPr>
          <w:p w14:paraId="7DCF226E" w14:textId="77777777" w:rsidR="00346D4F" w:rsidRPr="00AD55AA" w:rsidRDefault="00346D4F" w:rsidP="00346D4F">
            <w:pPr>
              <w:widowControl w:val="0"/>
              <w:autoSpaceDE w:val="0"/>
              <w:autoSpaceDN w:val="0"/>
              <w:adjustRightInd w:val="0"/>
              <w:jc w:val="center"/>
              <w:rPr>
                <w:sz w:val="22"/>
                <w:szCs w:val="22"/>
              </w:rPr>
            </w:pPr>
          </w:p>
        </w:tc>
        <w:tc>
          <w:tcPr>
            <w:tcW w:w="279" w:type="pct"/>
            <w:tcBorders>
              <w:top w:val="nil"/>
              <w:left w:val="nil"/>
              <w:right w:val="nil"/>
            </w:tcBorders>
          </w:tcPr>
          <w:p w14:paraId="0E68C9A7" w14:textId="77777777" w:rsidR="00346D4F" w:rsidRPr="00AD55AA" w:rsidRDefault="00346D4F" w:rsidP="00346D4F">
            <w:pPr>
              <w:widowControl w:val="0"/>
              <w:autoSpaceDE w:val="0"/>
              <w:autoSpaceDN w:val="0"/>
              <w:adjustRightInd w:val="0"/>
              <w:jc w:val="center"/>
              <w:rPr>
                <w:sz w:val="22"/>
                <w:szCs w:val="22"/>
              </w:rPr>
            </w:pPr>
          </w:p>
        </w:tc>
        <w:tc>
          <w:tcPr>
            <w:tcW w:w="2088" w:type="pct"/>
            <w:tcBorders>
              <w:top w:val="nil"/>
              <w:left w:val="nil"/>
              <w:right w:val="nil"/>
            </w:tcBorders>
          </w:tcPr>
          <w:p w14:paraId="650CD086" w14:textId="6C78E68A" w:rsidR="00346D4F" w:rsidRPr="00AD55AA" w:rsidRDefault="00346D4F" w:rsidP="00346D4F">
            <w:pPr>
              <w:widowControl w:val="0"/>
              <w:autoSpaceDE w:val="0"/>
              <w:autoSpaceDN w:val="0"/>
              <w:adjustRightInd w:val="0"/>
              <w:jc w:val="center"/>
              <w:rPr>
                <w:sz w:val="22"/>
                <w:szCs w:val="22"/>
              </w:rPr>
            </w:pPr>
            <w:r w:rsidRPr="00AD55AA">
              <w:rPr>
                <w:sz w:val="22"/>
                <w:szCs w:val="22"/>
              </w:rPr>
              <w:t>-.</w:t>
            </w:r>
            <w:r w:rsidR="00243975">
              <w:rPr>
                <w:sz w:val="22"/>
                <w:szCs w:val="22"/>
              </w:rPr>
              <w:t>0539</w:t>
            </w:r>
            <w:r w:rsidRPr="00AD55AA">
              <w:rPr>
                <w:sz w:val="22"/>
                <w:szCs w:val="22"/>
              </w:rPr>
              <w:t>**</w:t>
            </w:r>
          </w:p>
        </w:tc>
        <w:tc>
          <w:tcPr>
            <w:tcW w:w="1369" w:type="pct"/>
            <w:tcBorders>
              <w:top w:val="nil"/>
              <w:left w:val="nil"/>
              <w:right w:val="nil"/>
            </w:tcBorders>
          </w:tcPr>
          <w:p w14:paraId="37A8A21C" w14:textId="5FCCF8C7" w:rsidR="00346D4F" w:rsidRPr="00AD55AA" w:rsidRDefault="00346D4F" w:rsidP="00346D4F">
            <w:pPr>
              <w:widowControl w:val="0"/>
              <w:autoSpaceDE w:val="0"/>
              <w:autoSpaceDN w:val="0"/>
              <w:adjustRightInd w:val="0"/>
              <w:jc w:val="center"/>
              <w:rPr>
                <w:sz w:val="22"/>
                <w:szCs w:val="22"/>
              </w:rPr>
            </w:pPr>
            <w:r w:rsidRPr="00AD55AA">
              <w:rPr>
                <w:sz w:val="22"/>
                <w:szCs w:val="22"/>
              </w:rPr>
              <w:t>-.</w:t>
            </w:r>
            <w:r w:rsidR="007B02B5">
              <w:rPr>
                <w:sz w:val="22"/>
                <w:szCs w:val="22"/>
              </w:rPr>
              <w:t>0564</w:t>
            </w:r>
            <w:r w:rsidRPr="00AD55AA">
              <w:rPr>
                <w:sz w:val="22"/>
                <w:szCs w:val="22"/>
              </w:rPr>
              <w:t>**</w:t>
            </w:r>
          </w:p>
        </w:tc>
      </w:tr>
      <w:tr w:rsidR="00346D4F" w:rsidRPr="00AD55AA" w14:paraId="6048280B" w14:textId="77777777" w:rsidTr="009B7E9B">
        <w:trPr>
          <w:jc w:val="center"/>
        </w:trPr>
        <w:tc>
          <w:tcPr>
            <w:tcW w:w="985" w:type="pct"/>
            <w:tcBorders>
              <w:top w:val="nil"/>
              <w:left w:val="nil"/>
              <w:right w:val="nil"/>
            </w:tcBorders>
          </w:tcPr>
          <w:p w14:paraId="5FCE7970" w14:textId="77777777" w:rsidR="00346D4F" w:rsidRPr="00AD55AA" w:rsidRDefault="00346D4F" w:rsidP="00346D4F">
            <w:pPr>
              <w:widowControl w:val="0"/>
              <w:autoSpaceDE w:val="0"/>
              <w:autoSpaceDN w:val="0"/>
              <w:adjustRightInd w:val="0"/>
              <w:rPr>
                <w:sz w:val="22"/>
                <w:szCs w:val="22"/>
              </w:rPr>
            </w:pPr>
          </w:p>
        </w:tc>
        <w:tc>
          <w:tcPr>
            <w:tcW w:w="279" w:type="pct"/>
            <w:tcBorders>
              <w:top w:val="nil"/>
              <w:left w:val="nil"/>
              <w:right w:val="nil"/>
            </w:tcBorders>
          </w:tcPr>
          <w:p w14:paraId="0F15944F" w14:textId="77777777" w:rsidR="00346D4F" w:rsidRPr="00AD55AA" w:rsidRDefault="00346D4F" w:rsidP="00346D4F">
            <w:pPr>
              <w:widowControl w:val="0"/>
              <w:autoSpaceDE w:val="0"/>
              <w:autoSpaceDN w:val="0"/>
              <w:adjustRightInd w:val="0"/>
              <w:jc w:val="center"/>
              <w:rPr>
                <w:sz w:val="22"/>
                <w:szCs w:val="22"/>
              </w:rPr>
            </w:pPr>
          </w:p>
        </w:tc>
        <w:tc>
          <w:tcPr>
            <w:tcW w:w="279" w:type="pct"/>
            <w:tcBorders>
              <w:top w:val="nil"/>
              <w:left w:val="nil"/>
              <w:right w:val="nil"/>
            </w:tcBorders>
          </w:tcPr>
          <w:p w14:paraId="49E74D47" w14:textId="77777777" w:rsidR="00346D4F" w:rsidRPr="00AD55AA" w:rsidRDefault="00346D4F" w:rsidP="00346D4F">
            <w:pPr>
              <w:widowControl w:val="0"/>
              <w:autoSpaceDE w:val="0"/>
              <w:autoSpaceDN w:val="0"/>
              <w:adjustRightInd w:val="0"/>
              <w:jc w:val="center"/>
              <w:rPr>
                <w:sz w:val="22"/>
                <w:szCs w:val="22"/>
              </w:rPr>
            </w:pPr>
          </w:p>
        </w:tc>
        <w:tc>
          <w:tcPr>
            <w:tcW w:w="2088" w:type="pct"/>
            <w:tcBorders>
              <w:top w:val="nil"/>
              <w:left w:val="nil"/>
              <w:right w:val="nil"/>
            </w:tcBorders>
          </w:tcPr>
          <w:p w14:paraId="498C6792" w14:textId="6B475B96" w:rsidR="00346D4F" w:rsidRPr="00AD55AA" w:rsidRDefault="00346D4F" w:rsidP="00346D4F">
            <w:pPr>
              <w:widowControl w:val="0"/>
              <w:autoSpaceDE w:val="0"/>
              <w:autoSpaceDN w:val="0"/>
              <w:adjustRightInd w:val="0"/>
              <w:jc w:val="center"/>
              <w:rPr>
                <w:sz w:val="22"/>
                <w:szCs w:val="22"/>
              </w:rPr>
            </w:pPr>
            <w:r w:rsidRPr="00AD55AA">
              <w:rPr>
                <w:sz w:val="22"/>
                <w:szCs w:val="22"/>
              </w:rPr>
              <w:t>(0.</w:t>
            </w:r>
            <w:r w:rsidR="00243975">
              <w:rPr>
                <w:sz w:val="22"/>
                <w:szCs w:val="22"/>
              </w:rPr>
              <w:t>016</w:t>
            </w:r>
            <w:r w:rsidRPr="00AD55AA">
              <w:rPr>
                <w:sz w:val="22"/>
                <w:szCs w:val="22"/>
              </w:rPr>
              <w:t>)</w:t>
            </w:r>
          </w:p>
        </w:tc>
        <w:tc>
          <w:tcPr>
            <w:tcW w:w="1369" w:type="pct"/>
            <w:tcBorders>
              <w:top w:val="nil"/>
              <w:left w:val="nil"/>
              <w:right w:val="nil"/>
            </w:tcBorders>
          </w:tcPr>
          <w:p w14:paraId="2A6E3085" w14:textId="68E0E64C" w:rsidR="00346D4F" w:rsidRPr="00AD55AA" w:rsidRDefault="007B02B5" w:rsidP="00346D4F">
            <w:pPr>
              <w:widowControl w:val="0"/>
              <w:autoSpaceDE w:val="0"/>
              <w:autoSpaceDN w:val="0"/>
              <w:adjustRightInd w:val="0"/>
              <w:jc w:val="center"/>
              <w:rPr>
                <w:sz w:val="22"/>
                <w:szCs w:val="22"/>
              </w:rPr>
            </w:pPr>
            <w:r>
              <w:rPr>
                <w:sz w:val="22"/>
                <w:szCs w:val="22"/>
              </w:rPr>
              <w:t>(0.012</w:t>
            </w:r>
            <w:r w:rsidR="00346D4F" w:rsidRPr="00AD55AA">
              <w:rPr>
                <w:sz w:val="22"/>
                <w:szCs w:val="22"/>
              </w:rPr>
              <w:t>)</w:t>
            </w:r>
          </w:p>
        </w:tc>
      </w:tr>
      <w:tr w:rsidR="00346D4F" w:rsidRPr="00AD55AA" w14:paraId="0952EA9C" w14:textId="77777777" w:rsidTr="009B7E9B">
        <w:trPr>
          <w:jc w:val="center"/>
        </w:trPr>
        <w:tc>
          <w:tcPr>
            <w:tcW w:w="985" w:type="pct"/>
            <w:tcBorders>
              <w:top w:val="nil"/>
              <w:left w:val="nil"/>
              <w:right w:val="nil"/>
            </w:tcBorders>
          </w:tcPr>
          <w:p w14:paraId="255AABA8" w14:textId="77777777" w:rsidR="00346D4F" w:rsidRPr="00AD55AA" w:rsidRDefault="00346D4F" w:rsidP="00346D4F">
            <w:pPr>
              <w:widowControl w:val="0"/>
              <w:autoSpaceDE w:val="0"/>
              <w:autoSpaceDN w:val="0"/>
              <w:adjustRightInd w:val="0"/>
              <w:rPr>
                <w:sz w:val="22"/>
                <w:szCs w:val="22"/>
              </w:rPr>
            </w:pPr>
          </w:p>
        </w:tc>
        <w:tc>
          <w:tcPr>
            <w:tcW w:w="279" w:type="pct"/>
            <w:tcBorders>
              <w:top w:val="nil"/>
              <w:left w:val="nil"/>
              <w:right w:val="nil"/>
            </w:tcBorders>
          </w:tcPr>
          <w:p w14:paraId="22782400" w14:textId="77777777" w:rsidR="00346D4F" w:rsidRPr="00AD55AA" w:rsidRDefault="00346D4F" w:rsidP="00346D4F">
            <w:pPr>
              <w:widowControl w:val="0"/>
              <w:autoSpaceDE w:val="0"/>
              <w:autoSpaceDN w:val="0"/>
              <w:adjustRightInd w:val="0"/>
              <w:jc w:val="center"/>
              <w:rPr>
                <w:sz w:val="22"/>
                <w:szCs w:val="22"/>
              </w:rPr>
            </w:pPr>
          </w:p>
        </w:tc>
        <w:tc>
          <w:tcPr>
            <w:tcW w:w="279" w:type="pct"/>
            <w:tcBorders>
              <w:top w:val="nil"/>
              <w:left w:val="nil"/>
              <w:right w:val="nil"/>
            </w:tcBorders>
          </w:tcPr>
          <w:p w14:paraId="7609D0EA" w14:textId="77777777" w:rsidR="00346D4F" w:rsidRPr="00AD55AA" w:rsidRDefault="00346D4F" w:rsidP="00346D4F">
            <w:pPr>
              <w:widowControl w:val="0"/>
              <w:autoSpaceDE w:val="0"/>
              <w:autoSpaceDN w:val="0"/>
              <w:adjustRightInd w:val="0"/>
              <w:jc w:val="center"/>
              <w:rPr>
                <w:sz w:val="22"/>
                <w:szCs w:val="22"/>
              </w:rPr>
            </w:pPr>
          </w:p>
        </w:tc>
        <w:tc>
          <w:tcPr>
            <w:tcW w:w="2088" w:type="pct"/>
            <w:tcBorders>
              <w:top w:val="nil"/>
              <w:left w:val="nil"/>
              <w:right w:val="nil"/>
            </w:tcBorders>
          </w:tcPr>
          <w:p w14:paraId="71A094B2" w14:textId="77777777" w:rsidR="00346D4F" w:rsidRPr="00AD55AA" w:rsidRDefault="00346D4F" w:rsidP="00346D4F">
            <w:pPr>
              <w:widowControl w:val="0"/>
              <w:autoSpaceDE w:val="0"/>
              <w:autoSpaceDN w:val="0"/>
              <w:adjustRightInd w:val="0"/>
              <w:jc w:val="center"/>
              <w:rPr>
                <w:sz w:val="22"/>
                <w:szCs w:val="22"/>
              </w:rPr>
            </w:pPr>
          </w:p>
        </w:tc>
        <w:tc>
          <w:tcPr>
            <w:tcW w:w="1369" w:type="pct"/>
            <w:tcBorders>
              <w:top w:val="nil"/>
              <w:left w:val="nil"/>
              <w:right w:val="nil"/>
            </w:tcBorders>
          </w:tcPr>
          <w:p w14:paraId="38755BE3" w14:textId="77777777" w:rsidR="00346D4F" w:rsidRPr="00AD55AA" w:rsidRDefault="00346D4F" w:rsidP="00346D4F">
            <w:pPr>
              <w:widowControl w:val="0"/>
              <w:autoSpaceDE w:val="0"/>
              <w:autoSpaceDN w:val="0"/>
              <w:adjustRightInd w:val="0"/>
              <w:jc w:val="center"/>
              <w:rPr>
                <w:sz w:val="22"/>
                <w:szCs w:val="22"/>
              </w:rPr>
            </w:pPr>
          </w:p>
        </w:tc>
      </w:tr>
      <w:tr w:rsidR="00346D4F" w:rsidRPr="00AD55AA" w14:paraId="0D94491D" w14:textId="77777777" w:rsidTr="009B7E9B">
        <w:trPr>
          <w:jc w:val="center"/>
        </w:trPr>
        <w:tc>
          <w:tcPr>
            <w:tcW w:w="985" w:type="pct"/>
            <w:tcBorders>
              <w:top w:val="nil"/>
              <w:left w:val="nil"/>
              <w:right w:val="nil"/>
            </w:tcBorders>
          </w:tcPr>
          <w:p w14:paraId="587F333F" w14:textId="5BEA8664" w:rsidR="00346D4F" w:rsidRPr="00AD55AA" w:rsidRDefault="00346D4F" w:rsidP="00346D4F">
            <w:pPr>
              <w:widowControl w:val="0"/>
              <w:autoSpaceDE w:val="0"/>
              <w:autoSpaceDN w:val="0"/>
              <w:adjustRightInd w:val="0"/>
              <w:rPr>
                <w:sz w:val="22"/>
                <w:szCs w:val="22"/>
              </w:rPr>
            </w:pPr>
            <w:r w:rsidRPr="00AD55AA">
              <w:rPr>
                <w:sz w:val="22"/>
                <w:szCs w:val="22"/>
              </w:rPr>
              <w:t>[-2,+2]</w:t>
            </w:r>
          </w:p>
        </w:tc>
        <w:tc>
          <w:tcPr>
            <w:tcW w:w="279" w:type="pct"/>
            <w:tcBorders>
              <w:top w:val="nil"/>
              <w:left w:val="nil"/>
              <w:right w:val="nil"/>
            </w:tcBorders>
          </w:tcPr>
          <w:p w14:paraId="22DDCF68" w14:textId="3EA3F5FF" w:rsidR="00346D4F" w:rsidRPr="00AD55AA" w:rsidRDefault="00346D4F" w:rsidP="00346D4F">
            <w:pPr>
              <w:widowControl w:val="0"/>
              <w:autoSpaceDE w:val="0"/>
              <w:autoSpaceDN w:val="0"/>
              <w:adjustRightInd w:val="0"/>
              <w:jc w:val="center"/>
              <w:rPr>
                <w:sz w:val="22"/>
                <w:szCs w:val="22"/>
              </w:rPr>
            </w:pPr>
          </w:p>
        </w:tc>
        <w:tc>
          <w:tcPr>
            <w:tcW w:w="279" w:type="pct"/>
            <w:tcBorders>
              <w:top w:val="nil"/>
              <w:left w:val="nil"/>
              <w:right w:val="nil"/>
            </w:tcBorders>
          </w:tcPr>
          <w:p w14:paraId="326A8241" w14:textId="1EEB838A" w:rsidR="00346D4F" w:rsidRPr="00AD55AA" w:rsidRDefault="00346D4F" w:rsidP="00346D4F">
            <w:pPr>
              <w:widowControl w:val="0"/>
              <w:autoSpaceDE w:val="0"/>
              <w:autoSpaceDN w:val="0"/>
              <w:adjustRightInd w:val="0"/>
              <w:jc w:val="center"/>
              <w:rPr>
                <w:sz w:val="22"/>
                <w:szCs w:val="22"/>
              </w:rPr>
            </w:pPr>
          </w:p>
        </w:tc>
        <w:tc>
          <w:tcPr>
            <w:tcW w:w="2088" w:type="pct"/>
            <w:tcBorders>
              <w:top w:val="nil"/>
              <w:left w:val="nil"/>
              <w:right w:val="nil"/>
            </w:tcBorders>
          </w:tcPr>
          <w:p w14:paraId="3B13B74E" w14:textId="2B942071" w:rsidR="00346D4F" w:rsidRPr="00AD55AA" w:rsidRDefault="00346D4F" w:rsidP="00243975">
            <w:pPr>
              <w:widowControl w:val="0"/>
              <w:autoSpaceDE w:val="0"/>
              <w:autoSpaceDN w:val="0"/>
              <w:adjustRightInd w:val="0"/>
              <w:jc w:val="center"/>
              <w:rPr>
                <w:sz w:val="22"/>
                <w:szCs w:val="22"/>
              </w:rPr>
            </w:pPr>
            <w:r w:rsidRPr="00AD55AA">
              <w:rPr>
                <w:sz w:val="22"/>
                <w:szCs w:val="22"/>
              </w:rPr>
              <w:t>-.0</w:t>
            </w:r>
            <w:r w:rsidR="00243975">
              <w:rPr>
                <w:sz w:val="22"/>
                <w:szCs w:val="22"/>
              </w:rPr>
              <w:t>618</w:t>
            </w:r>
            <w:r w:rsidRPr="00AD55AA">
              <w:rPr>
                <w:sz w:val="22"/>
                <w:szCs w:val="22"/>
              </w:rPr>
              <w:t>**</w:t>
            </w:r>
          </w:p>
        </w:tc>
        <w:tc>
          <w:tcPr>
            <w:tcW w:w="1369" w:type="pct"/>
            <w:tcBorders>
              <w:top w:val="nil"/>
              <w:left w:val="nil"/>
              <w:right w:val="nil"/>
            </w:tcBorders>
          </w:tcPr>
          <w:p w14:paraId="7E6BEDF2" w14:textId="3DA527EE" w:rsidR="00346D4F" w:rsidRPr="00AD55AA" w:rsidRDefault="00346D4F" w:rsidP="007B02B5">
            <w:pPr>
              <w:widowControl w:val="0"/>
              <w:autoSpaceDE w:val="0"/>
              <w:autoSpaceDN w:val="0"/>
              <w:adjustRightInd w:val="0"/>
              <w:jc w:val="center"/>
              <w:rPr>
                <w:sz w:val="22"/>
                <w:szCs w:val="22"/>
              </w:rPr>
            </w:pPr>
            <w:r w:rsidRPr="00AD55AA">
              <w:rPr>
                <w:sz w:val="22"/>
                <w:szCs w:val="22"/>
              </w:rPr>
              <w:t>-.0</w:t>
            </w:r>
            <w:r w:rsidRPr="00346D4F">
              <w:rPr>
                <w:sz w:val="22"/>
                <w:szCs w:val="22"/>
              </w:rPr>
              <w:t>6</w:t>
            </w:r>
            <w:r w:rsidR="007B02B5">
              <w:rPr>
                <w:sz w:val="22"/>
                <w:szCs w:val="22"/>
              </w:rPr>
              <w:t>83</w:t>
            </w:r>
            <w:r w:rsidRPr="00AD55AA">
              <w:rPr>
                <w:sz w:val="22"/>
                <w:szCs w:val="22"/>
              </w:rPr>
              <w:t>**</w:t>
            </w:r>
          </w:p>
        </w:tc>
      </w:tr>
      <w:tr w:rsidR="00346D4F" w:rsidRPr="00AD55AA" w14:paraId="07826AEB" w14:textId="77777777" w:rsidTr="009B7E9B">
        <w:trPr>
          <w:jc w:val="center"/>
        </w:trPr>
        <w:tc>
          <w:tcPr>
            <w:tcW w:w="985" w:type="pct"/>
            <w:tcBorders>
              <w:top w:val="nil"/>
              <w:left w:val="nil"/>
              <w:right w:val="nil"/>
            </w:tcBorders>
          </w:tcPr>
          <w:p w14:paraId="74EA16EF" w14:textId="175D6073" w:rsidR="00346D4F" w:rsidRPr="00AD55AA" w:rsidRDefault="00346D4F" w:rsidP="00346D4F">
            <w:pPr>
              <w:widowControl w:val="0"/>
              <w:autoSpaceDE w:val="0"/>
              <w:autoSpaceDN w:val="0"/>
              <w:adjustRightInd w:val="0"/>
              <w:rPr>
                <w:sz w:val="22"/>
                <w:szCs w:val="22"/>
              </w:rPr>
            </w:pPr>
          </w:p>
        </w:tc>
        <w:tc>
          <w:tcPr>
            <w:tcW w:w="279" w:type="pct"/>
            <w:tcBorders>
              <w:top w:val="nil"/>
              <w:left w:val="nil"/>
              <w:right w:val="nil"/>
            </w:tcBorders>
          </w:tcPr>
          <w:p w14:paraId="537EC3DD" w14:textId="332117FF" w:rsidR="00346D4F" w:rsidRPr="00AD55AA" w:rsidRDefault="00346D4F" w:rsidP="00346D4F">
            <w:pPr>
              <w:widowControl w:val="0"/>
              <w:autoSpaceDE w:val="0"/>
              <w:autoSpaceDN w:val="0"/>
              <w:adjustRightInd w:val="0"/>
              <w:jc w:val="center"/>
              <w:rPr>
                <w:sz w:val="22"/>
                <w:szCs w:val="22"/>
              </w:rPr>
            </w:pPr>
          </w:p>
        </w:tc>
        <w:tc>
          <w:tcPr>
            <w:tcW w:w="279" w:type="pct"/>
            <w:tcBorders>
              <w:top w:val="nil"/>
              <w:left w:val="nil"/>
              <w:right w:val="nil"/>
            </w:tcBorders>
          </w:tcPr>
          <w:p w14:paraId="412CC4A2" w14:textId="4C21F8D5" w:rsidR="00346D4F" w:rsidRPr="00AD55AA" w:rsidRDefault="00346D4F" w:rsidP="00346D4F">
            <w:pPr>
              <w:widowControl w:val="0"/>
              <w:autoSpaceDE w:val="0"/>
              <w:autoSpaceDN w:val="0"/>
              <w:adjustRightInd w:val="0"/>
              <w:jc w:val="center"/>
              <w:rPr>
                <w:sz w:val="22"/>
                <w:szCs w:val="22"/>
              </w:rPr>
            </w:pPr>
          </w:p>
        </w:tc>
        <w:tc>
          <w:tcPr>
            <w:tcW w:w="2088" w:type="pct"/>
            <w:tcBorders>
              <w:top w:val="nil"/>
              <w:left w:val="nil"/>
              <w:right w:val="nil"/>
            </w:tcBorders>
          </w:tcPr>
          <w:p w14:paraId="6D806266" w14:textId="4B559823" w:rsidR="00346D4F" w:rsidRPr="00AD55AA" w:rsidRDefault="00346D4F" w:rsidP="00346D4F">
            <w:pPr>
              <w:widowControl w:val="0"/>
              <w:autoSpaceDE w:val="0"/>
              <w:autoSpaceDN w:val="0"/>
              <w:adjustRightInd w:val="0"/>
              <w:jc w:val="center"/>
              <w:rPr>
                <w:sz w:val="22"/>
                <w:szCs w:val="22"/>
              </w:rPr>
            </w:pPr>
            <w:r w:rsidRPr="00AD55AA">
              <w:rPr>
                <w:sz w:val="22"/>
                <w:szCs w:val="22"/>
              </w:rPr>
              <w:t>(0.</w:t>
            </w:r>
            <w:r w:rsidR="00243975">
              <w:rPr>
                <w:sz w:val="22"/>
                <w:szCs w:val="22"/>
              </w:rPr>
              <w:t>042</w:t>
            </w:r>
            <w:r w:rsidRPr="00AD55AA">
              <w:rPr>
                <w:sz w:val="22"/>
                <w:szCs w:val="22"/>
              </w:rPr>
              <w:t>)</w:t>
            </w:r>
          </w:p>
        </w:tc>
        <w:tc>
          <w:tcPr>
            <w:tcW w:w="1369" w:type="pct"/>
            <w:tcBorders>
              <w:top w:val="nil"/>
              <w:left w:val="nil"/>
              <w:right w:val="nil"/>
            </w:tcBorders>
          </w:tcPr>
          <w:p w14:paraId="714BE44E" w14:textId="7AB90C23" w:rsidR="00346D4F" w:rsidRPr="00AD55AA" w:rsidRDefault="00346D4F" w:rsidP="00346D4F">
            <w:pPr>
              <w:widowControl w:val="0"/>
              <w:autoSpaceDE w:val="0"/>
              <w:autoSpaceDN w:val="0"/>
              <w:adjustRightInd w:val="0"/>
              <w:jc w:val="center"/>
              <w:rPr>
                <w:sz w:val="22"/>
                <w:szCs w:val="22"/>
              </w:rPr>
            </w:pPr>
            <w:r w:rsidRPr="00AD55AA">
              <w:rPr>
                <w:sz w:val="22"/>
                <w:szCs w:val="22"/>
              </w:rPr>
              <w:t>(0.</w:t>
            </w:r>
            <w:r w:rsidR="007B02B5">
              <w:rPr>
                <w:sz w:val="22"/>
                <w:szCs w:val="22"/>
              </w:rPr>
              <w:t>024</w:t>
            </w:r>
            <w:r w:rsidRPr="00AD55AA">
              <w:rPr>
                <w:sz w:val="22"/>
                <w:szCs w:val="22"/>
              </w:rPr>
              <w:t>)</w:t>
            </w:r>
          </w:p>
        </w:tc>
      </w:tr>
      <w:tr w:rsidR="00346D4F" w:rsidRPr="00AD55AA" w14:paraId="79CE765D" w14:textId="77777777" w:rsidTr="009B7E9B">
        <w:trPr>
          <w:jc w:val="center"/>
        </w:trPr>
        <w:tc>
          <w:tcPr>
            <w:tcW w:w="985" w:type="pct"/>
            <w:tcBorders>
              <w:top w:val="single" w:sz="4" w:space="0" w:color="auto"/>
              <w:left w:val="nil"/>
              <w:right w:val="nil"/>
            </w:tcBorders>
          </w:tcPr>
          <w:p w14:paraId="435B1259" w14:textId="77777777" w:rsidR="00346D4F" w:rsidRPr="00AD55AA" w:rsidRDefault="00346D4F" w:rsidP="00346D4F">
            <w:pPr>
              <w:widowControl w:val="0"/>
              <w:autoSpaceDE w:val="0"/>
              <w:autoSpaceDN w:val="0"/>
              <w:adjustRightInd w:val="0"/>
              <w:rPr>
                <w:sz w:val="22"/>
                <w:szCs w:val="22"/>
              </w:rPr>
            </w:pPr>
          </w:p>
        </w:tc>
        <w:tc>
          <w:tcPr>
            <w:tcW w:w="279" w:type="pct"/>
            <w:tcBorders>
              <w:top w:val="single" w:sz="4" w:space="0" w:color="auto"/>
              <w:left w:val="nil"/>
              <w:right w:val="nil"/>
            </w:tcBorders>
          </w:tcPr>
          <w:p w14:paraId="17DBBD19" w14:textId="77777777" w:rsidR="00346D4F" w:rsidRPr="00AD55AA" w:rsidRDefault="00346D4F" w:rsidP="00346D4F">
            <w:pPr>
              <w:widowControl w:val="0"/>
              <w:autoSpaceDE w:val="0"/>
              <w:autoSpaceDN w:val="0"/>
              <w:adjustRightInd w:val="0"/>
              <w:jc w:val="center"/>
              <w:rPr>
                <w:sz w:val="22"/>
                <w:szCs w:val="22"/>
              </w:rPr>
            </w:pPr>
          </w:p>
        </w:tc>
        <w:tc>
          <w:tcPr>
            <w:tcW w:w="279" w:type="pct"/>
            <w:tcBorders>
              <w:top w:val="single" w:sz="4" w:space="0" w:color="auto"/>
              <w:left w:val="nil"/>
              <w:right w:val="nil"/>
            </w:tcBorders>
          </w:tcPr>
          <w:p w14:paraId="6455B54A" w14:textId="77777777" w:rsidR="00346D4F" w:rsidRPr="00AD55AA" w:rsidRDefault="00346D4F" w:rsidP="00346D4F">
            <w:pPr>
              <w:widowControl w:val="0"/>
              <w:autoSpaceDE w:val="0"/>
              <w:autoSpaceDN w:val="0"/>
              <w:adjustRightInd w:val="0"/>
              <w:jc w:val="center"/>
              <w:rPr>
                <w:sz w:val="22"/>
                <w:szCs w:val="22"/>
              </w:rPr>
            </w:pPr>
          </w:p>
        </w:tc>
        <w:tc>
          <w:tcPr>
            <w:tcW w:w="2088" w:type="pct"/>
            <w:tcBorders>
              <w:top w:val="single" w:sz="4" w:space="0" w:color="auto"/>
              <w:left w:val="nil"/>
              <w:right w:val="nil"/>
            </w:tcBorders>
          </w:tcPr>
          <w:p w14:paraId="63F2169C" w14:textId="215566CE" w:rsidR="00346D4F" w:rsidRPr="00AD55AA" w:rsidRDefault="00346D4F" w:rsidP="00346D4F">
            <w:pPr>
              <w:widowControl w:val="0"/>
              <w:autoSpaceDE w:val="0"/>
              <w:autoSpaceDN w:val="0"/>
              <w:adjustRightInd w:val="0"/>
              <w:jc w:val="center"/>
              <w:rPr>
                <w:sz w:val="22"/>
                <w:szCs w:val="22"/>
              </w:rPr>
            </w:pPr>
          </w:p>
        </w:tc>
        <w:tc>
          <w:tcPr>
            <w:tcW w:w="1369" w:type="pct"/>
            <w:tcBorders>
              <w:top w:val="single" w:sz="4" w:space="0" w:color="auto"/>
              <w:left w:val="nil"/>
              <w:right w:val="nil"/>
            </w:tcBorders>
          </w:tcPr>
          <w:p w14:paraId="595A5728" w14:textId="77777777" w:rsidR="00346D4F" w:rsidRPr="00AD55AA" w:rsidRDefault="00346D4F" w:rsidP="00346D4F">
            <w:pPr>
              <w:widowControl w:val="0"/>
              <w:autoSpaceDE w:val="0"/>
              <w:autoSpaceDN w:val="0"/>
              <w:adjustRightInd w:val="0"/>
              <w:jc w:val="center"/>
              <w:rPr>
                <w:sz w:val="22"/>
                <w:szCs w:val="22"/>
              </w:rPr>
            </w:pPr>
          </w:p>
        </w:tc>
      </w:tr>
      <w:tr w:rsidR="009B7E9B" w:rsidRPr="00AD55AA" w14:paraId="517CA702" w14:textId="77777777" w:rsidTr="009B7E9B">
        <w:trPr>
          <w:jc w:val="center"/>
        </w:trPr>
        <w:tc>
          <w:tcPr>
            <w:tcW w:w="5000" w:type="pct"/>
            <w:gridSpan w:val="5"/>
            <w:tcBorders>
              <w:left w:val="nil"/>
              <w:bottom w:val="nil"/>
              <w:right w:val="nil"/>
            </w:tcBorders>
            <w:vAlign w:val="center"/>
          </w:tcPr>
          <w:p w14:paraId="22FCA618" w14:textId="036BC5E6" w:rsidR="009B7E9B" w:rsidRPr="00AD55AA" w:rsidRDefault="009B7E9B" w:rsidP="00BE6FAB">
            <w:pPr>
              <w:widowControl w:val="0"/>
              <w:autoSpaceDE w:val="0"/>
              <w:autoSpaceDN w:val="0"/>
              <w:adjustRightInd w:val="0"/>
              <w:jc w:val="both"/>
              <w:rPr>
                <w:sz w:val="22"/>
                <w:szCs w:val="22"/>
              </w:rPr>
            </w:pPr>
            <w:r>
              <w:rPr>
                <w:bCs/>
                <w:sz w:val="22"/>
                <w:szCs w:val="22"/>
              </w:rPr>
              <w:t>This table</w:t>
            </w:r>
            <w:r w:rsidRPr="00AD55AA">
              <w:rPr>
                <w:bCs/>
                <w:sz w:val="22"/>
                <w:szCs w:val="22"/>
              </w:rPr>
              <w:t xml:space="preserve"> </w:t>
            </w:r>
            <w:r>
              <w:rPr>
                <w:bCs/>
                <w:sz w:val="22"/>
                <w:szCs w:val="22"/>
              </w:rPr>
              <w:t>presents</w:t>
            </w:r>
            <w:r w:rsidRPr="00AD55AA">
              <w:rPr>
                <w:bCs/>
                <w:sz w:val="22"/>
                <w:szCs w:val="22"/>
              </w:rPr>
              <w:t xml:space="preserve"> the </w:t>
            </w:r>
            <w:r>
              <w:rPr>
                <w:bCs/>
                <w:sz w:val="22"/>
                <w:szCs w:val="22"/>
              </w:rPr>
              <w:t xml:space="preserve">target </w:t>
            </w:r>
            <w:r w:rsidRPr="00AD55AA">
              <w:rPr>
                <w:sz w:val="22"/>
                <w:szCs w:val="22"/>
              </w:rPr>
              <w:t xml:space="preserve">market reaction </w:t>
            </w:r>
            <w:r w:rsidR="003D62B2">
              <w:rPr>
                <w:sz w:val="22"/>
                <w:szCs w:val="22"/>
              </w:rPr>
              <w:t>to</w:t>
            </w:r>
            <w:r w:rsidRPr="00AD55AA">
              <w:rPr>
                <w:sz w:val="22"/>
                <w:szCs w:val="22"/>
              </w:rPr>
              <w:t xml:space="preserve"> CFIUS interventions. Cumulative abnormal returns are estimated using the Fama-French three factor</w:t>
            </w:r>
            <w:r w:rsidR="00A665A3">
              <w:rPr>
                <w:sz w:val="22"/>
                <w:szCs w:val="22"/>
              </w:rPr>
              <w:t xml:space="preserve"> (c</w:t>
            </w:r>
            <w:r>
              <w:rPr>
                <w:sz w:val="22"/>
                <w:szCs w:val="22"/>
              </w:rPr>
              <w:t xml:space="preserve">olumn 1) and the </w:t>
            </w:r>
            <w:r w:rsidRPr="00FA16F6">
              <w:rPr>
                <w:sz w:val="22"/>
                <w:szCs w:val="22"/>
              </w:rPr>
              <w:t>Fama-French plus momentum model</w:t>
            </w:r>
            <w:r w:rsidR="003D62B2">
              <w:rPr>
                <w:sz w:val="22"/>
                <w:szCs w:val="22"/>
              </w:rPr>
              <w:t>s</w:t>
            </w:r>
            <w:r w:rsidRPr="00AD55AA">
              <w:rPr>
                <w:sz w:val="22"/>
                <w:szCs w:val="22"/>
              </w:rPr>
              <w:t xml:space="preserve"> </w:t>
            </w:r>
            <w:r w:rsidR="00A665A3">
              <w:rPr>
                <w:sz w:val="22"/>
                <w:szCs w:val="22"/>
              </w:rPr>
              <w:t>(c</w:t>
            </w:r>
            <w:r>
              <w:rPr>
                <w:sz w:val="22"/>
                <w:szCs w:val="22"/>
              </w:rPr>
              <w:t>olumn 2)</w:t>
            </w:r>
            <w:r w:rsidRPr="00AD55AA">
              <w:rPr>
                <w:sz w:val="22"/>
                <w:szCs w:val="22"/>
              </w:rPr>
              <w:t>. Cumulative abnormal returns are collected from WRDS Event Study. P-values are reported in brackets. ***, **, and * indicate statistical significance at the 1%, 5%, and 10% levels respectively.</w:t>
            </w:r>
          </w:p>
        </w:tc>
      </w:tr>
      <w:bookmarkEnd w:id="10"/>
    </w:tbl>
    <w:p w14:paraId="22029AC1" w14:textId="3C4D2E6D" w:rsidR="00227422" w:rsidRDefault="00227422" w:rsidP="00245A4A">
      <w:pPr>
        <w:rPr>
          <w:sz w:val="22"/>
          <w:szCs w:val="22"/>
        </w:rPr>
      </w:pPr>
    </w:p>
    <w:p w14:paraId="77FADD57" w14:textId="77777777" w:rsidR="00FA16F6" w:rsidRPr="00AD55AA" w:rsidRDefault="00FA16F6" w:rsidP="00245A4A">
      <w:pPr>
        <w:rPr>
          <w:sz w:val="22"/>
          <w:szCs w:val="22"/>
        </w:rPr>
      </w:pPr>
    </w:p>
    <w:tbl>
      <w:tblPr>
        <w:tblW w:w="5000" w:type="pct"/>
        <w:jc w:val="center"/>
        <w:tblLook w:val="0000" w:firstRow="0" w:lastRow="0" w:firstColumn="0" w:lastColumn="0" w:noHBand="0" w:noVBand="0"/>
      </w:tblPr>
      <w:tblGrid>
        <w:gridCol w:w="2401"/>
        <w:gridCol w:w="542"/>
        <w:gridCol w:w="542"/>
        <w:gridCol w:w="2791"/>
        <w:gridCol w:w="2791"/>
      </w:tblGrid>
      <w:tr w:rsidR="00940566" w:rsidRPr="00AD55AA" w14:paraId="335CCA32" w14:textId="77777777" w:rsidTr="009B7E9B">
        <w:trPr>
          <w:jc w:val="center"/>
        </w:trPr>
        <w:tc>
          <w:tcPr>
            <w:tcW w:w="5000" w:type="pct"/>
            <w:gridSpan w:val="5"/>
            <w:tcBorders>
              <w:left w:val="nil"/>
              <w:bottom w:val="nil"/>
              <w:right w:val="nil"/>
            </w:tcBorders>
          </w:tcPr>
          <w:p w14:paraId="2B6A982D" w14:textId="3A6A2AD2" w:rsidR="00940566" w:rsidRPr="00AD55AA" w:rsidRDefault="00940566" w:rsidP="00377D86">
            <w:pPr>
              <w:widowControl w:val="0"/>
              <w:autoSpaceDE w:val="0"/>
              <w:autoSpaceDN w:val="0"/>
              <w:adjustRightInd w:val="0"/>
              <w:rPr>
                <w:b/>
                <w:sz w:val="22"/>
                <w:szCs w:val="22"/>
              </w:rPr>
            </w:pPr>
            <w:r w:rsidRPr="00243975">
              <w:rPr>
                <w:b/>
                <w:sz w:val="22"/>
                <w:szCs w:val="22"/>
              </w:rPr>
              <w:t xml:space="preserve">Table </w:t>
            </w:r>
            <w:r w:rsidR="00377D86" w:rsidRPr="00243975">
              <w:rPr>
                <w:b/>
                <w:bCs/>
                <w:sz w:val="22"/>
                <w:szCs w:val="22"/>
              </w:rPr>
              <w:t>2</w:t>
            </w:r>
            <w:r w:rsidRPr="00243975">
              <w:rPr>
                <w:b/>
                <w:sz w:val="22"/>
                <w:szCs w:val="22"/>
              </w:rPr>
              <w:t xml:space="preserve"> – Panel B</w:t>
            </w:r>
          </w:p>
        </w:tc>
      </w:tr>
      <w:tr w:rsidR="00940566" w:rsidRPr="00AD55AA" w14:paraId="7D365B4E" w14:textId="77777777" w:rsidTr="009B7E9B">
        <w:trPr>
          <w:jc w:val="center"/>
        </w:trPr>
        <w:tc>
          <w:tcPr>
            <w:tcW w:w="5000" w:type="pct"/>
            <w:gridSpan w:val="5"/>
            <w:tcBorders>
              <w:left w:val="nil"/>
              <w:right w:val="nil"/>
            </w:tcBorders>
          </w:tcPr>
          <w:p w14:paraId="09C59D76" w14:textId="1EF711C3" w:rsidR="00940566" w:rsidRPr="00AD55AA" w:rsidRDefault="0067117A" w:rsidP="00CD2B55">
            <w:pPr>
              <w:widowControl w:val="0"/>
              <w:autoSpaceDE w:val="0"/>
              <w:autoSpaceDN w:val="0"/>
              <w:adjustRightInd w:val="0"/>
              <w:rPr>
                <w:b/>
                <w:sz w:val="22"/>
                <w:szCs w:val="22"/>
              </w:rPr>
            </w:pPr>
            <w:r>
              <w:rPr>
                <w:b/>
                <w:sz w:val="22"/>
                <w:szCs w:val="22"/>
              </w:rPr>
              <w:t xml:space="preserve">CFIUS </w:t>
            </w:r>
            <w:r w:rsidR="003D62B2">
              <w:rPr>
                <w:b/>
                <w:bCs/>
                <w:sz w:val="22"/>
                <w:szCs w:val="22"/>
              </w:rPr>
              <w:t xml:space="preserve">interventions </w:t>
            </w:r>
            <w:r>
              <w:rPr>
                <w:b/>
                <w:sz w:val="22"/>
                <w:szCs w:val="22"/>
              </w:rPr>
              <w:t xml:space="preserve">and </w:t>
            </w:r>
            <w:r w:rsidR="00DE3298">
              <w:rPr>
                <w:b/>
                <w:sz w:val="22"/>
                <w:szCs w:val="22"/>
              </w:rPr>
              <w:t xml:space="preserve">industry </w:t>
            </w:r>
            <w:r>
              <w:rPr>
                <w:b/>
                <w:sz w:val="22"/>
                <w:szCs w:val="22"/>
              </w:rPr>
              <w:t>market r</w:t>
            </w:r>
            <w:r w:rsidR="00940566" w:rsidRPr="00AD55AA">
              <w:rPr>
                <w:b/>
                <w:sz w:val="22"/>
                <w:szCs w:val="22"/>
              </w:rPr>
              <w:t>eaction</w:t>
            </w:r>
          </w:p>
        </w:tc>
      </w:tr>
      <w:tr w:rsidR="00940566" w:rsidRPr="00AD55AA" w14:paraId="729A485D" w14:textId="77777777" w:rsidTr="009B7E9B">
        <w:trPr>
          <w:jc w:val="center"/>
        </w:trPr>
        <w:tc>
          <w:tcPr>
            <w:tcW w:w="5000" w:type="pct"/>
            <w:gridSpan w:val="5"/>
            <w:tcBorders>
              <w:left w:val="nil"/>
              <w:bottom w:val="single" w:sz="4" w:space="0" w:color="auto"/>
              <w:right w:val="nil"/>
            </w:tcBorders>
          </w:tcPr>
          <w:p w14:paraId="2959BC51" w14:textId="2E7F04B5" w:rsidR="00940566" w:rsidRPr="00AD55AA" w:rsidRDefault="00940566" w:rsidP="009B7E9B">
            <w:pPr>
              <w:widowControl w:val="0"/>
              <w:autoSpaceDE w:val="0"/>
              <w:autoSpaceDN w:val="0"/>
              <w:adjustRightInd w:val="0"/>
              <w:jc w:val="both"/>
              <w:rPr>
                <w:sz w:val="22"/>
                <w:szCs w:val="22"/>
              </w:rPr>
            </w:pPr>
          </w:p>
        </w:tc>
      </w:tr>
      <w:tr w:rsidR="009B7E9B" w:rsidRPr="00AD55AA" w14:paraId="51F8A90F" w14:textId="77777777" w:rsidTr="009B7E9B">
        <w:trPr>
          <w:jc w:val="center"/>
        </w:trPr>
        <w:tc>
          <w:tcPr>
            <w:tcW w:w="1324" w:type="pct"/>
            <w:tcBorders>
              <w:top w:val="single" w:sz="4" w:space="0" w:color="auto"/>
              <w:left w:val="nil"/>
              <w:right w:val="nil"/>
            </w:tcBorders>
          </w:tcPr>
          <w:p w14:paraId="7B473690" w14:textId="77777777" w:rsidR="009B7E9B" w:rsidRPr="00AD55AA" w:rsidRDefault="009B7E9B" w:rsidP="00346D4F">
            <w:pPr>
              <w:widowControl w:val="0"/>
              <w:autoSpaceDE w:val="0"/>
              <w:autoSpaceDN w:val="0"/>
              <w:adjustRightInd w:val="0"/>
              <w:rPr>
                <w:sz w:val="22"/>
                <w:szCs w:val="22"/>
              </w:rPr>
            </w:pPr>
          </w:p>
        </w:tc>
        <w:tc>
          <w:tcPr>
            <w:tcW w:w="299" w:type="pct"/>
            <w:tcBorders>
              <w:top w:val="single" w:sz="4" w:space="0" w:color="auto"/>
              <w:left w:val="nil"/>
              <w:right w:val="nil"/>
            </w:tcBorders>
          </w:tcPr>
          <w:p w14:paraId="7605367C" w14:textId="77777777" w:rsidR="009B7E9B" w:rsidRPr="00AD55AA" w:rsidRDefault="009B7E9B" w:rsidP="00346D4F">
            <w:pPr>
              <w:widowControl w:val="0"/>
              <w:autoSpaceDE w:val="0"/>
              <w:autoSpaceDN w:val="0"/>
              <w:adjustRightInd w:val="0"/>
              <w:jc w:val="center"/>
              <w:rPr>
                <w:sz w:val="22"/>
                <w:szCs w:val="22"/>
              </w:rPr>
            </w:pPr>
          </w:p>
        </w:tc>
        <w:tc>
          <w:tcPr>
            <w:tcW w:w="299" w:type="pct"/>
            <w:tcBorders>
              <w:top w:val="single" w:sz="4" w:space="0" w:color="auto"/>
              <w:left w:val="nil"/>
              <w:right w:val="nil"/>
            </w:tcBorders>
          </w:tcPr>
          <w:p w14:paraId="41081CC5" w14:textId="619AEF9D" w:rsidR="009B7E9B" w:rsidRPr="00AD55AA" w:rsidRDefault="009B7E9B" w:rsidP="00346D4F">
            <w:pPr>
              <w:widowControl w:val="0"/>
              <w:autoSpaceDE w:val="0"/>
              <w:autoSpaceDN w:val="0"/>
              <w:adjustRightInd w:val="0"/>
              <w:jc w:val="center"/>
              <w:rPr>
                <w:sz w:val="22"/>
                <w:szCs w:val="22"/>
              </w:rPr>
            </w:pPr>
          </w:p>
        </w:tc>
        <w:tc>
          <w:tcPr>
            <w:tcW w:w="3078" w:type="pct"/>
            <w:gridSpan w:val="2"/>
            <w:tcBorders>
              <w:top w:val="single" w:sz="4" w:space="0" w:color="auto"/>
              <w:left w:val="nil"/>
              <w:right w:val="nil"/>
            </w:tcBorders>
          </w:tcPr>
          <w:p w14:paraId="3559D2CC" w14:textId="675E6436" w:rsidR="009B7E9B" w:rsidRPr="00AD55AA" w:rsidRDefault="009B7E9B" w:rsidP="00346D4F">
            <w:pPr>
              <w:widowControl w:val="0"/>
              <w:autoSpaceDE w:val="0"/>
              <w:autoSpaceDN w:val="0"/>
              <w:adjustRightInd w:val="0"/>
              <w:jc w:val="center"/>
              <w:rPr>
                <w:sz w:val="22"/>
                <w:szCs w:val="22"/>
              </w:rPr>
            </w:pPr>
            <w:r w:rsidRPr="00AD55AA">
              <w:rPr>
                <w:sz w:val="22"/>
                <w:szCs w:val="22"/>
              </w:rPr>
              <w:t>CAR</w:t>
            </w:r>
          </w:p>
        </w:tc>
      </w:tr>
      <w:tr w:rsidR="009B7E9B" w:rsidRPr="00AD55AA" w14:paraId="50221BED" w14:textId="77777777" w:rsidTr="009B7E9B">
        <w:trPr>
          <w:jc w:val="center"/>
        </w:trPr>
        <w:tc>
          <w:tcPr>
            <w:tcW w:w="1324" w:type="pct"/>
            <w:tcBorders>
              <w:top w:val="nil"/>
              <w:left w:val="nil"/>
              <w:right w:val="nil"/>
            </w:tcBorders>
          </w:tcPr>
          <w:p w14:paraId="3FF6008F"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5B8040BE"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6240AE36"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66682AC0" w14:textId="67FC4734" w:rsidR="009B7E9B" w:rsidRDefault="009B7E9B" w:rsidP="009B7E9B">
            <w:pPr>
              <w:widowControl w:val="0"/>
              <w:autoSpaceDE w:val="0"/>
              <w:autoSpaceDN w:val="0"/>
              <w:adjustRightInd w:val="0"/>
              <w:jc w:val="center"/>
              <w:rPr>
                <w:sz w:val="22"/>
                <w:szCs w:val="22"/>
              </w:rPr>
            </w:pPr>
            <w:r>
              <w:rPr>
                <w:sz w:val="22"/>
                <w:szCs w:val="22"/>
              </w:rPr>
              <w:t>(1</w:t>
            </w:r>
            <w:r w:rsidRPr="00AD55AA">
              <w:rPr>
                <w:sz w:val="22"/>
                <w:szCs w:val="22"/>
              </w:rPr>
              <w:t>)</w:t>
            </w:r>
          </w:p>
        </w:tc>
        <w:tc>
          <w:tcPr>
            <w:tcW w:w="1539" w:type="pct"/>
            <w:tcBorders>
              <w:top w:val="nil"/>
              <w:left w:val="nil"/>
              <w:right w:val="nil"/>
            </w:tcBorders>
          </w:tcPr>
          <w:p w14:paraId="453CFF7C" w14:textId="54447C04" w:rsidR="009B7E9B" w:rsidRPr="00AD55AA" w:rsidRDefault="009B7E9B" w:rsidP="009B7E9B">
            <w:pPr>
              <w:widowControl w:val="0"/>
              <w:autoSpaceDE w:val="0"/>
              <w:autoSpaceDN w:val="0"/>
              <w:adjustRightInd w:val="0"/>
              <w:jc w:val="center"/>
              <w:rPr>
                <w:sz w:val="22"/>
                <w:szCs w:val="22"/>
              </w:rPr>
            </w:pPr>
            <w:r w:rsidRPr="00AD55AA">
              <w:rPr>
                <w:sz w:val="22"/>
                <w:szCs w:val="22"/>
              </w:rPr>
              <w:t>(2)</w:t>
            </w:r>
          </w:p>
        </w:tc>
      </w:tr>
      <w:tr w:rsidR="009B7E9B" w:rsidRPr="00AD55AA" w14:paraId="3A402269" w14:textId="77777777" w:rsidTr="009B7E9B">
        <w:trPr>
          <w:jc w:val="center"/>
        </w:trPr>
        <w:tc>
          <w:tcPr>
            <w:tcW w:w="1324" w:type="pct"/>
            <w:tcBorders>
              <w:top w:val="nil"/>
              <w:left w:val="nil"/>
              <w:bottom w:val="single" w:sz="4" w:space="0" w:color="auto"/>
              <w:right w:val="nil"/>
            </w:tcBorders>
          </w:tcPr>
          <w:p w14:paraId="4B7A9331"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bottom w:val="single" w:sz="4" w:space="0" w:color="auto"/>
              <w:right w:val="nil"/>
            </w:tcBorders>
          </w:tcPr>
          <w:p w14:paraId="386DAA79"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bottom w:val="single" w:sz="4" w:space="0" w:color="auto"/>
              <w:right w:val="nil"/>
            </w:tcBorders>
          </w:tcPr>
          <w:p w14:paraId="6231BE78" w14:textId="0FE741D0"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bottom w:val="single" w:sz="4" w:space="0" w:color="auto"/>
              <w:right w:val="nil"/>
            </w:tcBorders>
          </w:tcPr>
          <w:p w14:paraId="2964EB9E" w14:textId="388CE0E0" w:rsidR="009B7E9B" w:rsidRPr="00AD55AA" w:rsidRDefault="009B7E9B" w:rsidP="00F57ACE">
            <w:pPr>
              <w:widowControl w:val="0"/>
              <w:autoSpaceDE w:val="0"/>
              <w:autoSpaceDN w:val="0"/>
              <w:adjustRightInd w:val="0"/>
              <w:jc w:val="center"/>
              <w:rPr>
                <w:sz w:val="22"/>
                <w:szCs w:val="22"/>
              </w:rPr>
            </w:pPr>
            <w:r w:rsidRPr="00AD55AA">
              <w:rPr>
                <w:sz w:val="22"/>
                <w:szCs w:val="22"/>
              </w:rPr>
              <w:t>Obs. = 7</w:t>
            </w:r>
            <w:r w:rsidR="00F57ACE">
              <w:rPr>
                <w:sz w:val="22"/>
                <w:szCs w:val="22"/>
              </w:rPr>
              <w:t>04</w:t>
            </w:r>
          </w:p>
        </w:tc>
        <w:tc>
          <w:tcPr>
            <w:tcW w:w="1539" w:type="pct"/>
            <w:tcBorders>
              <w:top w:val="nil"/>
              <w:left w:val="nil"/>
              <w:bottom w:val="single" w:sz="4" w:space="0" w:color="auto"/>
              <w:right w:val="nil"/>
            </w:tcBorders>
          </w:tcPr>
          <w:p w14:paraId="1FAFE710" w14:textId="7E6F1E6A" w:rsidR="009B7E9B" w:rsidRPr="00AD55AA" w:rsidRDefault="009B7E9B" w:rsidP="00F57ACE">
            <w:pPr>
              <w:widowControl w:val="0"/>
              <w:autoSpaceDE w:val="0"/>
              <w:autoSpaceDN w:val="0"/>
              <w:adjustRightInd w:val="0"/>
              <w:jc w:val="center"/>
              <w:rPr>
                <w:sz w:val="22"/>
                <w:szCs w:val="22"/>
              </w:rPr>
            </w:pPr>
            <w:r w:rsidRPr="00AD55AA">
              <w:rPr>
                <w:sz w:val="22"/>
                <w:szCs w:val="22"/>
              </w:rPr>
              <w:t>Obs. = 7</w:t>
            </w:r>
            <w:r w:rsidR="00F57ACE">
              <w:rPr>
                <w:sz w:val="22"/>
                <w:szCs w:val="22"/>
              </w:rPr>
              <w:t>04</w:t>
            </w:r>
          </w:p>
        </w:tc>
      </w:tr>
      <w:tr w:rsidR="009B7E9B" w:rsidRPr="00AD55AA" w14:paraId="58975190" w14:textId="77777777" w:rsidTr="009B7E9B">
        <w:trPr>
          <w:jc w:val="center"/>
        </w:trPr>
        <w:tc>
          <w:tcPr>
            <w:tcW w:w="1324" w:type="pct"/>
            <w:tcBorders>
              <w:top w:val="single" w:sz="4" w:space="0" w:color="auto"/>
              <w:left w:val="nil"/>
              <w:right w:val="nil"/>
            </w:tcBorders>
          </w:tcPr>
          <w:p w14:paraId="4974E891" w14:textId="55BE92E2" w:rsidR="009B7E9B" w:rsidRPr="00AD55AA" w:rsidRDefault="009B7E9B" w:rsidP="009B7E9B">
            <w:pPr>
              <w:widowControl w:val="0"/>
              <w:autoSpaceDE w:val="0"/>
              <w:autoSpaceDN w:val="0"/>
              <w:adjustRightInd w:val="0"/>
              <w:rPr>
                <w:sz w:val="22"/>
                <w:szCs w:val="22"/>
              </w:rPr>
            </w:pPr>
            <w:r w:rsidRPr="00AD55AA">
              <w:rPr>
                <w:sz w:val="22"/>
                <w:szCs w:val="22"/>
              </w:rPr>
              <w:t>[-1,+1]</w:t>
            </w:r>
          </w:p>
        </w:tc>
        <w:tc>
          <w:tcPr>
            <w:tcW w:w="299" w:type="pct"/>
            <w:tcBorders>
              <w:top w:val="single" w:sz="4" w:space="0" w:color="auto"/>
              <w:left w:val="nil"/>
              <w:right w:val="nil"/>
            </w:tcBorders>
          </w:tcPr>
          <w:p w14:paraId="250AD506"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single" w:sz="4" w:space="0" w:color="auto"/>
              <w:left w:val="nil"/>
              <w:right w:val="nil"/>
            </w:tcBorders>
          </w:tcPr>
          <w:p w14:paraId="2B9B128F" w14:textId="35D491FE" w:rsidR="009B7E9B" w:rsidRPr="00AD55AA" w:rsidRDefault="009B7E9B" w:rsidP="009B7E9B">
            <w:pPr>
              <w:widowControl w:val="0"/>
              <w:autoSpaceDE w:val="0"/>
              <w:autoSpaceDN w:val="0"/>
              <w:adjustRightInd w:val="0"/>
              <w:jc w:val="center"/>
              <w:rPr>
                <w:sz w:val="22"/>
                <w:szCs w:val="22"/>
              </w:rPr>
            </w:pPr>
          </w:p>
        </w:tc>
        <w:tc>
          <w:tcPr>
            <w:tcW w:w="1539" w:type="pct"/>
            <w:tcBorders>
              <w:top w:val="single" w:sz="4" w:space="0" w:color="auto"/>
              <w:left w:val="nil"/>
              <w:right w:val="nil"/>
            </w:tcBorders>
          </w:tcPr>
          <w:p w14:paraId="7723C772" w14:textId="2CCC4ABE" w:rsidR="009B7E9B" w:rsidRPr="00AD55AA" w:rsidRDefault="00F57ACE" w:rsidP="009B7E9B">
            <w:pPr>
              <w:widowControl w:val="0"/>
              <w:autoSpaceDE w:val="0"/>
              <w:autoSpaceDN w:val="0"/>
              <w:adjustRightInd w:val="0"/>
              <w:jc w:val="center"/>
              <w:rPr>
                <w:sz w:val="22"/>
                <w:szCs w:val="22"/>
              </w:rPr>
            </w:pPr>
            <w:r>
              <w:rPr>
                <w:sz w:val="22"/>
                <w:szCs w:val="22"/>
              </w:rPr>
              <w:t>-.0047</w:t>
            </w:r>
            <w:r w:rsidR="009B7E9B" w:rsidRPr="00AD55AA">
              <w:rPr>
                <w:sz w:val="22"/>
                <w:szCs w:val="22"/>
              </w:rPr>
              <w:t>**</w:t>
            </w:r>
          </w:p>
        </w:tc>
        <w:tc>
          <w:tcPr>
            <w:tcW w:w="1539" w:type="pct"/>
            <w:tcBorders>
              <w:top w:val="single" w:sz="4" w:space="0" w:color="auto"/>
              <w:left w:val="nil"/>
              <w:right w:val="nil"/>
            </w:tcBorders>
          </w:tcPr>
          <w:p w14:paraId="32A755E7" w14:textId="01C31403" w:rsidR="009B7E9B" w:rsidRPr="00AD55AA" w:rsidRDefault="009B7E9B" w:rsidP="009B7E9B">
            <w:pPr>
              <w:widowControl w:val="0"/>
              <w:autoSpaceDE w:val="0"/>
              <w:autoSpaceDN w:val="0"/>
              <w:adjustRightInd w:val="0"/>
              <w:jc w:val="center"/>
              <w:rPr>
                <w:sz w:val="22"/>
                <w:szCs w:val="22"/>
              </w:rPr>
            </w:pPr>
            <w:r w:rsidRPr="00AD55AA">
              <w:rPr>
                <w:sz w:val="22"/>
                <w:szCs w:val="22"/>
              </w:rPr>
              <w:t>-.</w:t>
            </w:r>
            <w:r w:rsidRPr="00346D4F">
              <w:rPr>
                <w:sz w:val="22"/>
                <w:szCs w:val="22"/>
              </w:rPr>
              <w:t>004</w:t>
            </w:r>
            <w:r w:rsidR="00F57ACE">
              <w:rPr>
                <w:sz w:val="22"/>
                <w:szCs w:val="22"/>
              </w:rPr>
              <w:t>3</w:t>
            </w:r>
            <w:r w:rsidRPr="00AD55AA">
              <w:rPr>
                <w:sz w:val="22"/>
                <w:szCs w:val="22"/>
              </w:rPr>
              <w:t>**</w:t>
            </w:r>
          </w:p>
        </w:tc>
      </w:tr>
      <w:tr w:rsidR="009B7E9B" w:rsidRPr="00AD55AA" w14:paraId="57BA445D" w14:textId="77777777" w:rsidTr="009B7E9B">
        <w:trPr>
          <w:jc w:val="center"/>
        </w:trPr>
        <w:tc>
          <w:tcPr>
            <w:tcW w:w="1324" w:type="pct"/>
            <w:tcBorders>
              <w:top w:val="nil"/>
              <w:left w:val="nil"/>
              <w:right w:val="nil"/>
            </w:tcBorders>
          </w:tcPr>
          <w:p w14:paraId="4020E890"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4986C1B1"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51C173EC" w14:textId="36F1976A"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05890FA9" w14:textId="4B957653" w:rsidR="009B7E9B" w:rsidRPr="00AD55AA" w:rsidRDefault="00F57ACE" w:rsidP="009B7E9B">
            <w:pPr>
              <w:widowControl w:val="0"/>
              <w:autoSpaceDE w:val="0"/>
              <w:autoSpaceDN w:val="0"/>
              <w:adjustRightInd w:val="0"/>
              <w:jc w:val="center"/>
              <w:rPr>
                <w:sz w:val="22"/>
                <w:szCs w:val="22"/>
              </w:rPr>
            </w:pPr>
            <w:r>
              <w:rPr>
                <w:sz w:val="22"/>
                <w:szCs w:val="22"/>
              </w:rPr>
              <w:t>(0.020</w:t>
            </w:r>
            <w:r w:rsidR="009B7E9B" w:rsidRPr="00AD55AA">
              <w:rPr>
                <w:sz w:val="22"/>
                <w:szCs w:val="22"/>
              </w:rPr>
              <w:t>)</w:t>
            </w:r>
          </w:p>
        </w:tc>
        <w:tc>
          <w:tcPr>
            <w:tcW w:w="1539" w:type="pct"/>
            <w:tcBorders>
              <w:top w:val="nil"/>
              <w:left w:val="nil"/>
              <w:right w:val="nil"/>
            </w:tcBorders>
          </w:tcPr>
          <w:p w14:paraId="762A8196" w14:textId="07E99532" w:rsidR="009B7E9B" w:rsidRPr="00AD55AA" w:rsidRDefault="00F57ACE" w:rsidP="009B7E9B">
            <w:pPr>
              <w:widowControl w:val="0"/>
              <w:autoSpaceDE w:val="0"/>
              <w:autoSpaceDN w:val="0"/>
              <w:adjustRightInd w:val="0"/>
              <w:jc w:val="center"/>
              <w:rPr>
                <w:sz w:val="22"/>
                <w:szCs w:val="22"/>
              </w:rPr>
            </w:pPr>
            <w:r>
              <w:rPr>
                <w:sz w:val="22"/>
                <w:szCs w:val="22"/>
              </w:rPr>
              <w:t>(0.034</w:t>
            </w:r>
            <w:r w:rsidR="009B7E9B" w:rsidRPr="00AD55AA">
              <w:rPr>
                <w:sz w:val="22"/>
                <w:szCs w:val="22"/>
              </w:rPr>
              <w:t>)</w:t>
            </w:r>
          </w:p>
        </w:tc>
      </w:tr>
      <w:tr w:rsidR="009B7E9B" w:rsidRPr="00AD55AA" w14:paraId="60BB5615" w14:textId="77777777" w:rsidTr="009B7E9B">
        <w:trPr>
          <w:jc w:val="center"/>
        </w:trPr>
        <w:tc>
          <w:tcPr>
            <w:tcW w:w="1324" w:type="pct"/>
            <w:tcBorders>
              <w:top w:val="nil"/>
              <w:left w:val="nil"/>
              <w:right w:val="nil"/>
            </w:tcBorders>
          </w:tcPr>
          <w:p w14:paraId="0176A8BE"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40343360"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2DA3C61D"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7EF41C79"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75F55B45" w14:textId="77777777" w:rsidR="009B7E9B" w:rsidRPr="00AD55AA" w:rsidRDefault="009B7E9B" w:rsidP="009B7E9B">
            <w:pPr>
              <w:widowControl w:val="0"/>
              <w:autoSpaceDE w:val="0"/>
              <w:autoSpaceDN w:val="0"/>
              <w:adjustRightInd w:val="0"/>
              <w:jc w:val="center"/>
              <w:rPr>
                <w:sz w:val="22"/>
                <w:szCs w:val="22"/>
              </w:rPr>
            </w:pPr>
          </w:p>
        </w:tc>
      </w:tr>
      <w:tr w:rsidR="009B7E9B" w:rsidRPr="00AD55AA" w14:paraId="498ED4EF" w14:textId="77777777" w:rsidTr="009B7E9B">
        <w:trPr>
          <w:jc w:val="center"/>
        </w:trPr>
        <w:tc>
          <w:tcPr>
            <w:tcW w:w="1324" w:type="pct"/>
            <w:tcBorders>
              <w:top w:val="nil"/>
              <w:left w:val="nil"/>
              <w:right w:val="nil"/>
            </w:tcBorders>
          </w:tcPr>
          <w:p w14:paraId="4B99DD35" w14:textId="1657EC91" w:rsidR="009B7E9B" w:rsidRPr="00AD55AA" w:rsidRDefault="009B7E9B" w:rsidP="009B7E9B">
            <w:pPr>
              <w:widowControl w:val="0"/>
              <w:autoSpaceDE w:val="0"/>
              <w:autoSpaceDN w:val="0"/>
              <w:adjustRightInd w:val="0"/>
              <w:rPr>
                <w:sz w:val="22"/>
                <w:szCs w:val="22"/>
              </w:rPr>
            </w:pPr>
            <w:r w:rsidRPr="00AD55AA">
              <w:rPr>
                <w:sz w:val="22"/>
                <w:szCs w:val="22"/>
              </w:rPr>
              <w:t>[-2,+2]</w:t>
            </w:r>
          </w:p>
        </w:tc>
        <w:tc>
          <w:tcPr>
            <w:tcW w:w="299" w:type="pct"/>
            <w:tcBorders>
              <w:top w:val="nil"/>
              <w:left w:val="nil"/>
              <w:right w:val="nil"/>
            </w:tcBorders>
          </w:tcPr>
          <w:p w14:paraId="68C82373"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6104F3E1"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160CD74E" w14:textId="7C6259A1" w:rsidR="009B7E9B" w:rsidRPr="00AD55AA" w:rsidRDefault="00F57ACE" w:rsidP="009B7E9B">
            <w:pPr>
              <w:widowControl w:val="0"/>
              <w:autoSpaceDE w:val="0"/>
              <w:autoSpaceDN w:val="0"/>
              <w:adjustRightInd w:val="0"/>
              <w:jc w:val="center"/>
              <w:rPr>
                <w:sz w:val="22"/>
                <w:szCs w:val="22"/>
              </w:rPr>
            </w:pPr>
            <w:r>
              <w:rPr>
                <w:sz w:val="22"/>
                <w:szCs w:val="22"/>
              </w:rPr>
              <w:t>-.0062</w:t>
            </w:r>
            <w:r w:rsidR="009B7E9B" w:rsidRPr="00AD55AA">
              <w:rPr>
                <w:sz w:val="22"/>
                <w:szCs w:val="22"/>
              </w:rPr>
              <w:t>**</w:t>
            </w:r>
          </w:p>
        </w:tc>
        <w:tc>
          <w:tcPr>
            <w:tcW w:w="1539" w:type="pct"/>
            <w:tcBorders>
              <w:top w:val="nil"/>
              <w:left w:val="nil"/>
              <w:right w:val="nil"/>
            </w:tcBorders>
          </w:tcPr>
          <w:p w14:paraId="05AC99A4" w14:textId="551BAC1C" w:rsidR="009B7E9B" w:rsidRPr="00AD55AA" w:rsidRDefault="009B7E9B" w:rsidP="009B7E9B">
            <w:pPr>
              <w:widowControl w:val="0"/>
              <w:autoSpaceDE w:val="0"/>
              <w:autoSpaceDN w:val="0"/>
              <w:adjustRightInd w:val="0"/>
              <w:jc w:val="center"/>
              <w:rPr>
                <w:sz w:val="22"/>
                <w:szCs w:val="22"/>
              </w:rPr>
            </w:pPr>
            <w:r w:rsidRPr="00AD55AA">
              <w:rPr>
                <w:sz w:val="22"/>
                <w:szCs w:val="22"/>
              </w:rPr>
              <w:t>-.00</w:t>
            </w:r>
            <w:r w:rsidR="00F57ACE">
              <w:rPr>
                <w:sz w:val="22"/>
                <w:szCs w:val="22"/>
              </w:rPr>
              <w:t>56</w:t>
            </w:r>
            <w:r w:rsidRPr="00AD55AA">
              <w:rPr>
                <w:sz w:val="22"/>
                <w:szCs w:val="22"/>
              </w:rPr>
              <w:t>**</w:t>
            </w:r>
          </w:p>
        </w:tc>
      </w:tr>
      <w:tr w:rsidR="009B7E9B" w:rsidRPr="00AD55AA" w14:paraId="296A9FEE" w14:textId="77777777" w:rsidTr="009B7E9B">
        <w:trPr>
          <w:jc w:val="center"/>
        </w:trPr>
        <w:tc>
          <w:tcPr>
            <w:tcW w:w="1324" w:type="pct"/>
            <w:tcBorders>
              <w:top w:val="nil"/>
              <w:left w:val="nil"/>
              <w:right w:val="nil"/>
            </w:tcBorders>
          </w:tcPr>
          <w:p w14:paraId="7638B5BB"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78A0B081"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47A04285"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6A24B351" w14:textId="2AECD09A" w:rsidR="009B7E9B" w:rsidRPr="00AD55AA" w:rsidRDefault="00F57ACE" w:rsidP="009B7E9B">
            <w:pPr>
              <w:widowControl w:val="0"/>
              <w:autoSpaceDE w:val="0"/>
              <w:autoSpaceDN w:val="0"/>
              <w:adjustRightInd w:val="0"/>
              <w:jc w:val="center"/>
              <w:rPr>
                <w:sz w:val="22"/>
                <w:szCs w:val="22"/>
              </w:rPr>
            </w:pPr>
            <w:r>
              <w:rPr>
                <w:sz w:val="22"/>
                <w:szCs w:val="22"/>
              </w:rPr>
              <w:t>(0.024</w:t>
            </w:r>
            <w:r w:rsidR="009B7E9B" w:rsidRPr="00AD55AA">
              <w:rPr>
                <w:sz w:val="22"/>
                <w:szCs w:val="22"/>
              </w:rPr>
              <w:t>)</w:t>
            </w:r>
          </w:p>
        </w:tc>
        <w:tc>
          <w:tcPr>
            <w:tcW w:w="1539" w:type="pct"/>
            <w:tcBorders>
              <w:top w:val="nil"/>
              <w:left w:val="nil"/>
              <w:right w:val="nil"/>
            </w:tcBorders>
          </w:tcPr>
          <w:p w14:paraId="1D0023D0" w14:textId="2484F7D7" w:rsidR="009B7E9B" w:rsidRPr="00AD55AA" w:rsidRDefault="009B7E9B" w:rsidP="009B7E9B">
            <w:pPr>
              <w:widowControl w:val="0"/>
              <w:autoSpaceDE w:val="0"/>
              <w:autoSpaceDN w:val="0"/>
              <w:adjustRightInd w:val="0"/>
              <w:jc w:val="center"/>
              <w:rPr>
                <w:sz w:val="22"/>
                <w:szCs w:val="22"/>
              </w:rPr>
            </w:pPr>
            <w:r w:rsidRPr="00AD55AA">
              <w:rPr>
                <w:sz w:val="22"/>
                <w:szCs w:val="22"/>
              </w:rPr>
              <w:t>(0.0</w:t>
            </w:r>
            <w:r w:rsidRPr="00346D4F">
              <w:rPr>
                <w:sz w:val="22"/>
                <w:szCs w:val="22"/>
              </w:rPr>
              <w:t>39</w:t>
            </w:r>
            <w:r w:rsidRPr="00AD55AA">
              <w:rPr>
                <w:sz w:val="22"/>
                <w:szCs w:val="22"/>
              </w:rPr>
              <w:t>)</w:t>
            </w:r>
          </w:p>
        </w:tc>
      </w:tr>
      <w:tr w:rsidR="009B7E9B" w:rsidRPr="00AD55AA" w14:paraId="52A874F2" w14:textId="77777777" w:rsidTr="009B7E9B">
        <w:trPr>
          <w:jc w:val="center"/>
        </w:trPr>
        <w:tc>
          <w:tcPr>
            <w:tcW w:w="1324" w:type="pct"/>
            <w:tcBorders>
              <w:top w:val="nil"/>
              <w:left w:val="nil"/>
              <w:right w:val="nil"/>
            </w:tcBorders>
          </w:tcPr>
          <w:p w14:paraId="78B6907D"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0ED1FA88"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2884F545"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0FC224F2"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26101954" w14:textId="77777777" w:rsidR="009B7E9B" w:rsidRPr="00AD55AA" w:rsidRDefault="009B7E9B" w:rsidP="009B7E9B">
            <w:pPr>
              <w:widowControl w:val="0"/>
              <w:autoSpaceDE w:val="0"/>
              <w:autoSpaceDN w:val="0"/>
              <w:adjustRightInd w:val="0"/>
              <w:jc w:val="center"/>
              <w:rPr>
                <w:sz w:val="22"/>
                <w:szCs w:val="22"/>
              </w:rPr>
            </w:pPr>
          </w:p>
        </w:tc>
      </w:tr>
      <w:tr w:rsidR="009B7E9B" w:rsidRPr="00AD55AA" w14:paraId="21F5F331" w14:textId="77777777" w:rsidTr="009B7E9B">
        <w:trPr>
          <w:jc w:val="center"/>
        </w:trPr>
        <w:tc>
          <w:tcPr>
            <w:tcW w:w="1324" w:type="pct"/>
            <w:tcBorders>
              <w:top w:val="nil"/>
              <w:left w:val="nil"/>
              <w:right w:val="nil"/>
            </w:tcBorders>
          </w:tcPr>
          <w:p w14:paraId="1D1A3883" w14:textId="0B272447" w:rsidR="009B7E9B" w:rsidRPr="00AD55AA" w:rsidRDefault="009B7E9B" w:rsidP="009B7E9B">
            <w:pPr>
              <w:widowControl w:val="0"/>
              <w:autoSpaceDE w:val="0"/>
              <w:autoSpaceDN w:val="0"/>
              <w:adjustRightInd w:val="0"/>
              <w:rPr>
                <w:sz w:val="22"/>
                <w:szCs w:val="22"/>
              </w:rPr>
            </w:pPr>
            <w:r w:rsidRPr="00AD55AA">
              <w:rPr>
                <w:sz w:val="22"/>
                <w:szCs w:val="22"/>
              </w:rPr>
              <w:t>[0,+21]</w:t>
            </w:r>
          </w:p>
        </w:tc>
        <w:tc>
          <w:tcPr>
            <w:tcW w:w="299" w:type="pct"/>
            <w:tcBorders>
              <w:top w:val="nil"/>
              <w:left w:val="nil"/>
              <w:right w:val="nil"/>
            </w:tcBorders>
          </w:tcPr>
          <w:p w14:paraId="11F6B828"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4103A3B5"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43AC340A" w14:textId="3A4368C3" w:rsidR="009B7E9B" w:rsidRPr="00AD55AA" w:rsidRDefault="00F57ACE" w:rsidP="009B7E9B">
            <w:pPr>
              <w:widowControl w:val="0"/>
              <w:autoSpaceDE w:val="0"/>
              <w:autoSpaceDN w:val="0"/>
              <w:adjustRightInd w:val="0"/>
              <w:jc w:val="center"/>
              <w:rPr>
                <w:sz w:val="22"/>
                <w:szCs w:val="22"/>
              </w:rPr>
            </w:pPr>
            <w:r>
              <w:rPr>
                <w:sz w:val="22"/>
                <w:szCs w:val="22"/>
              </w:rPr>
              <w:t>-.0352</w:t>
            </w:r>
            <w:r w:rsidR="009B7E9B" w:rsidRPr="00AD55AA">
              <w:rPr>
                <w:sz w:val="22"/>
                <w:szCs w:val="22"/>
              </w:rPr>
              <w:t>***</w:t>
            </w:r>
          </w:p>
        </w:tc>
        <w:tc>
          <w:tcPr>
            <w:tcW w:w="1539" w:type="pct"/>
            <w:tcBorders>
              <w:top w:val="nil"/>
              <w:left w:val="nil"/>
              <w:right w:val="nil"/>
            </w:tcBorders>
          </w:tcPr>
          <w:p w14:paraId="405542F1" w14:textId="60E4F5F7" w:rsidR="009B7E9B" w:rsidRPr="00AD55AA" w:rsidRDefault="00F57ACE" w:rsidP="009B7E9B">
            <w:pPr>
              <w:widowControl w:val="0"/>
              <w:autoSpaceDE w:val="0"/>
              <w:autoSpaceDN w:val="0"/>
              <w:adjustRightInd w:val="0"/>
              <w:jc w:val="center"/>
              <w:rPr>
                <w:sz w:val="22"/>
                <w:szCs w:val="22"/>
              </w:rPr>
            </w:pPr>
            <w:r>
              <w:rPr>
                <w:sz w:val="22"/>
                <w:szCs w:val="22"/>
              </w:rPr>
              <w:t>-.0264</w:t>
            </w:r>
            <w:r w:rsidR="009B7E9B" w:rsidRPr="00AD55AA">
              <w:rPr>
                <w:sz w:val="22"/>
                <w:szCs w:val="22"/>
              </w:rPr>
              <w:t>***</w:t>
            </w:r>
          </w:p>
        </w:tc>
      </w:tr>
      <w:tr w:rsidR="009B7E9B" w:rsidRPr="00AD55AA" w14:paraId="477CC8E7" w14:textId="77777777" w:rsidTr="009B7E9B">
        <w:trPr>
          <w:jc w:val="center"/>
        </w:trPr>
        <w:tc>
          <w:tcPr>
            <w:tcW w:w="1324" w:type="pct"/>
            <w:tcBorders>
              <w:top w:val="nil"/>
              <w:left w:val="nil"/>
              <w:right w:val="nil"/>
            </w:tcBorders>
          </w:tcPr>
          <w:p w14:paraId="60B8804E"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211F2AE2"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43BCE988"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4157E08C" w14:textId="287A727C" w:rsidR="009B7E9B" w:rsidRPr="00AD55AA" w:rsidRDefault="009B7E9B" w:rsidP="009B7E9B">
            <w:pPr>
              <w:widowControl w:val="0"/>
              <w:autoSpaceDE w:val="0"/>
              <w:autoSpaceDN w:val="0"/>
              <w:adjustRightInd w:val="0"/>
              <w:jc w:val="center"/>
              <w:rPr>
                <w:sz w:val="22"/>
                <w:szCs w:val="22"/>
              </w:rPr>
            </w:pPr>
            <w:r w:rsidRPr="00AD55AA">
              <w:rPr>
                <w:sz w:val="22"/>
                <w:szCs w:val="22"/>
              </w:rPr>
              <w:t>(0.000)</w:t>
            </w:r>
          </w:p>
        </w:tc>
        <w:tc>
          <w:tcPr>
            <w:tcW w:w="1539" w:type="pct"/>
            <w:tcBorders>
              <w:top w:val="nil"/>
              <w:left w:val="nil"/>
              <w:right w:val="nil"/>
            </w:tcBorders>
          </w:tcPr>
          <w:p w14:paraId="634E220A" w14:textId="7C86C1F4" w:rsidR="009B7E9B" w:rsidRPr="00AD55AA" w:rsidRDefault="009B7E9B" w:rsidP="009B7E9B">
            <w:pPr>
              <w:widowControl w:val="0"/>
              <w:autoSpaceDE w:val="0"/>
              <w:autoSpaceDN w:val="0"/>
              <w:adjustRightInd w:val="0"/>
              <w:jc w:val="center"/>
              <w:rPr>
                <w:sz w:val="22"/>
                <w:szCs w:val="22"/>
              </w:rPr>
            </w:pPr>
            <w:r w:rsidRPr="00AD55AA">
              <w:rPr>
                <w:sz w:val="22"/>
                <w:szCs w:val="22"/>
              </w:rPr>
              <w:t>(0.000)</w:t>
            </w:r>
          </w:p>
        </w:tc>
      </w:tr>
      <w:tr w:rsidR="009B7E9B" w:rsidRPr="00AD55AA" w14:paraId="493CD3AF" w14:textId="77777777" w:rsidTr="009B7E9B">
        <w:trPr>
          <w:jc w:val="center"/>
        </w:trPr>
        <w:tc>
          <w:tcPr>
            <w:tcW w:w="1324" w:type="pct"/>
            <w:tcBorders>
              <w:top w:val="nil"/>
              <w:left w:val="nil"/>
              <w:right w:val="nil"/>
            </w:tcBorders>
          </w:tcPr>
          <w:p w14:paraId="1FDD7AC7"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0EBBF9B7"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5C6797A7"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0D31C806"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49D3464D" w14:textId="77777777" w:rsidR="009B7E9B" w:rsidRPr="00AD55AA" w:rsidRDefault="009B7E9B" w:rsidP="009B7E9B">
            <w:pPr>
              <w:widowControl w:val="0"/>
              <w:autoSpaceDE w:val="0"/>
              <w:autoSpaceDN w:val="0"/>
              <w:adjustRightInd w:val="0"/>
              <w:jc w:val="center"/>
              <w:rPr>
                <w:sz w:val="22"/>
                <w:szCs w:val="22"/>
              </w:rPr>
            </w:pPr>
          </w:p>
        </w:tc>
      </w:tr>
      <w:tr w:rsidR="009B7E9B" w:rsidRPr="00AD55AA" w14:paraId="7CDCD08C" w14:textId="77777777" w:rsidTr="009B7E9B">
        <w:trPr>
          <w:jc w:val="center"/>
        </w:trPr>
        <w:tc>
          <w:tcPr>
            <w:tcW w:w="1324" w:type="pct"/>
            <w:tcBorders>
              <w:top w:val="nil"/>
              <w:left w:val="nil"/>
              <w:right w:val="nil"/>
            </w:tcBorders>
          </w:tcPr>
          <w:p w14:paraId="00E56BA9" w14:textId="569D2116" w:rsidR="009B7E9B" w:rsidRPr="00AD55AA" w:rsidRDefault="009B7E9B" w:rsidP="009B7E9B">
            <w:pPr>
              <w:widowControl w:val="0"/>
              <w:autoSpaceDE w:val="0"/>
              <w:autoSpaceDN w:val="0"/>
              <w:adjustRightInd w:val="0"/>
              <w:rPr>
                <w:sz w:val="22"/>
                <w:szCs w:val="22"/>
              </w:rPr>
            </w:pPr>
            <w:r w:rsidRPr="00AD55AA">
              <w:rPr>
                <w:sz w:val="22"/>
                <w:szCs w:val="22"/>
              </w:rPr>
              <w:t>[0,+63]</w:t>
            </w:r>
          </w:p>
        </w:tc>
        <w:tc>
          <w:tcPr>
            <w:tcW w:w="299" w:type="pct"/>
            <w:tcBorders>
              <w:top w:val="nil"/>
              <w:left w:val="nil"/>
              <w:right w:val="nil"/>
            </w:tcBorders>
          </w:tcPr>
          <w:p w14:paraId="7C5FF407"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0821B53F" w14:textId="6D4A84B0"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1032E4EB" w14:textId="5BFC7D8B" w:rsidR="009B7E9B" w:rsidRPr="00AD55AA" w:rsidRDefault="00F57ACE" w:rsidP="009B7E9B">
            <w:pPr>
              <w:widowControl w:val="0"/>
              <w:autoSpaceDE w:val="0"/>
              <w:autoSpaceDN w:val="0"/>
              <w:adjustRightInd w:val="0"/>
              <w:jc w:val="center"/>
              <w:rPr>
                <w:sz w:val="22"/>
                <w:szCs w:val="22"/>
              </w:rPr>
            </w:pPr>
            <w:r>
              <w:rPr>
                <w:sz w:val="22"/>
                <w:szCs w:val="22"/>
              </w:rPr>
              <w:t>-.0382</w:t>
            </w:r>
            <w:r w:rsidR="009B7E9B" w:rsidRPr="00AD55AA">
              <w:rPr>
                <w:sz w:val="22"/>
                <w:szCs w:val="22"/>
              </w:rPr>
              <w:t>***</w:t>
            </w:r>
          </w:p>
        </w:tc>
        <w:tc>
          <w:tcPr>
            <w:tcW w:w="1539" w:type="pct"/>
            <w:tcBorders>
              <w:top w:val="nil"/>
              <w:left w:val="nil"/>
              <w:right w:val="nil"/>
            </w:tcBorders>
          </w:tcPr>
          <w:p w14:paraId="0B84B33D" w14:textId="21063778" w:rsidR="009B7E9B" w:rsidRPr="00AD55AA" w:rsidRDefault="009B7E9B" w:rsidP="00243975">
            <w:pPr>
              <w:widowControl w:val="0"/>
              <w:autoSpaceDE w:val="0"/>
              <w:autoSpaceDN w:val="0"/>
              <w:adjustRightInd w:val="0"/>
              <w:jc w:val="center"/>
              <w:rPr>
                <w:sz w:val="22"/>
                <w:szCs w:val="22"/>
              </w:rPr>
            </w:pPr>
            <w:r w:rsidRPr="00346D4F">
              <w:rPr>
                <w:sz w:val="22"/>
                <w:szCs w:val="22"/>
              </w:rPr>
              <w:t>-.02</w:t>
            </w:r>
            <w:r w:rsidR="00243975">
              <w:rPr>
                <w:sz w:val="22"/>
                <w:szCs w:val="22"/>
              </w:rPr>
              <w:t>75</w:t>
            </w:r>
            <w:r>
              <w:rPr>
                <w:sz w:val="22"/>
                <w:szCs w:val="22"/>
              </w:rPr>
              <w:t>**</w:t>
            </w:r>
          </w:p>
        </w:tc>
      </w:tr>
      <w:tr w:rsidR="009B7E9B" w:rsidRPr="00AD55AA" w14:paraId="7E4C01D0" w14:textId="77777777" w:rsidTr="009B7E9B">
        <w:trPr>
          <w:jc w:val="center"/>
        </w:trPr>
        <w:tc>
          <w:tcPr>
            <w:tcW w:w="1324" w:type="pct"/>
            <w:tcBorders>
              <w:top w:val="nil"/>
              <w:left w:val="nil"/>
              <w:right w:val="nil"/>
            </w:tcBorders>
          </w:tcPr>
          <w:p w14:paraId="705C90C7"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2A2B08CC"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4FFD402B" w14:textId="5ED14334"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41938517" w14:textId="075D2082" w:rsidR="009B7E9B" w:rsidRPr="00AD55AA" w:rsidRDefault="00F57ACE" w:rsidP="009B7E9B">
            <w:pPr>
              <w:widowControl w:val="0"/>
              <w:autoSpaceDE w:val="0"/>
              <w:autoSpaceDN w:val="0"/>
              <w:adjustRightInd w:val="0"/>
              <w:jc w:val="center"/>
              <w:rPr>
                <w:sz w:val="22"/>
                <w:szCs w:val="22"/>
              </w:rPr>
            </w:pPr>
            <w:r>
              <w:rPr>
                <w:sz w:val="22"/>
                <w:szCs w:val="22"/>
              </w:rPr>
              <w:t>(0.000</w:t>
            </w:r>
            <w:r w:rsidR="009B7E9B" w:rsidRPr="00AD55AA">
              <w:rPr>
                <w:sz w:val="22"/>
                <w:szCs w:val="22"/>
              </w:rPr>
              <w:t>)</w:t>
            </w:r>
          </w:p>
        </w:tc>
        <w:tc>
          <w:tcPr>
            <w:tcW w:w="1539" w:type="pct"/>
            <w:tcBorders>
              <w:top w:val="nil"/>
              <w:left w:val="nil"/>
              <w:right w:val="nil"/>
            </w:tcBorders>
          </w:tcPr>
          <w:p w14:paraId="5365AA88" w14:textId="6BAF05D1" w:rsidR="009B7E9B" w:rsidRPr="00AD55AA" w:rsidRDefault="00243975" w:rsidP="009B7E9B">
            <w:pPr>
              <w:widowControl w:val="0"/>
              <w:autoSpaceDE w:val="0"/>
              <w:autoSpaceDN w:val="0"/>
              <w:adjustRightInd w:val="0"/>
              <w:jc w:val="center"/>
              <w:rPr>
                <w:sz w:val="22"/>
                <w:szCs w:val="22"/>
              </w:rPr>
            </w:pPr>
            <w:r>
              <w:rPr>
                <w:sz w:val="22"/>
                <w:szCs w:val="22"/>
              </w:rPr>
              <w:t>(0.018</w:t>
            </w:r>
            <w:r w:rsidR="009B7E9B" w:rsidRPr="00AD55AA">
              <w:rPr>
                <w:sz w:val="22"/>
                <w:szCs w:val="22"/>
              </w:rPr>
              <w:t>)</w:t>
            </w:r>
          </w:p>
        </w:tc>
      </w:tr>
      <w:tr w:rsidR="009B7E9B" w:rsidRPr="00AD55AA" w14:paraId="76D355E2" w14:textId="77777777" w:rsidTr="009B7E9B">
        <w:trPr>
          <w:jc w:val="center"/>
        </w:trPr>
        <w:tc>
          <w:tcPr>
            <w:tcW w:w="1324" w:type="pct"/>
            <w:tcBorders>
              <w:top w:val="nil"/>
              <w:left w:val="nil"/>
              <w:right w:val="nil"/>
            </w:tcBorders>
          </w:tcPr>
          <w:p w14:paraId="2066A15B"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1C48DD5A"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32608F80"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3D6DF81E"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3ED46FD7" w14:textId="77777777" w:rsidR="009B7E9B" w:rsidRPr="00AD55AA" w:rsidRDefault="009B7E9B" w:rsidP="009B7E9B">
            <w:pPr>
              <w:widowControl w:val="0"/>
              <w:autoSpaceDE w:val="0"/>
              <w:autoSpaceDN w:val="0"/>
              <w:adjustRightInd w:val="0"/>
              <w:jc w:val="center"/>
              <w:rPr>
                <w:sz w:val="22"/>
                <w:szCs w:val="22"/>
              </w:rPr>
            </w:pPr>
          </w:p>
        </w:tc>
      </w:tr>
      <w:tr w:rsidR="009B7E9B" w:rsidRPr="00AD55AA" w14:paraId="0353496C" w14:textId="77777777" w:rsidTr="009B7E9B">
        <w:trPr>
          <w:jc w:val="center"/>
        </w:trPr>
        <w:tc>
          <w:tcPr>
            <w:tcW w:w="1324" w:type="pct"/>
            <w:tcBorders>
              <w:top w:val="nil"/>
              <w:left w:val="nil"/>
              <w:right w:val="nil"/>
            </w:tcBorders>
          </w:tcPr>
          <w:p w14:paraId="3D91C700" w14:textId="77A8B285" w:rsidR="009B7E9B" w:rsidRPr="00AD55AA" w:rsidRDefault="009B7E9B" w:rsidP="009B7E9B">
            <w:pPr>
              <w:widowControl w:val="0"/>
              <w:autoSpaceDE w:val="0"/>
              <w:autoSpaceDN w:val="0"/>
              <w:adjustRightInd w:val="0"/>
              <w:rPr>
                <w:sz w:val="22"/>
                <w:szCs w:val="22"/>
              </w:rPr>
            </w:pPr>
            <w:r w:rsidRPr="00AD55AA">
              <w:rPr>
                <w:sz w:val="22"/>
                <w:szCs w:val="22"/>
              </w:rPr>
              <w:t>[0,+126]</w:t>
            </w:r>
          </w:p>
        </w:tc>
        <w:tc>
          <w:tcPr>
            <w:tcW w:w="299" w:type="pct"/>
            <w:tcBorders>
              <w:top w:val="nil"/>
              <w:left w:val="nil"/>
              <w:right w:val="nil"/>
            </w:tcBorders>
          </w:tcPr>
          <w:p w14:paraId="1C8C3075"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492BA9BB" w14:textId="1D0C180E"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2B1B51BD" w14:textId="3B6393C3" w:rsidR="009B7E9B" w:rsidRPr="00AD55AA" w:rsidRDefault="009B7E9B" w:rsidP="00F57ACE">
            <w:pPr>
              <w:widowControl w:val="0"/>
              <w:autoSpaceDE w:val="0"/>
              <w:autoSpaceDN w:val="0"/>
              <w:adjustRightInd w:val="0"/>
              <w:jc w:val="center"/>
              <w:rPr>
                <w:sz w:val="22"/>
                <w:szCs w:val="22"/>
              </w:rPr>
            </w:pPr>
            <w:r w:rsidRPr="00AD55AA">
              <w:rPr>
                <w:sz w:val="22"/>
                <w:szCs w:val="22"/>
              </w:rPr>
              <w:t>-.</w:t>
            </w:r>
            <w:r w:rsidR="00F57ACE">
              <w:rPr>
                <w:sz w:val="22"/>
                <w:szCs w:val="22"/>
              </w:rPr>
              <w:t>1013</w:t>
            </w:r>
            <w:r w:rsidRPr="00AD55AA">
              <w:rPr>
                <w:sz w:val="22"/>
                <w:szCs w:val="22"/>
              </w:rPr>
              <w:t>***</w:t>
            </w:r>
          </w:p>
        </w:tc>
        <w:tc>
          <w:tcPr>
            <w:tcW w:w="1539" w:type="pct"/>
            <w:tcBorders>
              <w:top w:val="nil"/>
              <w:left w:val="nil"/>
              <w:right w:val="nil"/>
            </w:tcBorders>
          </w:tcPr>
          <w:p w14:paraId="521B7B3A" w14:textId="27930A5E" w:rsidR="009B7E9B" w:rsidRPr="00AD55AA" w:rsidRDefault="009B7E9B" w:rsidP="00243975">
            <w:pPr>
              <w:widowControl w:val="0"/>
              <w:autoSpaceDE w:val="0"/>
              <w:autoSpaceDN w:val="0"/>
              <w:adjustRightInd w:val="0"/>
              <w:jc w:val="center"/>
              <w:rPr>
                <w:sz w:val="22"/>
                <w:szCs w:val="22"/>
              </w:rPr>
            </w:pPr>
            <w:r w:rsidRPr="00AD55AA">
              <w:rPr>
                <w:sz w:val="22"/>
                <w:szCs w:val="22"/>
              </w:rPr>
              <w:t>-.</w:t>
            </w:r>
            <w:r w:rsidRPr="00346D4F">
              <w:rPr>
                <w:sz w:val="22"/>
                <w:szCs w:val="22"/>
              </w:rPr>
              <w:t>0</w:t>
            </w:r>
            <w:r w:rsidR="00243975">
              <w:rPr>
                <w:sz w:val="22"/>
                <w:szCs w:val="22"/>
              </w:rPr>
              <w:t>817</w:t>
            </w:r>
            <w:r w:rsidRPr="00AD55AA">
              <w:rPr>
                <w:sz w:val="22"/>
                <w:szCs w:val="22"/>
              </w:rPr>
              <w:t>***</w:t>
            </w:r>
          </w:p>
        </w:tc>
      </w:tr>
      <w:tr w:rsidR="009B7E9B" w:rsidRPr="00AD55AA" w14:paraId="5A598E38" w14:textId="77777777" w:rsidTr="009B7E9B">
        <w:trPr>
          <w:jc w:val="center"/>
        </w:trPr>
        <w:tc>
          <w:tcPr>
            <w:tcW w:w="1324" w:type="pct"/>
            <w:tcBorders>
              <w:top w:val="nil"/>
              <w:left w:val="nil"/>
              <w:right w:val="nil"/>
            </w:tcBorders>
          </w:tcPr>
          <w:p w14:paraId="2D34768C"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50B4A92F"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3DCB5621" w14:textId="740395B8"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3CB3F29A" w14:textId="52918EF9" w:rsidR="009B7E9B" w:rsidRPr="00AD55AA" w:rsidRDefault="009B7E9B" w:rsidP="009B7E9B">
            <w:pPr>
              <w:widowControl w:val="0"/>
              <w:autoSpaceDE w:val="0"/>
              <w:autoSpaceDN w:val="0"/>
              <w:adjustRightInd w:val="0"/>
              <w:jc w:val="center"/>
              <w:rPr>
                <w:sz w:val="22"/>
                <w:szCs w:val="22"/>
              </w:rPr>
            </w:pPr>
            <w:r w:rsidRPr="00AD55AA">
              <w:rPr>
                <w:sz w:val="22"/>
                <w:szCs w:val="22"/>
              </w:rPr>
              <w:t>(0.000)</w:t>
            </w:r>
          </w:p>
        </w:tc>
        <w:tc>
          <w:tcPr>
            <w:tcW w:w="1539" w:type="pct"/>
            <w:tcBorders>
              <w:top w:val="nil"/>
              <w:left w:val="nil"/>
              <w:right w:val="nil"/>
            </w:tcBorders>
          </w:tcPr>
          <w:p w14:paraId="5E6EC3C7" w14:textId="1C3D8606" w:rsidR="009B7E9B" w:rsidRPr="00AD55AA" w:rsidRDefault="009B7E9B" w:rsidP="009B7E9B">
            <w:pPr>
              <w:widowControl w:val="0"/>
              <w:autoSpaceDE w:val="0"/>
              <w:autoSpaceDN w:val="0"/>
              <w:adjustRightInd w:val="0"/>
              <w:jc w:val="center"/>
              <w:rPr>
                <w:sz w:val="22"/>
                <w:szCs w:val="22"/>
              </w:rPr>
            </w:pPr>
            <w:r w:rsidRPr="00AD55AA">
              <w:rPr>
                <w:sz w:val="22"/>
                <w:szCs w:val="22"/>
              </w:rPr>
              <w:t>(0.000)</w:t>
            </w:r>
          </w:p>
        </w:tc>
      </w:tr>
      <w:tr w:rsidR="009B7E9B" w:rsidRPr="00AD55AA" w14:paraId="19C58D6E" w14:textId="77777777" w:rsidTr="009B7E9B">
        <w:trPr>
          <w:jc w:val="center"/>
        </w:trPr>
        <w:tc>
          <w:tcPr>
            <w:tcW w:w="1324" w:type="pct"/>
            <w:tcBorders>
              <w:top w:val="nil"/>
              <w:left w:val="nil"/>
              <w:right w:val="nil"/>
            </w:tcBorders>
          </w:tcPr>
          <w:p w14:paraId="38B1EDE2"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1CFFD464"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1D83B947"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61678E11"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5CC201A2" w14:textId="77777777" w:rsidR="009B7E9B" w:rsidRPr="00AD55AA" w:rsidRDefault="009B7E9B" w:rsidP="009B7E9B">
            <w:pPr>
              <w:widowControl w:val="0"/>
              <w:autoSpaceDE w:val="0"/>
              <w:autoSpaceDN w:val="0"/>
              <w:adjustRightInd w:val="0"/>
              <w:jc w:val="center"/>
              <w:rPr>
                <w:sz w:val="22"/>
                <w:szCs w:val="22"/>
              </w:rPr>
            </w:pPr>
          </w:p>
        </w:tc>
      </w:tr>
      <w:tr w:rsidR="009B7E9B" w:rsidRPr="00AD55AA" w14:paraId="518F55A4" w14:textId="77777777" w:rsidTr="009B7E9B">
        <w:trPr>
          <w:jc w:val="center"/>
        </w:trPr>
        <w:tc>
          <w:tcPr>
            <w:tcW w:w="1324" w:type="pct"/>
            <w:tcBorders>
              <w:top w:val="nil"/>
              <w:left w:val="nil"/>
              <w:right w:val="nil"/>
            </w:tcBorders>
          </w:tcPr>
          <w:p w14:paraId="1262CDA3" w14:textId="279948DC" w:rsidR="009B7E9B" w:rsidRPr="00AD55AA" w:rsidRDefault="009B7E9B" w:rsidP="009B7E9B">
            <w:pPr>
              <w:widowControl w:val="0"/>
              <w:autoSpaceDE w:val="0"/>
              <w:autoSpaceDN w:val="0"/>
              <w:adjustRightInd w:val="0"/>
              <w:rPr>
                <w:sz w:val="22"/>
                <w:szCs w:val="22"/>
              </w:rPr>
            </w:pPr>
            <w:r w:rsidRPr="00AD55AA">
              <w:rPr>
                <w:sz w:val="22"/>
                <w:szCs w:val="22"/>
              </w:rPr>
              <w:t>[0,+252]</w:t>
            </w:r>
          </w:p>
        </w:tc>
        <w:tc>
          <w:tcPr>
            <w:tcW w:w="299" w:type="pct"/>
            <w:tcBorders>
              <w:top w:val="nil"/>
              <w:left w:val="nil"/>
              <w:right w:val="nil"/>
            </w:tcBorders>
          </w:tcPr>
          <w:p w14:paraId="7377AA3F"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50CB3064" w14:textId="48939C5E"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1E0C4FC3" w14:textId="18A8FE5B" w:rsidR="009B7E9B" w:rsidRPr="00AD55AA" w:rsidRDefault="009B7E9B" w:rsidP="00F57ACE">
            <w:pPr>
              <w:widowControl w:val="0"/>
              <w:autoSpaceDE w:val="0"/>
              <w:autoSpaceDN w:val="0"/>
              <w:adjustRightInd w:val="0"/>
              <w:jc w:val="center"/>
              <w:rPr>
                <w:sz w:val="22"/>
                <w:szCs w:val="22"/>
              </w:rPr>
            </w:pPr>
            <w:r w:rsidRPr="00AD55AA">
              <w:rPr>
                <w:sz w:val="22"/>
                <w:szCs w:val="22"/>
              </w:rPr>
              <w:t>-.0</w:t>
            </w:r>
            <w:r w:rsidR="00F57ACE">
              <w:rPr>
                <w:sz w:val="22"/>
                <w:szCs w:val="22"/>
              </w:rPr>
              <w:t>849</w:t>
            </w:r>
            <w:r w:rsidRPr="00AD55AA">
              <w:rPr>
                <w:sz w:val="22"/>
                <w:szCs w:val="22"/>
              </w:rPr>
              <w:t>***</w:t>
            </w:r>
          </w:p>
        </w:tc>
        <w:tc>
          <w:tcPr>
            <w:tcW w:w="1539" w:type="pct"/>
            <w:tcBorders>
              <w:top w:val="nil"/>
              <w:left w:val="nil"/>
              <w:right w:val="nil"/>
            </w:tcBorders>
          </w:tcPr>
          <w:p w14:paraId="595CA0BD" w14:textId="52645E6D" w:rsidR="009B7E9B" w:rsidRPr="00AD55AA" w:rsidRDefault="009B7E9B" w:rsidP="00243975">
            <w:pPr>
              <w:widowControl w:val="0"/>
              <w:autoSpaceDE w:val="0"/>
              <w:autoSpaceDN w:val="0"/>
              <w:adjustRightInd w:val="0"/>
              <w:jc w:val="center"/>
              <w:rPr>
                <w:sz w:val="22"/>
                <w:szCs w:val="22"/>
              </w:rPr>
            </w:pPr>
            <w:r w:rsidRPr="00AD55AA">
              <w:rPr>
                <w:sz w:val="22"/>
                <w:szCs w:val="22"/>
              </w:rPr>
              <w:t>-.</w:t>
            </w:r>
            <w:r w:rsidRPr="00346D4F">
              <w:rPr>
                <w:sz w:val="22"/>
                <w:szCs w:val="22"/>
              </w:rPr>
              <w:t>05</w:t>
            </w:r>
            <w:r w:rsidR="00243975">
              <w:rPr>
                <w:sz w:val="22"/>
                <w:szCs w:val="22"/>
              </w:rPr>
              <w:t>90</w:t>
            </w:r>
            <w:r>
              <w:rPr>
                <w:sz w:val="22"/>
                <w:szCs w:val="22"/>
              </w:rPr>
              <w:t>*</w:t>
            </w:r>
          </w:p>
        </w:tc>
      </w:tr>
      <w:tr w:rsidR="009B7E9B" w:rsidRPr="00AD55AA" w14:paraId="3297FEA3" w14:textId="77777777" w:rsidTr="009B7E9B">
        <w:trPr>
          <w:jc w:val="center"/>
        </w:trPr>
        <w:tc>
          <w:tcPr>
            <w:tcW w:w="1324" w:type="pct"/>
            <w:tcBorders>
              <w:top w:val="nil"/>
              <w:left w:val="nil"/>
              <w:right w:val="nil"/>
            </w:tcBorders>
          </w:tcPr>
          <w:p w14:paraId="35CE1B7D" w14:textId="77777777" w:rsidR="009B7E9B" w:rsidRPr="00AD55AA" w:rsidRDefault="009B7E9B" w:rsidP="009B7E9B">
            <w:pPr>
              <w:widowControl w:val="0"/>
              <w:autoSpaceDE w:val="0"/>
              <w:autoSpaceDN w:val="0"/>
              <w:adjustRightInd w:val="0"/>
              <w:rPr>
                <w:sz w:val="22"/>
                <w:szCs w:val="22"/>
              </w:rPr>
            </w:pPr>
          </w:p>
        </w:tc>
        <w:tc>
          <w:tcPr>
            <w:tcW w:w="299" w:type="pct"/>
            <w:tcBorders>
              <w:top w:val="nil"/>
              <w:left w:val="nil"/>
              <w:right w:val="nil"/>
            </w:tcBorders>
          </w:tcPr>
          <w:p w14:paraId="3F0156FD"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nil"/>
              <w:left w:val="nil"/>
              <w:right w:val="nil"/>
            </w:tcBorders>
          </w:tcPr>
          <w:p w14:paraId="3172F3D0" w14:textId="61E2AAF9" w:rsidR="009B7E9B" w:rsidRPr="00AD55AA" w:rsidRDefault="009B7E9B" w:rsidP="009B7E9B">
            <w:pPr>
              <w:widowControl w:val="0"/>
              <w:autoSpaceDE w:val="0"/>
              <w:autoSpaceDN w:val="0"/>
              <w:adjustRightInd w:val="0"/>
              <w:jc w:val="center"/>
              <w:rPr>
                <w:sz w:val="22"/>
                <w:szCs w:val="22"/>
              </w:rPr>
            </w:pPr>
          </w:p>
        </w:tc>
        <w:tc>
          <w:tcPr>
            <w:tcW w:w="1539" w:type="pct"/>
            <w:tcBorders>
              <w:top w:val="nil"/>
              <w:left w:val="nil"/>
              <w:right w:val="nil"/>
            </w:tcBorders>
          </w:tcPr>
          <w:p w14:paraId="22004C7B" w14:textId="1F1DF459" w:rsidR="009B7E9B" w:rsidRPr="00AD55AA" w:rsidRDefault="00F57ACE" w:rsidP="009B7E9B">
            <w:pPr>
              <w:widowControl w:val="0"/>
              <w:autoSpaceDE w:val="0"/>
              <w:autoSpaceDN w:val="0"/>
              <w:adjustRightInd w:val="0"/>
              <w:jc w:val="center"/>
              <w:rPr>
                <w:sz w:val="22"/>
                <w:szCs w:val="22"/>
              </w:rPr>
            </w:pPr>
            <w:r>
              <w:rPr>
                <w:sz w:val="22"/>
                <w:szCs w:val="22"/>
              </w:rPr>
              <w:t>(0.006</w:t>
            </w:r>
            <w:r w:rsidR="009B7E9B" w:rsidRPr="00AD55AA">
              <w:rPr>
                <w:sz w:val="22"/>
                <w:szCs w:val="22"/>
              </w:rPr>
              <w:t>)</w:t>
            </w:r>
          </w:p>
        </w:tc>
        <w:tc>
          <w:tcPr>
            <w:tcW w:w="1539" w:type="pct"/>
            <w:tcBorders>
              <w:top w:val="nil"/>
              <w:left w:val="nil"/>
              <w:right w:val="nil"/>
            </w:tcBorders>
          </w:tcPr>
          <w:p w14:paraId="0082BCF7" w14:textId="1179A912" w:rsidR="009B7E9B" w:rsidRPr="00AD55AA" w:rsidRDefault="009B7E9B" w:rsidP="009B7E9B">
            <w:pPr>
              <w:widowControl w:val="0"/>
              <w:autoSpaceDE w:val="0"/>
              <w:autoSpaceDN w:val="0"/>
              <w:adjustRightInd w:val="0"/>
              <w:jc w:val="center"/>
              <w:rPr>
                <w:sz w:val="22"/>
                <w:szCs w:val="22"/>
              </w:rPr>
            </w:pPr>
            <w:r w:rsidRPr="00AD55AA">
              <w:rPr>
                <w:sz w:val="22"/>
                <w:szCs w:val="22"/>
              </w:rPr>
              <w:t>(0.</w:t>
            </w:r>
            <w:r w:rsidR="00243975">
              <w:rPr>
                <w:sz w:val="22"/>
                <w:szCs w:val="22"/>
              </w:rPr>
              <w:t>067</w:t>
            </w:r>
            <w:r w:rsidRPr="00AD55AA">
              <w:rPr>
                <w:sz w:val="22"/>
                <w:szCs w:val="22"/>
              </w:rPr>
              <w:t>)</w:t>
            </w:r>
          </w:p>
        </w:tc>
      </w:tr>
      <w:tr w:rsidR="009B7E9B" w:rsidRPr="00AD55AA" w14:paraId="1E5F81DE" w14:textId="77777777" w:rsidTr="009B7E9B">
        <w:trPr>
          <w:jc w:val="center"/>
        </w:trPr>
        <w:tc>
          <w:tcPr>
            <w:tcW w:w="1324" w:type="pct"/>
            <w:tcBorders>
              <w:top w:val="single" w:sz="4" w:space="0" w:color="auto"/>
              <w:left w:val="nil"/>
              <w:right w:val="nil"/>
            </w:tcBorders>
          </w:tcPr>
          <w:p w14:paraId="40302B14" w14:textId="77777777" w:rsidR="009B7E9B" w:rsidRPr="00AD55AA" w:rsidRDefault="009B7E9B" w:rsidP="009B7E9B">
            <w:pPr>
              <w:widowControl w:val="0"/>
              <w:autoSpaceDE w:val="0"/>
              <w:autoSpaceDN w:val="0"/>
              <w:adjustRightInd w:val="0"/>
              <w:rPr>
                <w:sz w:val="22"/>
                <w:szCs w:val="22"/>
              </w:rPr>
            </w:pPr>
          </w:p>
        </w:tc>
        <w:tc>
          <w:tcPr>
            <w:tcW w:w="299" w:type="pct"/>
            <w:tcBorders>
              <w:top w:val="single" w:sz="4" w:space="0" w:color="auto"/>
              <w:left w:val="nil"/>
              <w:right w:val="nil"/>
            </w:tcBorders>
          </w:tcPr>
          <w:p w14:paraId="12F16334" w14:textId="77777777" w:rsidR="009B7E9B" w:rsidRPr="00AD55AA" w:rsidRDefault="009B7E9B" w:rsidP="009B7E9B">
            <w:pPr>
              <w:widowControl w:val="0"/>
              <w:autoSpaceDE w:val="0"/>
              <w:autoSpaceDN w:val="0"/>
              <w:adjustRightInd w:val="0"/>
              <w:jc w:val="center"/>
              <w:rPr>
                <w:sz w:val="22"/>
                <w:szCs w:val="22"/>
              </w:rPr>
            </w:pPr>
          </w:p>
        </w:tc>
        <w:tc>
          <w:tcPr>
            <w:tcW w:w="299" w:type="pct"/>
            <w:tcBorders>
              <w:top w:val="single" w:sz="4" w:space="0" w:color="auto"/>
              <w:left w:val="nil"/>
              <w:right w:val="nil"/>
            </w:tcBorders>
          </w:tcPr>
          <w:p w14:paraId="51777990"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single" w:sz="4" w:space="0" w:color="auto"/>
              <w:left w:val="nil"/>
              <w:right w:val="nil"/>
            </w:tcBorders>
          </w:tcPr>
          <w:p w14:paraId="6F7F6193" w14:textId="77777777" w:rsidR="009B7E9B" w:rsidRPr="00AD55AA" w:rsidRDefault="009B7E9B" w:rsidP="009B7E9B">
            <w:pPr>
              <w:widowControl w:val="0"/>
              <w:autoSpaceDE w:val="0"/>
              <w:autoSpaceDN w:val="0"/>
              <w:adjustRightInd w:val="0"/>
              <w:jc w:val="center"/>
              <w:rPr>
                <w:sz w:val="22"/>
                <w:szCs w:val="22"/>
              </w:rPr>
            </w:pPr>
          </w:p>
        </w:tc>
        <w:tc>
          <w:tcPr>
            <w:tcW w:w="1539" w:type="pct"/>
            <w:tcBorders>
              <w:top w:val="single" w:sz="4" w:space="0" w:color="auto"/>
              <w:left w:val="nil"/>
              <w:right w:val="nil"/>
            </w:tcBorders>
          </w:tcPr>
          <w:p w14:paraId="04CF438F" w14:textId="77777777" w:rsidR="009B7E9B" w:rsidRPr="00AD55AA" w:rsidRDefault="009B7E9B" w:rsidP="009B7E9B">
            <w:pPr>
              <w:widowControl w:val="0"/>
              <w:autoSpaceDE w:val="0"/>
              <w:autoSpaceDN w:val="0"/>
              <w:adjustRightInd w:val="0"/>
              <w:jc w:val="center"/>
              <w:rPr>
                <w:sz w:val="22"/>
                <w:szCs w:val="22"/>
              </w:rPr>
            </w:pPr>
          </w:p>
        </w:tc>
      </w:tr>
      <w:tr w:rsidR="009B7E9B" w:rsidRPr="00AD55AA" w14:paraId="646386F4" w14:textId="77777777" w:rsidTr="009B7E9B">
        <w:trPr>
          <w:jc w:val="center"/>
        </w:trPr>
        <w:tc>
          <w:tcPr>
            <w:tcW w:w="5000" w:type="pct"/>
            <w:gridSpan w:val="5"/>
            <w:tcBorders>
              <w:left w:val="nil"/>
              <w:bottom w:val="nil"/>
              <w:right w:val="nil"/>
            </w:tcBorders>
            <w:vAlign w:val="center"/>
          </w:tcPr>
          <w:p w14:paraId="14DC5989" w14:textId="5B9E857E" w:rsidR="009B7E9B" w:rsidRPr="00AD55AA" w:rsidRDefault="009B7E9B" w:rsidP="00BE6FAB">
            <w:pPr>
              <w:widowControl w:val="0"/>
              <w:autoSpaceDE w:val="0"/>
              <w:autoSpaceDN w:val="0"/>
              <w:adjustRightInd w:val="0"/>
              <w:jc w:val="both"/>
              <w:rPr>
                <w:sz w:val="22"/>
                <w:szCs w:val="22"/>
              </w:rPr>
            </w:pPr>
            <w:r>
              <w:rPr>
                <w:bCs/>
                <w:sz w:val="22"/>
                <w:szCs w:val="22"/>
              </w:rPr>
              <w:t>The table</w:t>
            </w:r>
            <w:r w:rsidRPr="00AD55AA">
              <w:rPr>
                <w:bCs/>
                <w:sz w:val="22"/>
                <w:szCs w:val="22"/>
              </w:rPr>
              <w:t xml:space="preserve"> </w:t>
            </w:r>
            <w:r>
              <w:rPr>
                <w:bCs/>
                <w:sz w:val="22"/>
                <w:szCs w:val="22"/>
              </w:rPr>
              <w:t>presents</w:t>
            </w:r>
            <w:r w:rsidRPr="00AD55AA">
              <w:rPr>
                <w:bCs/>
                <w:sz w:val="22"/>
                <w:szCs w:val="22"/>
              </w:rPr>
              <w:t xml:space="preserve"> the i</w:t>
            </w:r>
            <w:r w:rsidRPr="00AD55AA">
              <w:rPr>
                <w:sz w:val="22"/>
                <w:szCs w:val="22"/>
              </w:rPr>
              <w:t xml:space="preserve">ndustry market reaction </w:t>
            </w:r>
            <w:r w:rsidR="003D62B2">
              <w:rPr>
                <w:sz w:val="22"/>
                <w:szCs w:val="22"/>
              </w:rPr>
              <w:t>to</w:t>
            </w:r>
            <w:r w:rsidRPr="00AD55AA">
              <w:rPr>
                <w:sz w:val="22"/>
                <w:szCs w:val="22"/>
              </w:rPr>
              <w:t xml:space="preserve"> CFIUS interventions. Cumulative abnormal returns are estimated using the Fama-French three factor</w:t>
            </w:r>
            <w:r w:rsidR="00A665A3">
              <w:rPr>
                <w:sz w:val="22"/>
                <w:szCs w:val="22"/>
              </w:rPr>
              <w:t xml:space="preserve"> (c</w:t>
            </w:r>
            <w:r>
              <w:rPr>
                <w:sz w:val="22"/>
                <w:szCs w:val="22"/>
              </w:rPr>
              <w:t xml:space="preserve">olumn 1) and the </w:t>
            </w:r>
            <w:r w:rsidRPr="00FA16F6">
              <w:rPr>
                <w:sz w:val="22"/>
                <w:szCs w:val="22"/>
              </w:rPr>
              <w:t>Fama-French plus momentum model</w:t>
            </w:r>
            <w:r w:rsidR="003D62B2">
              <w:rPr>
                <w:sz w:val="22"/>
                <w:szCs w:val="22"/>
              </w:rPr>
              <w:t>s</w:t>
            </w:r>
            <w:r w:rsidRPr="00AD55AA">
              <w:rPr>
                <w:sz w:val="22"/>
                <w:szCs w:val="22"/>
              </w:rPr>
              <w:t xml:space="preserve"> </w:t>
            </w:r>
            <w:r w:rsidR="00A665A3">
              <w:rPr>
                <w:sz w:val="22"/>
                <w:szCs w:val="22"/>
              </w:rPr>
              <w:t>(c</w:t>
            </w:r>
            <w:r>
              <w:rPr>
                <w:sz w:val="22"/>
                <w:szCs w:val="22"/>
              </w:rPr>
              <w:t>olumn 2)</w:t>
            </w:r>
            <w:r w:rsidRPr="00AD55AA">
              <w:rPr>
                <w:sz w:val="22"/>
                <w:szCs w:val="22"/>
              </w:rPr>
              <w:t>. Cumulative abnormal returns are collected from WRDS Event Study. P-values are reported in brackets. ***, **, and * indicate statistical significance at the 1%, 5%, and 10% levels respectively.</w:t>
            </w:r>
          </w:p>
        </w:tc>
      </w:tr>
    </w:tbl>
    <w:p w14:paraId="17F1EC63" w14:textId="72D1C968" w:rsidR="008515D6" w:rsidRPr="00AD55AA" w:rsidRDefault="0059691C" w:rsidP="0059691C">
      <w:pPr>
        <w:spacing w:after="160" w:line="259" w:lineRule="auto"/>
        <w:rPr>
          <w:sz w:val="22"/>
          <w:szCs w:val="22"/>
        </w:rPr>
      </w:pPr>
      <w:r w:rsidRPr="00AD55AA">
        <w:rPr>
          <w:sz w:val="22"/>
          <w:szCs w:val="22"/>
        </w:rPr>
        <w:br w:type="page"/>
      </w:r>
    </w:p>
    <w:p w14:paraId="3B4798B4" w14:textId="77777777" w:rsidR="008515D6" w:rsidRPr="00AD55AA" w:rsidRDefault="008515D6" w:rsidP="00245A4A">
      <w:pPr>
        <w:rPr>
          <w:sz w:val="22"/>
          <w:szCs w:val="22"/>
        </w:rPr>
      </w:pPr>
    </w:p>
    <w:tbl>
      <w:tblPr>
        <w:tblpPr w:leftFromText="180" w:rightFromText="180" w:vertAnchor="text" w:horzAnchor="margin" w:tblpXSpec="center" w:tblpY="41"/>
        <w:tblW w:w="5000" w:type="pct"/>
        <w:tblLook w:val="0000" w:firstRow="0" w:lastRow="0" w:firstColumn="0" w:lastColumn="0" w:noHBand="0" w:noVBand="0"/>
      </w:tblPr>
      <w:tblGrid>
        <w:gridCol w:w="2864"/>
        <w:gridCol w:w="826"/>
        <w:gridCol w:w="1122"/>
        <w:gridCol w:w="1046"/>
        <w:gridCol w:w="1122"/>
        <w:gridCol w:w="1046"/>
        <w:gridCol w:w="1041"/>
      </w:tblGrid>
      <w:tr w:rsidR="00245A4A" w:rsidRPr="00AD55AA" w14:paraId="3EDCC640" w14:textId="77777777" w:rsidTr="00F040B2">
        <w:tc>
          <w:tcPr>
            <w:tcW w:w="1579" w:type="pct"/>
            <w:tcBorders>
              <w:left w:val="nil"/>
              <w:bottom w:val="nil"/>
              <w:right w:val="nil"/>
            </w:tcBorders>
          </w:tcPr>
          <w:p w14:paraId="0B5A3E4D" w14:textId="5B8FEFFA" w:rsidR="00245A4A" w:rsidRPr="00AD55AA" w:rsidRDefault="00245A4A" w:rsidP="00377D86">
            <w:pPr>
              <w:widowControl w:val="0"/>
              <w:autoSpaceDE w:val="0"/>
              <w:autoSpaceDN w:val="0"/>
              <w:adjustRightInd w:val="0"/>
              <w:rPr>
                <w:b/>
                <w:sz w:val="22"/>
                <w:szCs w:val="22"/>
              </w:rPr>
            </w:pPr>
            <w:r w:rsidRPr="00AD55AA">
              <w:rPr>
                <w:b/>
                <w:sz w:val="22"/>
                <w:szCs w:val="22"/>
              </w:rPr>
              <w:t xml:space="preserve">Table </w:t>
            </w:r>
            <w:r w:rsidR="00377D86">
              <w:rPr>
                <w:b/>
                <w:bCs/>
                <w:sz w:val="22"/>
                <w:szCs w:val="22"/>
              </w:rPr>
              <w:t>3</w:t>
            </w:r>
            <w:r w:rsidR="006F270E" w:rsidRPr="00AD55AA">
              <w:rPr>
                <w:b/>
                <w:sz w:val="22"/>
                <w:szCs w:val="22"/>
              </w:rPr>
              <w:t xml:space="preserve"> </w:t>
            </w:r>
            <w:r w:rsidR="006758F5" w:rsidRPr="00AD55AA">
              <w:rPr>
                <w:b/>
                <w:sz w:val="22"/>
                <w:szCs w:val="22"/>
              </w:rPr>
              <w:t>– Panel A</w:t>
            </w:r>
          </w:p>
        </w:tc>
        <w:tc>
          <w:tcPr>
            <w:tcW w:w="455" w:type="pct"/>
            <w:tcBorders>
              <w:left w:val="nil"/>
              <w:bottom w:val="nil"/>
              <w:right w:val="nil"/>
            </w:tcBorders>
          </w:tcPr>
          <w:p w14:paraId="2014D8C5" w14:textId="77777777" w:rsidR="00245A4A" w:rsidRPr="00AD55AA" w:rsidRDefault="00245A4A" w:rsidP="00A07563">
            <w:pPr>
              <w:widowControl w:val="0"/>
              <w:autoSpaceDE w:val="0"/>
              <w:autoSpaceDN w:val="0"/>
              <w:adjustRightInd w:val="0"/>
              <w:jc w:val="center"/>
              <w:rPr>
                <w:sz w:val="22"/>
                <w:szCs w:val="22"/>
              </w:rPr>
            </w:pPr>
          </w:p>
        </w:tc>
        <w:tc>
          <w:tcPr>
            <w:tcW w:w="619" w:type="pct"/>
            <w:tcBorders>
              <w:left w:val="nil"/>
              <w:bottom w:val="nil"/>
              <w:right w:val="nil"/>
            </w:tcBorders>
          </w:tcPr>
          <w:p w14:paraId="5ACCAFA8" w14:textId="77777777" w:rsidR="00245A4A" w:rsidRPr="00AD55AA" w:rsidRDefault="00245A4A" w:rsidP="00A07563">
            <w:pPr>
              <w:widowControl w:val="0"/>
              <w:autoSpaceDE w:val="0"/>
              <w:autoSpaceDN w:val="0"/>
              <w:adjustRightInd w:val="0"/>
              <w:jc w:val="center"/>
              <w:rPr>
                <w:sz w:val="22"/>
                <w:szCs w:val="22"/>
              </w:rPr>
            </w:pPr>
          </w:p>
        </w:tc>
        <w:tc>
          <w:tcPr>
            <w:tcW w:w="577" w:type="pct"/>
            <w:tcBorders>
              <w:left w:val="nil"/>
              <w:bottom w:val="nil"/>
              <w:right w:val="nil"/>
            </w:tcBorders>
          </w:tcPr>
          <w:p w14:paraId="797B970F" w14:textId="77777777" w:rsidR="00245A4A" w:rsidRPr="00AD55AA" w:rsidRDefault="00245A4A" w:rsidP="00A07563">
            <w:pPr>
              <w:widowControl w:val="0"/>
              <w:autoSpaceDE w:val="0"/>
              <w:autoSpaceDN w:val="0"/>
              <w:adjustRightInd w:val="0"/>
              <w:jc w:val="center"/>
              <w:rPr>
                <w:sz w:val="22"/>
                <w:szCs w:val="22"/>
              </w:rPr>
            </w:pPr>
          </w:p>
        </w:tc>
        <w:tc>
          <w:tcPr>
            <w:tcW w:w="619" w:type="pct"/>
            <w:tcBorders>
              <w:left w:val="nil"/>
              <w:bottom w:val="nil"/>
              <w:right w:val="nil"/>
            </w:tcBorders>
          </w:tcPr>
          <w:p w14:paraId="155F0680" w14:textId="77777777" w:rsidR="00245A4A" w:rsidRPr="00AD55AA" w:rsidRDefault="00245A4A" w:rsidP="00A07563">
            <w:pPr>
              <w:widowControl w:val="0"/>
              <w:autoSpaceDE w:val="0"/>
              <w:autoSpaceDN w:val="0"/>
              <w:adjustRightInd w:val="0"/>
              <w:jc w:val="center"/>
              <w:rPr>
                <w:sz w:val="22"/>
                <w:szCs w:val="22"/>
              </w:rPr>
            </w:pPr>
          </w:p>
        </w:tc>
        <w:tc>
          <w:tcPr>
            <w:tcW w:w="577" w:type="pct"/>
            <w:tcBorders>
              <w:left w:val="nil"/>
              <w:bottom w:val="nil"/>
              <w:right w:val="nil"/>
            </w:tcBorders>
          </w:tcPr>
          <w:p w14:paraId="79890D46" w14:textId="77777777" w:rsidR="00245A4A" w:rsidRPr="00AD55AA" w:rsidRDefault="00245A4A" w:rsidP="00A07563">
            <w:pPr>
              <w:widowControl w:val="0"/>
              <w:autoSpaceDE w:val="0"/>
              <w:autoSpaceDN w:val="0"/>
              <w:adjustRightInd w:val="0"/>
              <w:jc w:val="center"/>
              <w:rPr>
                <w:sz w:val="22"/>
                <w:szCs w:val="22"/>
              </w:rPr>
            </w:pPr>
          </w:p>
        </w:tc>
        <w:tc>
          <w:tcPr>
            <w:tcW w:w="574" w:type="pct"/>
            <w:tcBorders>
              <w:left w:val="nil"/>
              <w:bottom w:val="nil"/>
              <w:right w:val="nil"/>
            </w:tcBorders>
          </w:tcPr>
          <w:p w14:paraId="19CF4027" w14:textId="77777777" w:rsidR="00245A4A" w:rsidRPr="00AD55AA" w:rsidRDefault="00245A4A" w:rsidP="00A07563">
            <w:pPr>
              <w:widowControl w:val="0"/>
              <w:autoSpaceDE w:val="0"/>
              <w:autoSpaceDN w:val="0"/>
              <w:adjustRightInd w:val="0"/>
              <w:jc w:val="center"/>
              <w:rPr>
                <w:sz w:val="22"/>
                <w:szCs w:val="22"/>
              </w:rPr>
            </w:pPr>
          </w:p>
        </w:tc>
      </w:tr>
      <w:tr w:rsidR="00245A4A" w:rsidRPr="00AD55AA" w14:paraId="2FF66DC0" w14:textId="77777777" w:rsidTr="00F040B2">
        <w:tc>
          <w:tcPr>
            <w:tcW w:w="1579" w:type="pct"/>
            <w:tcBorders>
              <w:left w:val="nil"/>
              <w:bottom w:val="nil"/>
              <w:right w:val="nil"/>
            </w:tcBorders>
          </w:tcPr>
          <w:p w14:paraId="36AE53ED" w14:textId="6D1A9381" w:rsidR="00245A4A" w:rsidRPr="00AD55AA" w:rsidRDefault="00245A4A" w:rsidP="00A07563">
            <w:pPr>
              <w:widowControl w:val="0"/>
              <w:autoSpaceDE w:val="0"/>
              <w:autoSpaceDN w:val="0"/>
              <w:adjustRightInd w:val="0"/>
              <w:rPr>
                <w:b/>
                <w:sz w:val="22"/>
                <w:szCs w:val="22"/>
              </w:rPr>
            </w:pPr>
            <w:r w:rsidRPr="00AD55AA">
              <w:rPr>
                <w:b/>
                <w:sz w:val="22"/>
                <w:szCs w:val="22"/>
              </w:rPr>
              <w:t xml:space="preserve">Descriptive </w:t>
            </w:r>
            <w:r w:rsidR="0067117A">
              <w:rPr>
                <w:b/>
                <w:sz w:val="22"/>
                <w:szCs w:val="22"/>
              </w:rPr>
              <w:t>s</w:t>
            </w:r>
            <w:r w:rsidRPr="00AD55AA">
              <w:rPr>
                <w:b/>
                <w:sz w:val="22"/>
                <w:szCs w:val="22"/>
              </w:rPr>
              <w:t>tatistics</w:t>
            </w:r>
          </w:p>
        </w:tc>
        <w:tc>
          <w:tcPr>
            <w:tcW w:w="455" w:type="pct"/>
            <w:tcBorders>
              <w:left w:val="nil"/>
              <w:bottom w:val="nil"/>
              <w:right w:val="nil"/>
            </w:tcBorders>
          </w:tcPr>
          <w:p w14:paraId="58D67A4C" w14:textId="77777777" w:rsidR="00245A4A" w:rsidRPr="00AD55AA" w:rsidRDefault="00245A4A" w:rsidP="00A07563">
            <w:pPr>
              <w:widowControl w:val="0"/>
              <w:autoSpaceDE w:val="0"/>
              <w:autoSpaceDN w:val="0"/>
              <w:adjustRightInd w:val="0"/>
              <w:jc w:val="center"/>
              <w:rPr>
                <w:sz w:val="22"/>
                <w:szCs w:val="22"/>
              </w:rPr>
            </w:pPr>
          </w:p>
        </w:tc>
        <w:tc>
          <w:tcPr>
            <w:tcW w:w="619" w:type="pct"/>
            <w:tcBorders>
              <w:left w:val="nil"/>
              <w:bottom w:val="nil"/>
              <w:right w:val="nil"/>
            </w:tcBorders>
          </w:tcPr>
          <w:p w14:paraId="371E8F39" w14:textId="77777777" w:rsidR="00245A4A" w:rsidRPr="00AD55AA" w:rsidRDefault="00245A4A" w:rsidP="00A07563">
            <w:pPr>
              <w:widowControl w:val="0"/>
              <w:autoSpaceDE w:val="0"/>
              <w:autoSpaceDN w:val="0"/>
              <w:adjustRightInd w:val="0"/>
              <w:jc w:val="center"/>
              <w:rPr>
                <w:sz w:val="22"/>
                <w:szCs w:val="22"/>
              </w:rPr>
            </w:pPr>
          </w:p>
        </w:tc>
        <w:tc>
          <w:tcPr>
            <w:tcW w:w="577" w:type="pct"/>
            <w:tcBorders>
              <w:left w:val="nil"/>
              <w:bottom w:val="nil"/>
              <w:right w:val="nil"/>
            </w:tcBorders>
          </w:tcPr>
          <w:p w14:paraId="2A6960D7" w14:textId="77777777" w:rsidR="00245A4A" w:rsidRPr="00AD55AA" w:rsidRDefault="00245A4A" w:rsidP="00A07563">
            <w:pPr>
              <w:widowControl w:val="0"/>
              <w:autoSpaceDE w:val="0"/>
              <w:autoSpaceDN w:val="0"/>
              <w:adjustRightInd w:val="0"/>
              <w:jc w:val="center"/>
              <w:rPr>
                <w:sz w:val="22"/>
                <w:szCs w:val="22"/>
              </w:rPr>
            </w:pPr>
          </w:p>
        </w:tc>
        <w:tc>
          <w:tcPr>
            <w:tcW w:w="619" w:type="pct"/>
            <w:tcBorders>
              <w:left w:val="nil"/>
              <w:bottom w:val="nil"/>
              <w:right w:val="nil"/>
            </w:tcBorders>
          </w:tcPr>
          <w:p w14:paraId="27B4D77F" w14:textId="77777777" w:rsidR="00245A4A" w:rsidRPr="00AD55AA" w:rsidRDefault="00245A4A" w:rsidP="00A07563">
            <w:pPr>
              <w:widowControl w:val="0"/>
              <w:autoSpaceDE w:val="0"/>
              <w:autoSpaceDN w:val="0"/>
              <w:adjustRightInd w:val="0"/>
              <w:jc w:val="center"/>
              <w:rPr>
                <w:sz w:val="22"/>
                <w:szCs w:val="22"/>
              </w:rPr>
            </w:pPr>
          </w:p>
        </w:tc>
        <w:tc>
          <w:tcPr>
            <w:tcW w:w="577" w:type="pct"/>
            <w:tcBorders>
              <w:left w:val="nil"/>
              <w:bottom w:val="nil"/>
              <w:right w:val="nil"/>
            </w:tcBorders>
          </w:tcPr>
          <w:p w14:paraId="5FBBF03C" w14:textId="77777777" w:rsidR="00245A4A" w:rsidRPr="00AD55AA" w:rsidRDefault="00245A4A" w:rsidP="00A07563">
            <w:pPr>
              <w:widowControl w:val="0"/>
              <w:autoSpaceDE w:val="0"/>
              <w:autoSpaceDN w:val="0"/>
              <w:adjustRightInd w:val="0"/>
              <w:jc w:val="center"/>
              <w:rPr>
                <w:sz w:val="22"/>
                <w:szCs w:val="22"/>
              </w:rPr>
            </w:pPr>
          </w:p>
        </w:tc>
        <w:tc>
          <w:tcPr>
            <w:tcW w:w="574" w:type="pct"/>
            <w:tcBorders>
              <w:left w:val="nil"/>
              <w:bottom w:val="nil"/>
              <w:right w:val="nil"/>
            </w:tcBorders>
          </w:tcPr>
          <w:p w14:paraId="47FC2A7A" w14:textId="77777777" w:rsidR="00245A4A" w:rsidRPr="00AD55AA" w:rsidRDefault="00245A4A" w:rsidP="00A07563">
            <w:pPr>
              <w:widowControl w:val="0"/>
              <w:autoSpaceDE w:val="0"/>
              <w:autoSpaceDN w:val="0"/>
              <w:adjustRightInd w:val="0"/>
              <w:jc w:val="center"/>
              <w:rPr>
                <w:sz w:val="22"/>
                <w:szCs w:val="22"/>
              </w:rPr>
            </w:pPr>
          </w:p>
        </w:tc>
      </w:tr>
      <w:tr w:rsidR="00245A4A" w:rsidRPr="00AD55AA" w14:paraId="4ACCAB62" w14:textId="77777777" w:rsidTr="00F040B2">
        <w:tc>
          <w:tcPr>
            <w:tcW w:w="1579" w:type="pct"/>
            <w:tcBorders>
              <w:left w:val="nil"/>
              <w:bottom w:val="nil"/>
              <w:right w:val="nil"/>
            </w:tcBorders>
          </w:tcPr>
          <w:p w14:paraId="6430525A" w14:textId="77777777" w:rsidR="00245A4A" w:rsidRPr="00AD55AA" w:rsidRDefault="00245A4A" w:rsidP="00A07563">
            <w:pPr>
              <w:widowControl w:val="0"/>
              <w:autoSpaceDE w:val="0"/>
              <w:autoSpaceDN w:val="0"/>
              <w:adjustRightInd w:val="0"/>
              <w:rPr>
                <w:sz w:val="22"/>
                <w:szCs w:val="22"/>
              </w:rPr>
            </w:pPr>
          </w:p>
        </w:tc>
        <w:tc>
          <w:tcPr>
            <w:tcW w:w="455" w:type="pct"/>
            <w:tcBorders>
              <w:left w:val="nil"/>
              <w:bottom w:val="nil"/>
              <w:right w:val="nil"/>
            </w:tcBorders>
          </w:tcPr>
          <w:p w14:paraId="2CD44267" w14:textId="77777777" w:rsidR="00245A4A" w:rsidRPr="00AD55AA" w:rsidRDefault="00245A4A" w:rsidP="00A07563">
            <w:pPr>
              <w:widowControl w:val="0"/>
              <w:autoSpaceDE w:val="0"/>
              <w:autoSpaceDN w:val="0"/>
              <w:adjustRightInd w:val="0"/>
              <w:jc w:val="center"/>
              <w:rPr>
                <w:sz w:val="22"/>
                <w:szCs w:val="22"/>
              </w:rPr>
            </w:pPr>
          </w:p>
        </w:tc>
        <w:tc>
          <w:tcPr>
            <w:tcW w:w="619" w:type="pct"/>
            <w:tcBorders>
              <w:left w:val="nil"/>
              <w:bottom w:val="nil"/>
              <w:right w:val="nil"/>
            </w:tcBorders>
          </w:tcPr>
          <w:p w14:paraId="66043EFC" w14:textId="77777777" w:rsidR="00245A4A" w:rsidRPr="00AD55AA" w:rsidRDefault="00245A4A" w:rsidP="00A07563">
            <w:pPr>
              <w:widowControl w:val="0"/>
              <w:autoSpaceDE w:val="0"/>
              <w:autoSpaceDN w:val="0"/>
              <w:adjustRightInd w:val="0"/>
              <w:jc w:val="center"/>
              <w:rPr>
                <w:sz w:val="22"/>
                <w:szCs w:val="22"/>
              </w:rPr>
            </w:pPr>
          </w:p>
        </w:tc>
        <w:tc>
          <w:tcPr>
            <w:tcW w:w="577" w:type="pct"/>
            <w:tcBorders>
              <w:left w:val="nil"/>
              <w:bottom w:val="nil"/>
              <w:right w:val="nil"/>
            </w:tcBorders>
          </w:tcPr>
          <w:p w14:paraId="4BF13405" w14:textId="77777777" w:rsidR="00245A4A" w:rsidRPr="00AD55AA" w:rsidRDefault="00245A4A" w:rsidP="00A07563">
            <w:pPr>
              <w:widowControl w:val="0"/>
              <w:autoSpaceDE w:val="0"/>
              <w:autoSpaceDN w:val="0"/>
              <w:adjustRightInd w:val="0"/>
              <w:jc w:val="center"/>
              <w:rPr>
                <w:sz w:val="22"/>
                <w:szCs w:val="22"/>
              </w:rPr>
            </w:pPr>
          </w:p>
        </w:tc>
        <w:tc>
          <w:tcPr>
            <w:tcW w:w="619" w:type="pct"/>
            <w:tcBorders>
              <w:left w:val="nil"/>
              <w:bottom w:val="nil"/>
              <w:right w:val="nil"/>
            </w:tcBorders>
          </w:tcPr>
          <w:p w14:paraId="7F6581EC" w14:textId="77777777" w:rsidR="00245A4A" w:rsidRPr="00AD55AA" w:rsidRDefault="00245A4A" w:rsidP="00A07563">
            <w:pPr>
              <w:widowControl w:val="0"/>
              <w:autoSpaceDE w:val="0"/>
              <w:autoSpaceDN w:val="0"/>
              <w:adjustRightInd w:val="0"/>
              <w:jc w:val="center"/>
              <w:rPr>
                <w:sz w:val="22"/>
                <w:szCs w:val="22"/>
              </w:rPr>
            </w:pPr>
          </w:p>
        </w:tc>
        <w:tc>
          <w:tcPr>
            <w:tcW w:w="577" w:type="pct"/>
            <w:tcBorders>
              <w:left w:val="nil"/>
              <w:bottom w:val="nil"/>
              <w:right w:val="nil"/>
            </w:tcBorders>
          </w:tcPr>
          <w:p w14:paraId="74364054" w14:textId="77777777" w:rsidR="00245A4A" w:rsidRPr="00AD55AA" w:rsidRDefault="00245A4A" w:rsidP="00A07563">
            <w:pPr>
              <w:widowControl w:val="0"/>
              <w:autoSpaceDE w:val="0"/>
              <w:autoSpaceDN w:val="0"/>
              <w:adjustRightInd w:val="0"/>
              <w:jc w:val="center"/>
              <w:rPr>
                <w:sz w:val="22"/>
                <w:szCs w:val="22"/>
              </w:rPr>
            </w:pPr>
          </w:p>
        </w:tc>
        <w:tc>
          <w:tcPr>
            <w:tcW w:w="574" w:type="pct"/>
            <w:tcBorders>
              <w:left w:val="nil"/>
              <w:bottom w:val="nil"/>
              <w:right w:val="nil"/>
            </w:tcBorders>
          </w:tcPr>
          <w:p w14:paraId="604ED19F" w14:textId="77777777" w:rsidR="00245A4A" w:rsidRPr="00AD55AA" w:rsidRDefault="00245A4A" w:rsidP="00A07563">
            <w:pPr>
              <w:widowControl w:val="0"/>
              <w:autoSpaceDE w:val="0"/>
              <w:autoSpaceDN w:val="0"/>
              <w:adjustRightInd w:val="0"/>
              <w:jc w:val="center"/>
              <w:rPr>
                <w:sz w:val="22"/>
                <w:szCs w:val="22"/>
              </w:rPr>
            </w:pPr>
          </w:p>
        </w:tc>
      </w:tr>
      <w:tr w:rsidR="00245A4A" w:rsidRPr="00AD55AA" w14:paraId="51FD01FD" w14:textId="77777777" w:rsidTr="00F040B2">
        <w:tc>
          <w:tcPr>
            <w:tcW w:w="1579" w:type="pct"/>
            <w:tcBorders>
              <w:top w:val="single" w:sz="4" w:space="0" w:color="auto"/>
              <w:left w:val="nil"/>
              <w:bottom w:val="nil"/>
              <w:right w:val="nil"/>
            </w:tcBorders>
          </w:tcPr>
          <w:p w14:paraId="28D7BAA6" w14:textId="77777777" w:rsidR="00245A4A" w:rsidRPr="00AD55AA" w:rsidRDefault="00245A4A" w:rsidP="00A07563">
            <w:pPr>
              <w:widowControl w:val="0"/>
              <w:autoSpaceDE w:val="0"/>
              <w:autoSpaceDN w:val="0"/>
              <w:adjustRightInd w:val="0"/>
              <w:rPr>
                <w:sz w:val="22"/>
                <w:szCs w:val="22"/>
              </w:rPr>
            </w:pPr>
          </w:p>
        </w:tc>
        <w:tc>
          <w:tcPr>
            <w:tcW w:w="455" w:type="pct"/>
            <w:tcBorders>
              <w:top w:val="single" w:sz="4" w:space="0" w:color="auto"/>
              <w:left w:val="nil"/>
              <w:bottom w:val="nil"/>
              <w:right w:val="nil"/>
            </w:tcBorders>
          </w:tcPr>
          <w:p w14:paraId="7720494B" w14:textId="77777777" w:rsidR="00245A4A" w:rsidRPr="00AD55AA" w:rsidRDefault="00245A4A" w:rsidP="00A07563">
            <w:pPr>
              <w:widowControl w:val="0"/>
              <w:autoSpaceDE w:val="0"/>
              <w:autoSpaceDN w:val="0"/>
              <w:adjustRightInd w:val="0"/>
              <w:jc w:val="center"/>
              <w:rPr>
                <w:sz w:val="22"/>
                <w:szCs w:val="22"/>
              </w:rPr>
            </w:pPr>
          </w:p>
        </w:tc>
        <w:tc>
          <w:tcPr>
            <w:tcW w:w="619" w:type="pct"/>
            <w:tcBorders>
              <w:top w:val="single" w:sz="4" w:space="0" w:color="auto"/>
              <w:left w:val="nil"/>
              <w:bottom w:val="nil"/>
              <w:right w:val="nil"/>
            </w:tcBorders>
          </w:tcPr>
          <w:p w14:paraId="2CA8BE07" w14:textId="77777777" w:rsidR="00245A4A" w:rsidRPr="00AD55AA" w:rsidRDefault="00245A4A" w:rsidP="00A07563">
            <w:pPr>
              <w:widowControl w:val="0"/>
              <w:autoSpaceDE w:val="0"/>
              <w:autoSpaceDN w:val="0"/>
              <w:adjustRightInd w:val="0"/>
              <w:jc w:val="center"/>
              <w:rPr>
                <w:sz w:val="22"/>
                <w:szCs w:val="22"/>
              </w:rPr>
            </w:pPr>
          </w:p>
        </w:tc>
        <w:tc>
          <w:tcPr>
            <w:tcW w:w="577" w:type="pct"/>
            <w:tcBorders>
              <w:top w:val="single" w:sz="4" w:space="0" w:color="auto"/>
              <w:left w:val="nil"/>
              <w:bottom w:val="nil"/>
              <w:right w:val="nil"/>
            </w:tcBorders>
          </w:tcPr>
          <w:p w14:paraId="608EEF14" w14:textId="77777777" w:rsidR="00245A4A" w:rsidRPr="00AD55AA" w:rsidRDefault="00245A4A" w:rsidP="00A07563">
            <w:pPr>
              <w:widowControl w:val="0"/>
              <w:autoSpaceDE w:val="0"/>
              <w:autoSpaceDN w:val="0"/>
              <w:adjustRightInd w:val="0"/>
              <w:jc w:val="center"/>
              <w:rPr>
                <w:sz w:val="22"/>
                <w:szCs w:val="22"/>
              </w:rPr>
            </w:pPr>
          </w:p>
        </w:tc>
        <w:tc>
          <w:tcPr>
            <w:tcW w:w="619" w:type="pct"/>
            <w:tcBorders>
              <w:top w:val="single" w:sz="4" w:space="0" w:color="auto"/>
              <w:left w:val="nil"/>
              <w:bottom w:val="nil"/>
              <w:right w:val="nil"/>
            </w:tcBorders>
          </w:tcPr>
          <w:p w14:paraId="6676B89E" w14:textId="77777777" w:rsidR="00245A4A" w:rsidRPr="00AD55AA" w:rsidRDefault="00245A4A" w:rsidP="00A07563">
            <w:pPr>
              <w:widowControl w:val="0"/>
              <w:autoSpaceDE w:val="0"/>
              <w:autoSpaceDN w:val="0"/>
              <w:adjustRightInd w:val="0"/>
              <w:jc w:val="center"/>
              <w:rPr>
                <w:sz w:val="22"/>
                <w:szCs w:val="22"/>
              </w:rPr>
            </w:pPr>
          </w:p>
        </w:tc>
        <w:tc>
          <w:tcPr>
            <w:tcW w:w="577" w:type="pct"/>
            <w:tcBorders>
              <w:top w:val="single" w:sz="4" w:space="0" w:color="auto"/>
              <w:left w:val="nil"/>
              <w:bottom w:val="nil"/>
              <w:right w:val="nil"/>
            </w:tcBorders>
          </w:tcPr>
          <w:p w14:paraId="739563E1" w14:textId="77777777" w:rsidR="00245A4A" w:rsidRPr="00AD55AA" w:rsidRDefault="00245A4A" w:rsidP="00A07563">
            <w:pPr>
              <w:widowControl w:val="0"/>
              <w:autoSpaceDE w:val="0"/>
              <w:autoSpaceDN w:val="0"/>
              <w:adjustRightInd w:val="0"/>
              <w:jc w:val="center"/>
              <w:rPr>
                <w:sz w:val="22"/>
                <w:szCs w:val="22"/>
              </w:rPr>
            </w:pPr>
          </w:p>
        </w:tc>
        <w:tc>
          <w:tcPr>
            <w:tcW w:w="574" w:type="pct"/>
            <w:tcBorders>
              <w:top w:val="single" w:sz="4" w:space="0" w:color="auto"/>
              <w:left w:val="nil"/>
              <w:bottom w:val="nil"/>
              <w:right w:val="nil"/>
            </w:tcBorders>
          </w:tcPr>
          <w:p w14:paraId="4525B0D0" w14:textId="77777777" w:rsidR="00245A4A" w:rsidRPr="00AD55AA" w:rsidRDefault="00245A4A" w:rsidP="00A07563">
            <w:pPr>
              <w:widowControl w:val="0"/>
              <w:autoSpaceDE w:val="0"/>
              <w:autoSpaceDN w:val="0"/>
              <w:adjustRightInd w:val="0"/>
              <w:jc w:val="center"/>
              <w:rPr>
                <w:sz w:val="22"/>
                <w:szCs w:val="22"/>
              </w:rPr>
            </w:pPr>
          </w:p>
        </w:tc>
      </w:tr>
      <w:tr w:rsidR="00245A4A" w:rsidRPr="00AD55AA" w14:paraId="02FFCA76" w14:textId="77777777" w:rsidTr="00F040B2">
        <w:tc>
          <w:tcPr>
            <w:tcW w:w="1579" w:type="pct"/>
            <w:tcBorders>
              <w:top w:val="nil"/>
              <w:left w:val="nil"/>
              <w:bottom w:val="nil"/>
              <w:right w:val="nil"/>
            </w:tcBorders>
          </w:tcPr>
          <w:p w14:paraId="72422C5C" w14:textId="37D38B2F" w:rsidR="00245A4A" w:rsidRPr="00AD55AA" w:rsidRDefault="00245A4A" w:rsidP="00A07563">
            <w:pPr>
              <w:widowControl w:val="0"/>
              <w:autoSpaceDE w:val="0"/>
              <w:autoSpaceDN w:val="0"/>
              <w:adjustRightInd w:val="0"/>
              <w:rPr>
                <w:sz w:val="22"/>
                <w:szCs w:val="22"/>
              </w:rPr>
            </w:pPr>
          </w:p>
        </w:tc>
        <w:tc>
          <w:tcPr>
            <w:tcW w:w="455" w:type="pct"/>
            <w:tcBorders>
              <w:top w:val="nil"/>
              <w:left w:val="nil"/>
              <w:bottom w:val="nil"/>
              <w:right w:val="nil"/>
            </w:tcBorders>
          </w:tcPr>
          <w:p w14:paraId="6FACC360" w14:textId="77777777" w:rsidR="00245A4A" w:rsidRPr="00AD55AA" w:rsidRDefault="00245A4A" w:rsidP="00A07563">
            <w:pPr>
              <w:widowControl w:val="0"/>
              <w:autoSpaceDE w:val="0"/>
              <w:autoSpaceDN w:val="0"/>
              <w:adjustRightInd w:val="0"/>
              <w:jc w:val="center"/>
              <w:rPr>
                <w:sz w:val="22"/>
                <w:szCs w:val="22"/>
              </w:rPr>
            </w:pPr>
            <w:r w:rsidRPr="00AD55AA">
              <w:rPr>
                <w:sz w:val="22"/>
                <w:szCs w:val="22"/>
              </w:rPr>
              <w:t>Obs.</w:t>
            </w:r>
          </w:p>
        </w:tc>
        <w:tc>
          <w:tcPr>
            <w:tcW w:w="619" w:type="pct"/>
            <w:tcBorders>
              <w:top w:val="nil"/>
              <w:left w:val="nil"/>
              <w:bottom w:val="nil"/>
              <w:right w:val="nil"/>
            </w:tcBorders>
          </w:tcPr>
          <w:p w14:paraId="51D020C0" w14:textId="77777777" w:rsidR="00245A4A" w:rsidRPr="00AD55AA" w:rsidRDefault="00245A4A" w:rsidP="00A07563">
            <w:pPr>
              <w:widowControl w:val="0"/>
              <w:autoSpaceDE w:val="0"/>
              <w:autoSpaceDN w:val="0"/>
              <w:adjustRightInd w:val="0"/>
              <w:jc w:val="center"/>
              <w:rPr>
                <w:sz w:val="22"/>
                <w:szCs w:val="22"/>
              </w:rPr>
            </w:pPr>
            <w:r w:rsidRPr="00AD55AA">
              <w:rPr>
                <w:sz w:val="22"/>
                <w:szCs w:val="22"/>
              </w:rPr>
              <w:t>Mean</w:t>
            </w:r>
          </w:p>
        </w:tc>
        <w:tc>
          <w:tcPr>
            <w:tcW w:w="577" w:type="pct"/>
            <w:tcBorders>
              <w:top w:val="nil"/>
              <w:left w:val="nil"/>
              <w:bottom w:val="nil"/>
              <w:right w:val="nil"/>
            </w:tcBorders>
          </w:tcPr>
          <w:p w14:paraId="38854EBA" w14:textId="77777777" w:rsidR="00245A4A" w:rsidRPr="00AD55AA" w:rsidRDefault="00245A4A" w:rsidP="00A07563">
            <w:pPr>
              <w:widowControl w:val="0"/>
              <w:autoSpaceDE w:val="0"/>
              <w:autoSpaceDN w:val="0"/>
              <w:adjustRightInd w:val="0"/>
              <w:jc w:val="center"/>
              <w:rPr>
                <w:sz w:val="22"/>
                <w:szCs w:val="22"/>
              </w:rPr>
            </w:pPr>
            <w:r w:rsidRPr="00AD55AA">
              <w:rPr>
                <w:sz w:val="22"/>
                <w:szCs w:val="22"/>
              </w:rPr>
              <w:t>Median</w:t>
            </w:r>
          </w:p>
        </w:tc>
        <w:tc>
          <w:tcPr>
            <w:tcW w:w="619" w:type="pct"/>
            <w:tcBorders>
              <w:top w:val="nil"/>
              <w:left w:val="nil"/>
              <w:bottom w:val="nil"/>
              <w:right w:val="nil"/>
            </w:tcBorders>
          </w:tcPr>
          <w:p w14:paraId="6D29FB67" w14:textId="77777777" w:rsidR="00245A4A" w:rsidRPr="00AD55AA" w:rsidRDefault="00245A4A" w:rsidP="00A07563">
            <w:pPr>
              <w:widowControl w:val="0"/>
              <w:autoSpaceDE w:val="0"/>
              <w:autoSpaceDN w:val="0"/>
              <w:adjustRightInd w:val="0"/>
              <w:jc w:val="center"/>
              <w:rPr>
                <w:sz w:val="22"/>
                <w:szCs w:val="22"/>
              </w:rPr>
            </w:pPr>
            <w:r w:rsidRPr="00AD55AA">
              <w:rPr>
                <w:sz w:val="22"/>
                <w:szCs w:val="22"/>
              </w:rPr>
              <w:t>Sd</w:t>
            </w:r>
          </w:p>
        </w:tc>
        <w:tc>
          <w:tcPr>
            <w:tcW w:w="577" w:type="pct"/>
            <w:tcBorders>
              <w:top w:val="nil"/>
              <w:left w:val="nil"/>
              <w:bottom w:val="nil"/>
              <w:right w:val="nil"/>
            </w:tcBorders>
          </w:tcPr>
          <w:p w14:paraId="7E9E8358" w14:textId="77777777" w:rsidR="00245A4A" w:rsidRPr="00AD55AA" w:rsidRDefault="00245A4A" w:rsidP="00A07563">
            <w:pPr>
              <w:widowControl w:val="0"/>
              <w:autoSpaceDE w:val="0"/>
              <w:autoSpaceDN w:val="0"/>
              <w:adjustRightInd w:val="0"/>
              <w:jc w:val="center"/>
              <w:rPr>
                <w:sz w:val="22"/>
                <w:szCs w:val="22"/>
              </w:rPr>
            </w:pPr>
            <w:r w:rsidRPr="00AD55AA">
              <w:rPr>
                <w:sz w:val="22"/>
                <w:szCs w:val="22"/>
              </w:rPr>
              <w:t>Min</w:t>
            </w:r>
          </w:p>
        </w:tc>
        <w:tc>
          <w:tcPr>
            <w:tcW w:w="574" w:type="pct"/>
            <w:tcBorders>
              <w:top w:val="nil"/>
              <w:left w:val="nil"/>
              <w:bottom w:val="nil"/>
              <w:right w:val="nil"/>
            </w:tcBorders>
          </w:tcPr>
          <w:p w14:paraId="2221BA96" w14:textId="77777777" w:rsidR="00245A4A" w:rsidRPr="00AD55AA" w:rsidRDefault="00245A4A" w:rsidP="00A07563">
            <w:pPr>
              <w:widowControl w:val="0"/>
              <w:autoSpaceDE w:val="0"/>
              <w:autoSpaceDN w:val="0"/>
              <w:adjustRightInd w:val="0"/>
              <w:jc w:val="center"/>
              <w:rPr>
                <w:sz w:val="22"/>
                <w:szCs w:val="22"/>
              </w:rPr>
            </w:pPr>
            <w:r w:rsidRPr="00AD55AA">
              <w:rPr>
                <w:sz w:val="22"/>
                <w:szCs w:val="22"/>
              </w:rPr>
              <w:t>Max</w:t>
            </w:r>
          </w:p>
        </w:tc>
      </w:tr>
      <w:tr w:rsidR="00EF462B" w:rsidRPr="00AD55AA" w14:paraId="0583A75F" w14:textId="77777777" w:rsidTr="00F040B2">
        <w:tc>
          <w:tcPr>
            <w:tcW w:w="1579" w:type="pct"/>
            <w:tcBorders>
              <w:top w:val="single" w:sz="4" w:space="0" w:color="auto"/>
              <w:left w:val="nil"/>
              <w:bottom w:val="nil"/>
              <w:right w:val="nil"/>
            </w:tcBorders>
          </w:tcPr>
          <w:p w14:paraId="2A06CCA9" w14:textId="5C7085BF" w:rsidR="00EF462B" w:rsidRPr="00AD55AA" w:rsidRDefault="007C0748" w:rsidP="00EF462B">
            <w:pPr>
              <w:widowControl w:val="0"/>
              <w:autoSpaceDE w:val="0"/>
              <w:autoSpaceDN w:val="0"/>
              <w:adjustRightInd w:val="0"/>
              <w:rPr>
                <w:b/>
                <w:bCs/>
                <w:sz w:val="22"/>
                <w:szCs w:val="22"/>
                <w:highlight w:val="yellow"/>
              </w:rPr>
            </w:pPr>
            <w:r w:rsidRPr="00AD55AA">
              <w:rPr>
                <w:b/>
                <w:bCs/>
                <w:sz w:val="22"/>
                <w:szCs w:val="22"/>
              </w:rPr>
              <w:t>Independent variables</w:t>
            </w:r>
          </w:p>
        </w:tc>
        <w:tc>
          <w:tcPr>
            <w:tcW w:w="455" w:type="pct"/>
            <w:tcBorders>
              <w:top w:val="single" w:sz="4" w:space="0" w:color="auto"/>
              <w:left w:val="nil"/>
              <w:bottom w:val="nil"/>
              <w:right w:val="nil"/>
            </w:tcBorders>
          </w:tcPr>
          <w:p w14:paraId="61E64749" w14:textId="16F15608" w:rsidR="00EF462B" w:rsidRPr="00AD55AA" w:rsidRDefault="00EF462B" w:rsidP="00EF462B">
            <w:pPr>
              <w:widowControl w:val="0"/>
              <w:autoSpaceDE w:val="0"/>
              <w:autoSpaceDN w:val="0"/>
              <w:adjustRightInd w:val="0"/>
              <w:jc w:val="center"/>
              <w:rPr>
                <w:sz w:val="22"/>
                <w:szCs w:val="22"/>
                <w:highlight w:val="yellow"/>
              </w:rPr>
            </w:pPr>
          </w:p>
        </w:tc>
        <w:tc>
          <w:tcPr>
            <w:tcW w:w="619" w:type="pct"/>
            <w:tcBorders>
              <w:top w:val="single" w:sz="4" w:space="0" w:color="auto"/>
              <w:left w:val="nil"/>
              <w:bottom w:val="nil"/>
              <w:right w:val="nil"/>
            </w:tcBorders>
          </w:tcPr>
          <w:p w14:paraId="5A49AED5" w14:textId="03E58378" w:rsidR="00EF462B" w:rsidRPr="00AD55AA" w:rsidRDefault="00EF462B" w:rsidP="00EF462B">
            <w:pPr>
              <w:widowControl w:val="0"/>
              <w:autoSpaceDE w:val="0"/>
              <w:autoSpaceDN w:val="0"/>
              <w:adjustRightInd w:val="0"/>
              <w:jc w:val="center"/>
              <w:rPr>
                <w:sz w:val="22"/>
                <w:szCs w:val="22"/>
                <w:highlight w:val="yellow"/>
              </w:rPr>
            </w:pPr>
          </w:p>
        </w:tc>
        <w:tc>
          <w:tcPr>
            <w:tcW w:w="577" w:type="pct"/>
            <w:tcBorders>
              <w:top w:val="single" w:sz="4" w:space="0" w:color="auto"/>
              <w:left w:val="nil"/>
              <w:bottom w:val="nil"/>
              <w:right w:val="nil"/>
            </w:tcBorders>
          </w:tcPr>
          <w:p w14:paraId="57C5101F" w14:textId="122A82B8" w:rsidR="00EF462B" w:rsidRPr="00AD55AA" w:rsidRDefault="00EF462B" w:rsidP="00EF462B">
            <w:pPr>
              <w:widowControl w:val="0"/>
              <w:autoSpaceDE w:val="0"/>
              <w:autoSpaceDN w:val="0"/>
              <w:adjustRightInd w:val="0"/>
              <w:jc w:val="center"/>
              <w:rPr>
                <w:sz w:val="22"/>
                <w:szCs w:val="22"/>
                <w:highlight w:val="yellow"/>
              </w:rPr>
            </w:pPr>
          </w:p>
        </w:tc>
        <w:tc>
          <w:tcPr>
            <w:tcW w:w="619" w:type="pct"/>
            <w:tcBorders>
              <w:top w:val="single" w:sz="4" w:space="0" w:color="auto"/>
              <w:left w:val="nil"/>
              <w:bottom w:val="nil"/>
              <w:right w:val="nil"/>
            </w:tcBorders>
          </w:tcPr>
          <w:p w14:paraId="3E0860EF" w14:textId="64C91B55" w:rsidR="00EF462B" w:rsidRPr="00AD55AA" w:rsidRDefault="00EF462B" w:rsidP="00EF462B">
            <w:pPr>
              <w:widowControl w:val="0"/>
              <w:autoSpaceDE w:val="0"/>
              <w:autoSpaceDN w:val="0"/>
              <w:adjustRightInd w:val="0"/>
              <w:jc w:val="center"/>
              <w:rPr>
                <w:sz w:val="22"/>
                <w:szCs w:val="22"/>
                <w:highlight w:val="yellow"/>
              </w:rPr>
            </w:pPr>
          </w:p>
        </w:tc>
        <w:tc>
          <w:tcPr>
            <w:tcW w:w="577" w:type="pct"/>
            <w:tcBorders>
              <w:top w:val="single" w:sz="4" w:space="0" w:color="auto"/>
              <w:left w:val="nil"/>
              <w:bottom w:val="nil"/>
              <w:right w:val="nil"/>
            </w:tcBorders>
          </w:tcPr>
          <w:p w14:paraId="627B8B56" w14:textId="20B5429C" w:rsidR="00EF462B" w:rsidRPr="00AD55AA" w:rsidRDefault="00EF462B" w:rsidP="00EF462B">
            <w:pPr>
              <w:widowControl w:val="0"/>
              <w:autoSpaceDE w:val="0"/>
              <w:autoSpaceDN w:val="0"/>
              <w:adjustRightInd w:val="0"/>
              <w:jc w:val="center"/>
              <w:rPr>
                <w:sz w:val="22"/>
                <w:szCs w:val="22"/>
                <w:highlight w:val="yellow"/>
              </w:rPr>
            </w:pPr>
          </w:p>
        </w:tc>
        <w:tc>
          <w:tcPr>
            <w:tcW w:w="574" w:type="pct"/>
            <w:tcBorders>
              <w:top w:val="single" w:sz="4" w:space="0" w:color="auto"/>
              <w:left w:val="nil"/>
              <w:bottom w:val="nil"/>
              <w:right w:val="nil"/>
            </w:tcBorders>
          </w:tcPr>
          <w:p w14:paraId="389D4C44" w14:textId="6F68C0B1" w:rsidR="00EF462B" w:rsidRPr="00AD55AA" w:rsidRDefault="00EF462B" w:rsidP="00EF462B">
            <w:pPr>
              <w:widowControl w:val="0"/>
              <w:autoSpaceDE w:val="0"/>
              <w:autoSpaceDN w:val="0"/>
              <w:adjustRightInd w:val="0"/>
              <w:jc w:val="center"/>
              <w:rPr>
                <w:sz w:val="22"/>
                <w:szCs w:val="22"/>
                <w:highlight w:val="yellow"/>
              </w:rPr>
            </w:pPr>
          </w:p>
        </w:tc>
      </w:tr>
      <w:tr w:rsidR="00F040B2" w:rsidRPr="00AD55AA" w14:paraId="436475D5" w14:textId="77777777" w:rsidTr="00F040B2">
        <w:tc>
          <w:tcPr>
            <w:tcW w:w="1579" w:type="pct"/>
            <w:tcBorders>
              <w:top w:val="nil"/>
              <w:left w:val="nil"/>
              <w:bottom w:val="nil"/>
              <w:right w:val="nil"/>
            </w:tcBorders>
          </w:tcPr>
          <w:p w14:paraId="26B892BF" w14:textId="68A68F20" w:rsidR="00F040B2" w:rsidRPr="00AD55AA" w:rsidRDefault="00F040B2" w:rsidP="00F040B2">
            <w:pPr>
              <w:widowControl w:val="0"/>
              <w:autoSpaceDE w:val="0"/>
              <w:autoSpaceDN w:val="0"/>
              <w:adjustRightInd w:val="0"/>
              <w:rPr>
                <w:sz w:val="22"/>
                <w:szCs w:val="22"/>
                <w:highlight w:val="yellow"/>
              </w:rPr>
            </w:pPr>
            <w:r w:rsidRPr="00AD55AA">
              <w:rPr>
                <w:sz w:val="22"/>
                <w:szCs w:val="22"/>
              </w:rPr>
              <w:t>Treatment group</w:t>
            </w:r>
          </w:p>
        </w:tc>
        <w:tc>
          <w:tcPr>
            <w:tcW w:w="455" w:type="pct"/>
            <w:tcBorders>
              <w:top w:val="nil"/>
              <w:left w:val="nil"/>
              <w:bottom w:val="nil"/>
              <w:right w:val="nil"/>
            </w:tcBorders>
          </w:tcPr>
          <w:p w14:paraId="11E27BD0" w14:textId="49CDE47D" w:rsidR="00F040B2" w:rsidRPr="00AD55AA" w:rsidRDefault="00F040B2" w:rsidP="00F040B2">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38B4868C" w14:textId="52B6F50D"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.1474068</w:t>
            </w:r>
          </w:p>
        </w:tc>
        <w:tc>
          <w:tcPr>
            <w:tcW w:w="577" w:type="pct"/>
            <w:tcBorders>
              <w:top w:val="nil"/>
              <w:left w:val="nil"/>
              <w:bottom w:val="nil"/>
              <w:right w:val="nil"/>
            </w:tcBorders>
          </w:tcPr>
          <w:p w14:paraId="009A743E" w14:textId="73F280B8"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619" w:type="pct"/>
            <w:tcBorders>
              <w:top w:val="nil"/>
              <w:left w:val="nil"/>
              <w:bottom w:val="nil"/>
              <w:right w:val="nil"/>
            </w:tcBorders>
          </w:tcPr>
          <w:p w14:paraId="406A17A9" w14:textId="0FAA0EF0"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.3545153</w:t>
            </w:r>
          </w:p>
        </w:tc>
        <w:tc>
          <w:tcPr>
            <w:tcW w:w="577" w:type="pct"/>
            <w:tcBorders>
              <w:top w:val="nil"/>
              <w:left w:val="nil"/>
              <w:bottom w:val="nil"/>
              <w:right w:val="nil"/>
            </w:tcBorders>
          </w:tcPr>
          <w:p w14:paraId="411A7D85" w14:textId="01D69552"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574" w:type="pct"/>
            <w:tcBorders>
              <w:top w:val="nil"/>
              <w:left w:val="nil"/>
              <w:bottom w:val="nil"/>
              <w:right w:val="nil"/>
            </w:tcBorders>
          </w:tcPr>
          <w:p w14:paraId="304E356D" w14:textId="2F046199"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w:t>
            </w:r>
          </w:p>
        </w:tc>
      </w:tr>
      <w:tr w:rsidR="00F040B2" w:rsidRPr="00AD55AA" w14:paraId="570BB867" w14:textId="77777777" w:rsidTr="00F040B2">
        <w:tc>
          <w:tcPr>
            <w:tcW w:w="1579" w:type="pct"/>
            <w:tcBorders>
              <w:top w:val="nil"/>
              <w:left w:val="nil"/>
              <w:bottom w:val="nil"/>
              <w:right w:val="nil"/>
            </w:tcBorders>
          </w:tcPr>
          <w:p w14:paraId="0009410D" w14:textId="7A2C1B1E" w:rsidR="00F040B2" w:rsidRPr="00F040B2" w:rsidRDefault="00F040B2" w:rsidP="00F040B2">
            <w:pPr>
              <w:widowControl w:val="0"/>
              <w:autoSpaceDE w:val="0"/>
              <w:autoSpaceDN w:val="0"/>
              <w:adjustRightInd w:val="0"/>
              <w:rPr>
                <w:sz w:val="22"/>
                <w:szCs w:val="22"/>
              </w:rPr>
            </w:pPr>
            <w:r w:rsidRPr="00AD55AA">
              <w:rPr>
                <w:sz w:val="22"/>
                <w:szCs w:val="22"/>
              </w:rPr>
              <w:t>CFIUS Block</w:t>
            </w:r>
          </w:p>
        </w:tc>
        <w:tc>
          <w:tcPr>
            <w:tcW w:w="455" w:type="pct"/>
            <w:tcBorders>
              <w:top w:val="nil"/>
              <w:left w:val="nil"/>
              <w:bottom w:val="nil"/>
              <w:right w:val="nil"/>
            </w:tcBorders>
          </w:tcPr>
          <w:p w14:paraId="7E114CF0" w14:textId="02654B30" w:rsidR="00F040B2" w:rsidRPr="00AD55AA" w:rsidRDefault="00F040B2" w:rsidP="00F040B2">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78C17C63" w14:textId="490753AF"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.0451119</w:t>
            </w:r>
          </w:p>
        </w:tc>
        <w:tc>
          <w:tcPr>
            <w:tcW w:w="577" w:type="pct"/>
            <w:tcBorders>
              <w:top w:val="nil"/>
              <w:left w:val="nil"/>
              <w:bottom w:val="nil"/>
              <w:right w:val="nil"/>
            </w:tcBorders>
          </w:tcPr>
          <w:p w14:paraId="31CDCA7E" w14:textId="74582173"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619" w:type="pct"/>
            <w:tcBorders>
              <w:top w:val="nil"/>
              <w:left w:val="nil"/>
              <w:bottom w:val="nil"/>
              <w:right w:val="nil"/>
            </w:tcBorders>
          </w:tcPr>
          <w:p w14:paraId="3EDE063C" w14:textId="77822954"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.207552</w:t>
            </w:r>
          </w:p>
        </w:tc>
        <w:tc>
          <w:tcPr>
            <w:tcW w:w="577" w:type="pct"/>
            <w:tcBorders>
              <w:top w:val="nil"/>
              <w:left w:val="nil"/>
              <w:bottom w:val="nil"/>
              <w:right w:val="nil"/>
            </w:tcBorders>
          </w:tcPr>
          <w:p w14:paraId="66A20A0E" w14:textId="42B96467"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574" w:type="pct"/>
            <w:tcBorders>
              <w:top w:val="nil"/>
              <w:left w:val="nil"/>
              <w:bottom w:val="nil"/>
              <w:right w:val="nil"/>
            </w:tcBorders>
          </w:tcPr>
          <w:p w14:paraId="7168A841" w14:textId="065D15BB"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w:t>
            </w:r>
          </w:p>
        </w:tc>
      </w:tr>
      <w:tr w:rsidR="00F040B2" w:rsidRPr="00AD55AA" w14:paraId="3E7C343D" w14:textId="77777777" w:rsidTr="00F040B2">
        <w:tc>
          <w:tcPr>
            <w:tcW w:w="1579" w:type="pct"/>
            <w:tcBorders>
              <w:top w:val="nil"/>
              <w:left w:val="nil"/>
              <w:bottom w:val="nil"/>
              <w:right w:val="nil"/>
            </w:tcBorders>
          </w:tcPr>
          <w:p w14:paraId="77AE2BBE" w14:textId="5B1A522D" w:rsidR="00F040B2" w:rsidRPr="00AD55AA" w:rsidRDefault="00F040B2" w:rsidP="00F040B2">
            <w:pPr>
              <w:widowControl w:val="0"/>
              <w:autoSpaceDE w:val="0"/>
              <w:autoSpaceDN w:val="0"/>
              <w:adjustRightInd w:val="0"/>
              <w:rPr>
                <w:sz w:val="22"/>
                <w:szCs w:val="22"/>
                <w:highlight w:val="yellow"/>
              </w:rPr>
            </w:pPr>
            <w:r w:rsidRPr="00AD55AA">
              <w:rPr>
                <w:sz w:val="22"/>
                <w:szCs w:val="22"/>
              </w:rPr>
              <w:t>CFIUS Block one year</w:t>
            </w:r>
          </w:p>
        </w:tc>
        <w:tc>
          <w:tcPr>
            <w:tcW w:w="455" w:type="pct"/>
            <w:tcBorders>
              <w:top w:val="nil"/>
              <w:left w:val="nil"/>
              <w:bottom w:val="nil"/>
              <w:right w:val="nil"/>
            </w:tcBorders>
          </w:tcPr>
          <w:p w14:paraId="6FD1208A" w14:textId="79CC1656" w:rsidR="00F040B2" w:rsidRPr="00AD55AA" w:rsidRDefault="00F040B2" w:rsidP="00F040B2">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44DA4C89" w14:textId="64847BE1"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.0171048</w:t>
            </w:r>
          </w:p>
        </w:tc>
        <w:tc>
          <w:tcPr>
            <w:tcW w:w="577" w:type="pct"/>
            <w:tcBorders>
              <w:top w:val="nil"/>
              <w:left w:val="nil"/>
              <w:bottom w:val="nil"/>
              <w:right w:val="nil"/>
            </w:tcBorders>
          </w:tcPr>
          <w:p w14:paraId="05B70E19" w14:textId="661F0BA6"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619" w:type="pct"/>
            <w:tcBorders>
              <w:top w:val="nil"/>
              <w:left w:val="nil"/>
              <w:bottom w:val="nil"/>
              <w:right w:val="nil"/>
            </w:tcBorders>
          </w:tcPr>
          <w:p w14:paraId="5AA47EE4" w14:textId="630F0D83"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.1296636</w:t>
            </w:r>
          </w:p>
        </w:tc>
        <w:tc>
          <w:tcPr>
            <w:tcW w:w="577" w:type="pct"/>
            <w:tcBorders>
              <w:top w:val="nil"/>
              <w:left w:val="nil"/>
              <w:bottom w:val="nil"/>
              <w:right w:val="nil"/>
            </w:tcBorders>
          </w:tcPr>
          <w:p w14:paraId="73A4D84D" w14:textId="61F76AB4"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574" w:type="pct"/>
            <w:tcBorders>
              <w:top w:val="nil"/>
              <w:left w:val="nil"/>
              <w:bottom w:val="nil"/>
              <w:right w:val="nil"/>
            </w:tcBorders>
          </w:tcPr>
          <w:p w14:paraId="160AFC42" w14:textId="10267EC9"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w:t>
            </w:r>
          </w:p>
        </w:tc>
      </w:tr>
      <w:tr w:rsidR="00F040B2" w:rsidRPr="00AD55AA" w14:paraId="7E35BAFC" w14:textId="77777777" w:rsidTr="00F040B2">
        <w:tc>
          <w:tcPr>
            <w:tcW w:w="1579" w:type="pct"/>
            <w:tcBorders>
              <w:top w:val="nil"/>
              <w:left w:val="nil"/>
              <w:bottom w:val="nil"/>
              <w:right w:val="nil"/>
            </w:tcBorders>
          </w:tcPr>
          <w:p w14:paraId="6E5BC845" w14:textId="2D922821" w:rsidR="00F040B2" w:rsidRPr="00AD55AA" w:rsidRDefault="00F040B2" w:rsidP="00F040B2">
            <w:pPr>
              <w:widowControl w:val="0"/>
              <w:autoSpaceDE w:val="0"/>
              <w:autoSpaceDN w:val="0"/>
              <w:adjustRightInd w:val="0"/>
              <w:rPr>
                <w:sz w:val="22"/>
                <w:szCs w:val="22"/>
                <w:highlight w:val="yellow"/>
              </w:rPr>
            </w:pPr>
            <w:r w:rsidRPr="00AD55AA">
              <w:rPr>
                <w:sz w:val="22"/>
                <w:szCs w:val="22"/>
              </w:rPr>
              <w:t>CFIUS Block two years</w:t>
            </w:r>
          </w:p>
        </w:tc>
        <w:tc>
          <w:tcPr>
            <w:tcW w:w="455" w:type="pct"/>
            <w:tcBorders>
              <w:top w:val="nil"/>
              <w:left w:val="nil"/>
              <w:bottom w:val="nil"/>
              <w:right w:val="nil"/>
            </w:tcBorders>
          </w:tcPr>
          <w:p w14:paraId="521EF886" w14:textId="2D24C977" w:rsidR="00F040B2" w:rsidRPr="00AD55AA" w:rsidRDefault="00F040B2" w:rsidP="00F040B2">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09311775" w14:textId="701ED18C"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.0349969</w:t>
            </w:r>
          </w:p>
        </w:tc>
        <w:tc>
          <w:tcPr>
            <w:tcW w:w="577" w:type="pct"/>
            <w:tcBorders>
              <w:top w:val="nil"/>
              <w:left w:val="nil"/>
              <w:bottom w:val="nil"/>
              <w:right w:val="nil"/>
            </w:tcBorders>
          </w:tcPr>
          <w:p w14:paraId="3B5D90C3" w14:textId="37DB0E90"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619" w:type="pct"/>
            <w:tcBorders>
              <w:top w:val="nil"/>
              <w:left w:val="nil"/>
              <w:bottom w:val="nil"/>
              <w:right w:val="nil"/>
            </w:tcBorders>
          </w:tcPr>
          <w:p w14:paraId="0F875798" w14:textId="171D5649"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.1837741</w:t>
            </w:r>
          </w:p>
        </w:tc>
        <w:tc>
          <w:tcPr>
            <w:tcW w:w="577" w:type="pct"/>
            <w:tcBorders>
              <w:top w:val="nil"/>
              <w:left w:val="nil"/>
              <w:bottom w:val="nil"/>
              <w:right w:val="nil"/>
            </w:tcBorders>
          </w:tcPr>
          <w:p w14:paraId="56381206" w14:textId="6F2E1209"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574" w:type="pct"/>
            <w:tcBorders>
              <w:top w:val="nil"/>
              <w:left w:val="nil"/>
              <w:bottom w:val="nil"/>
              <w:right w:val="nil"/>
            </w:tcBorders>
          </w:tcPr>
          <w:p w14:paraId="401845AC" w14:textId="4CE78BF1"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w:t>
            </w:r>
          </w:p>
        </w:tc>
      </w:tr>
      <w:tr w:rsidR="00F040B2" w:rsidRPr="00AD55AA" w14:paraId="1C62471C" w14:textId="77777777" w:rsidTr="00F040B2">
        <w:tc>
          <w:tcPr>
            <w:tcW w:w="1579" w:type="pct"/>
            <w:tcBorders>
              <w:top w:val="nil"/>
              <w:left w:val="nil"/>
              <w:bottom w:val="nil"/>
              <w:right w:val="nil"/>
            </w:tcBorders>
          </w:tcPr>
          <w:p w14:paraId="5F2BC115" w14:textId="6B4ABF1A" w:rsidR="00F040B2" w:rsidRPr="00AD55AA" w:rsidRDefault="00F040B2" w:rsidP="00F040B2">
            <w:pPr>
              <w:widowControl w:val="0"/>
              <w:autoSpaceDE w:val="0"/>
              <w:autoSpaceDN w:val="0"/>
              <w:adjustRightInd w:val="0"/>
              <w:rPr>
                <w:sz w:val="22"/>
                <w:szCs w:val="22"/>
                <w:highlight w:val="yellow"/>
              </w:rPr>
            </w:pPr>
            <w:r w:rsidRPr="00AD55AA">
              <w:rPr>
                <w:sz w:val="22"/>
                <w:szCs w:val="22"/>
              </w:rPr>
              <w:t>CFIUS Block four years</w:t>
            </w:r>
          </w:p>
        </w:tc>
        <w:tc>
          <w:tcPr>
            <w:tcW w:w="455" w:type="pct"/>
            <w:tcBorders>
              <w:top w:val="nil"/>
              <w:left w:val="nil"/>
              <w:bottom w:val="nil"/>
              <w:right w:val="nil"/>
            </w:tcBorders>
          </w:tcPr>
          <w:p w14:paraId="2C9B3738" w14:textId="2E1C31C7" w:rsidR="00F040B2" w:rsidRPr="00AD55AA" w:rsidRDefault="00F040B2" w:rsidP="00F040B2">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59A22B18" w14:textId="4ACF36EB"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.0500501</w:t>
            </w:r>
          </w:p>
        </w:tc>
        <w:tc>
          <w:tcPr>
            <w:tcW w:w="577" w:type="pct"/>
            <w:tcBorders>
              <w:top w:val="nil"/>
              <w:left w:val="nil"/>
              <w:bottom w:val="nil"/>
              <w:right w:val="nil"/>
            </w:tcBorders>
          </w:tcPr>
          <w:p w14:paraId="3D5C2A0F" w14:textId="2260BC9B"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619" w:type="pct"/>
            <w:tcBorders>
              <w:top w:val="nil"/>
              <w:left w:val="nil"/>
              <w:bottom w:val="nil"/>
              <w:right w:val="nil"/>
            </w:tcBorders>
          </w:tcPr>
          <w:p w14:paraId="13C66256" w14:textId="7CFF9954"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.218051</w:t>
            </w:r>
          </w:p>
        </w:tc>
        <w:tc>
          <w:tcPr>
            <w:tcW w:w="577" w:type="pct"/>
            <w:tcBorders>
              <w:top w:val="nil"/>
              <w:left w:val="nil"/>
              <w:bottom w:val="nil"/>
              <w:right w:val="nil"/>
            </w:tcBorders>
          </w:tcPr>
          <w:p w14:paraId="3CB72B66" w14:textId="4030BA05"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0</w:t>
            </w:r>
          </w:p>
        </w:tc>
        <w:tc>
          <w:tcPr>
            <w:tcW w:w="574" w:type="pct"/>
            <w:tcBorders>
              <w:top w:val="nil"/>
              <w:left w:val="nil"/>
              <w:bottom w:val="nil"/>
              <w:right w:val="nil"/>
            </w:tcBorders>
          </w:tcPr>
          <w:p w14:paraId="5A08BDB2" w14:textId="1AA84EF6" w:rsidR="00F040B2" w:rsidRPr="00AD55AA" w:rsidRDefault="00F040B2" w:rsidP="00F040B2">
            <w:pPr>
              <w:widowControl w:val="0"/>
              <w:autoSpaceDE w:val="0"/>
              <w:autoSpaceDN w:val="0"/>
              <w:adjustRightInd w:val="0"/>
              <w:jc w:val="center"/>
              <w:rPr>
                <w:sz w:val="22"/>
                <w:szCs w:val="22"/>
                <w:highlight w:val="yellow"/>
              </w:rPr>
            </w:pPr>
            <w:r w:rsidRPr="00F44D91">
              <w:rPr>
                <w:sz w:val="22"/>
                <w:szCs w:val="22"/>
              </w:rPr>
              <w:t>1</w:t>
            </w:r>
          </w:p>
        </w:tc>
      </w:tr>
      <w:tr w:rsidR="00FE6F17" w:rsidRPr="00AD55AA" w14:paraId="1489730F" w14:textId="77777777" w:rsidTr="00F040B2">
        <w:tc>
          <w:tcPr>
            <w:tcW w:w="1579" w:type="pct"/>
            <w:tcBorders>
              <w:top w:val="nil"/>
              <w:left w:val="nil"/>
              <w:bottom w:val="nil"/>
              <w:right w:val="nil"/>
            </w:tcBorders>
          </w:tcPr>
          <w:p w14:paraId="4C22B158" w14:textId="77777777" w:rsidR="00FE6F17" w:rsidRPr="00AD55AA" w:rsidRDefault="00FE6F17" w:rsidP="00FE6F17">
            <w:pPr>
              <w:widowControl w:val="0"/>
              <w:autoSpaceDE w:val="0"/>
              <w:autoSpaceDN w:val="0"/>
              <w:adjustRightInd w:val="0"/>
              <w:rPr>
                <w:sz w:val="22"/>
                <w:szCs w:val="22"/>
                <w:highlight w:val="yellow"/>
              </w:rPr>
            </w:pPr>
          </w:p>
        </w:tc>
        <w:tc>
          <w:tcPr>
            <w:tcW w:w="455" w:type="pct"/>
            <w:tcBorders>
              <w:top w:val="nil"/>
              <w:left w:val="nil"/>
              <w:bottom w:val="nil"/>
              <w:right w:val="nil"/>
            </w:tcBorders>
          </w:tcPr>
          <w:p w14:paraId="69FA61D2" w14:textId="231361DB"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4587A1DC" w14:textId="7831A1A6"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7F595653" w14:textId="62DDF5F5"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2151B374" w14:textId="2530F970"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565E2203" w14:textId="6D746419" w:rsidR="00FE6F17" w:rsidRPr="00AD55AA" w:rsidRDefault="00FE6F17" w:rsidP="00FE6F17">
            <w:pPr>
              <w:widowControl w:val="0"/>
              <w:autoSpaceDE w:val="0"/>
              <w:autoSpaceDN w:val="0"/>
              <w:adjustRightInd w:val="0"/>
              <w:jc w:val="center"/>
              <w:rPr>
                <w:sz w:val="22"/>
                <w:szCs w:val="22"/>
                <w:highlight w:val="yellow"/>
              </w:rPr>
            </w:pPr>
          </w:p>
        </w:tc>
        <w:tc>
          <w:tcPr>
            <w:tcW w:w="574" w:type="pct"/>
            <w:tcBorders>
              <w:top w:val="nil"/>
              <w:left w:val="nil"/>
              <w:bottom w:val="nil"/>
              <w:right w:val="nil"/>
            </w:tcBorders>
          </w:tcPr>
          <w:p w14:paraId="744BA1C2" w14:textId="12AC0CD1" w:rsidR="00FE6F17" w:rsidRPr="00AD55AA" w:rsidRDefault="00FE6F17" w:rsidP="00FE6F17">
            <w:pPr>
              <w:widowControl w:val="0"/>
              <w:autoSpaceDE w:val="0"/>
              <w:autoSpaceDN w:val="0"/>
              <w:adjustRightInd w:val="0"/>
              <w:jc w:val="center"/>
              <w:rPr>
                <w:sz w:val="22"/>
                <w:szCs w:val="22"/>
                <w:highlight w:val="yellow"/>
              </w:rPr>
            </w:pPr>
          </w:p>
        </w:tc>
      </w:tr>
      <w:tr w:rsidR="00FE6F17" w:rsidRPr="00AD55AA" w14:paraId="0530D6E0" w14:textId="77777777" w:rsidTr="00F040B2">
        <w:tc>
          <w:tcPr>
            <w:tcW w:w="1579" w:type="pct"/>
            <w:tcBorders>
              <w:top w:val="nil"/>
              <w:left w:val="nil"/>
              <w:bottom w:val="nil"/>
              <w:right w:val="nil"/>
            </w:tcBorders>
          </w:tcPr>
          <w:p w14:paraId="3DECCDD8" w14:textId="07C4CFFD" w:rsidR="00FE6F17" w:rsidRPr="00AD55AA" w:rsidRDefault="00FE6F17" w:rsidP="00FE6F17">
            <w:pPr>
              <w:widowControl w:val="0"/>
              <w:autoSpaceDE w:val="0"/>
              <w:autoSpaceDN w:val="0"/>
              <w:adjustRightInd w:val="0"/>
              <w:rPr>
                <w:sz w:val="22"/>
                <w:szCs w:val="22"/>
                <w:highlight w:val="yellow"/>
              </w:rPr>
            </w:pPr>
            <w:r w:rsidRPr="00AD55AA">
              <w:rPr>
                <w:b/>
                <w:bCs/>
                <w:sz w:val="22"/>
                <w:szCs w:val="22"/>
              </w:rPr>
              <w:t>Dependent variables</w:t>
            </w:r>
          </w:p>
        </w:tc>
        <w:tc>
          <w:tcPr>
            <w:tcW w:w="455" w:type="pct"/>
            <w:tcBorders>
              <w:top w:val="nil"/>
              <w:left w:val="nil"/>
              <w:bottom w:val="nil"/>
              <w:right w:val="nil"/>
            </w:tcBorders>
          </w:tcPr>
          <w:p w14:paraId="40A1AE76" w14:textId="29DE45D1"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15AEBA4A" w14:textId="0FE986FC"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6B2D5F0E" w14:textId="1D819979"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46A48270" w14:textId="10F18B81"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302CE153" w14:textId="68474366" w:rsidR="00FE6F17" w:rsidRPr="00AD55AA" w:rsidRDefault="00FE6F17" w:rsidP="00FE6F17">
            <w:pPr>
              <w:widowControl w:val="0"/>
              <w:autoSpaceDE w:val="0"/>
              <w:autoSpaceDN w:val="0"/>
              <w:adjustRightInd w:val="0"/>
              <w:jc w:val="center"/>
              <w:rPr>
                <w:sz w:val="22"/>
                <w:szCs w:val="22"/>
                <w:highlight w:val="yellow"/>
              </w:rPr>
            </w:pPr>
          </w:p>
        </w:tc>
        <w:tc>
          <w:tcPr>
            <w:tcW w:w="574" w:type="pct"/>
            <w:tcBorders>
              <w:top w:val="nil"/>
              <w:left w:val="nil"/>
              <w:bottom w:val="nil"/>
              <w:right w:val="nil"/>
            </w:tcBorders>
          </w:tcPr>
          <w:p w14:paraId="44CCF070" w14:textId="3A1239FC" w:rsidR="00FE6F17" w:rsidRPr="00AD55AA" w:rsidRDefault="00FE6F17" w:rsidP="00FE6F17">
            <w:pPr>
              <w:widowControl w:val="0"/>
              <w:autoSpaceDE w:val="0"/>
              <w:autoSpaceDN w:val="0"/>
              <w:adjustRightInd w:val="0"/>
              <w:jc w:val="center"/>
              <w:rPr>
                <w:sz w:val="22"/>
                <w:szCs w:val="22"/>
                <w:highlight w:val="yellow"/>
              </w:rPr>
            </w:pPr>
          </w:p>
        </w:tc>
      </w:tr>
      <w:tr w:rsidR="002B1C57" w:rsidRPr="00AD55AA" w14:paraId="725C2399" w14:textId="77777777" w:rsidTr="00F040B2">
        <w:tc>
          <w:tcPr>
            <w:tcW w:w="1579" w:type="pct"/>
            <w:tcBorders>
              <w:top w:val="nil"/>
              <w:left w:val="nil"/>
              <w:bottom w:val="nil"/>
              <w:right w:val="nil"/>
            </w:tcBorders>
          </w:tcPr>
          <w:p w14:paraId="3DB00F37" w14:textId="1B073715" w:rsidR="002B1C57" w:rsidRPr="00AD55AA" w:rsidRDefault="002B1C57" w:rsidP="002B1C57">
            <w:pPr>
              <w:widowControl w:val="0"/>
              <w:autoSpaceDE w:val="0"/>
              <w:autoSpaceDN w:val="0"/>
              <w:adjustRightInd w:val="0"/>
              <w:rPr>
                <w:sz w:val="22"/>
                <w:szCs w:val="22"/>
                <w:highlight w:val="yellow"/>
              </w:rPr>
            </w:pPr>
            <w:r w:rsidRPr="00AD55AA">
              <w:rPr>
                <w:sz w:val="22"/>
                <w:szCs w:val="22"/>
              </w:rPr>
              <w:t>Capex</w:t>
            </w:r>
          </w:p>
        </w:tc>
        <w:tc>
          <w:tcPr>
            <w:tcW w:w="455" w:type="pct"/>
            <w:tcBorders>
              <w:top w:val="nil"/>
              <w:left w:val="nil"/>
              <w:bottom w:val="nil"/>
              <w:right w:val="nil"/>
            </w:tcBorders>
          </w:tcPr>
          <w:p w14:paraId="26448188" w14:textId="539FFE03" w:rsidR="002B1C57" w:rsidRPr="00AD55AA" w:rsidRDefault="002B1C57" w:rsidP="002B1C57">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2D29FC00" w14:textId="493B24F0"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.3716634</w:t>
            </w:r>
          </w:p>
        </w:tc>
        <w:tc>
          <w:tcPr>
            <w:tcW w:w="577" w:type="pct"/>
            <w:tcBorders>
              <w:top w:val="nil"/>
              <w:left w:val="nil"/>
              <w:bottom w:val="nil"/>
              <w:right w:val="nil"/>
            </w:tcBorders>
          </w:tcPr>
          <w:p w14:paraId="3EB54B51" w14:textId="41B5F97D"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.192714</w:t>
            </w:r>
          </w:p>
        </w:tc>
        <w:tc>
          <w:tcPr>
            <w:tcW w:w="619" w:type="pct"/>
            <w:tcBorders>
              <w:top w:val="nil"/>
              <w:left w:val="nil"/>
              <w:bottom w:val="nil"/>
              <w:right w:val="nil"/>
            </w:tcBorders>
          </w:tcPr>
          <w:p w14:paraId="4C17288F" w14:textId="5D128E8B"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.6742482</w:t>
            </w:r>
          </w:p>
        </w:tc>
        <w:tc>
          <w:tcPr>
            <w:tcW w:w="577" w:type="pct"/>
            <w:tcBorders>
              <w:top w:val="nil"/>
              <w:left w:val="nil"/>
              <w:bottom w:val="nil"/>
              <w:right w:val="nil"/>
            </w:tcBorders>
          </w:tcPr>
          <w:p w14:paraId="2F7BD064" w14:textId="2E9168EA"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w:t>
            </w:r>
          </w:p>
        </w:tc>
        <w:tc>
          <w:tcPr>
            <w:tcW w:w="574" w:type="pct"/>
            <w:tcBorders>
              <w:top w:val="nil"/>
              <w:left w:val="nil"/>
              <w:bottom w:val="nil"/>
              <w:right w:val="nil"/>
            </w:tcBorders>
          </w:tcPr>
          <w:p w14:paraId="3BF64905" w14:textId="1A32C148"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5.203926</w:t>
            </w:r>
          </w:p>
        </w:tc>
      </w:tr>
      <w:tr w:rsidR="002B1C57" w:rsidRPr="00AD55AA" w14:paraId="5C330ABC" w14:textId="77777777" w:rsidTr="00F040B2">
        <w:tc>
          <w:tcPr>
            <w:tcW w:w="1579" w:type="pct"/>
            <w:tcBorders>
              <w:top w:val="nil"/>
              <w:left w:val="nil"/>
              <w:bottom w:val="nil"/>
              <w:right w:val="nil"/>
            </w:tcBorders>
          </w:tcPr>
          <w:p w14:paraId="53CE9C2B" w14:textId="73D5CAE2" w:rsidR="002B1C57" w:rsidRPr="00AD55AA" w:rsidRDefault="002B1C57" w:rsidP="002B1C57">
            <w:pPr>
              <w:widowControl w:val="0"/>
              <w:autoSpaceDE w:val="0"/>
              <w:autoSpaceDN w:val="0"/>
              <w:adjustRightInd w:val="0"/>
              <w:rPr>
                <w:sz w:val="22"/>
                <w:szCs w:val="22"/>
                <w:highlight w:val="yellow"/>
              </w:rPr>
            </w:pPr>
            <w:r w:rsidRPr="00AD55AA">
              <w:rPr>
                <w:sz w:val="22"/>
                <w:szCs w:val="22"/>
              </w:rPr>
              <w:t>Acquisitions</w:t>
            </w:r>
          </w:p>
        </w:tc>
        <w:tc>
          <w:tcPr>
            <w:tcW w:w="455" w:type="pct"/>
            <w:tcBorders>
              <w:top w:val="nil"/>
              <w:left w:val="nil"/>
              <w:bottom w:val="nil"/>
              <w:right w:val="nil"/>
            </w:tcBorders>
          </w:tcPr>
          <w:p w14:paraId="3849F391" w14:textId="3BE08F08" w:rsidR="002B1C57" w:rsidRPr="00AD55AA" w:rsidRDefault="002B1C57" w:rsidP="002B1C57">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0811C245" w14:textId="7C35609E"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.0197477</w:t>
            </w:r>
          </w:p>
        </w:tc>
        <w:tc>
          <w:tcPr>
            <w:tcW w:w="577" w:type="pct"/>
            <w:tcBorders>
              <w:top w:val="nil"/>
              <w:left w:val="nil"/>
              <w:bottom w:val="nil"/>
              <w:right w:val="nil"/>
            </w:tcBorders>
          </w:tcPr>
          <w:p w14:paraId="2C567436" w14:textId="77FB5288"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w:t>
            </w:r>
          </w:p>
        </w:tc>
        <w:tc>
          <w:tcPr>
            <w:tcW w:w="619" w:type="pct"/>
            <w:tcBorders>
              <w:top w:val="nil"/>
              <w:left w:val="nil"/>
              <w:bottom w:val="nil"/>
              <w:right w:val="nil"/>
            </w:tcBorders>
          </w:tcPr>
          <w:p w14:paraId="0BB4F65D" w14:textId="58F22C8F"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.0552164</w:t>
            </w:r>
          </w:p>
        </w:tc>
        <w:tc>
          <w:tcPr>
            <w:tcW w:w="577" w:type="pct"/>
            <w:tcBorders>
              <w:top w:val="nil"/>
              <w:left w:val="nil"/>
              <w:bottom w:val="nil"/>
              <w:right w:val="nil"/>
            </w:tcBorders>
          </w:tcPr>
          <w:p w14:paraId="385C10D9" w14:textId="1A63D658" w:rsidR="002B1C57" w:rsidRPr="00AD55AA" w:rsidRDefault="002B1C57" w:rsidP="002B1C57">
            <w:pPr>
              <w:widowControl w:val="0"/>
              <w:autoSpaceDE w:val="0"/>
              <w:autoSpaceDN w:val="0"/>
              <w:adjustRightInd w:val="0"/>
              <w:jc w:val="center"/>
              <w:rPr>
                <w:sz w:val="22"/>
                <w:szCs w:val="22"/>
                <w:highlight w:val="yellow"/>
              </w:rPr>
            </w:pPr>
            <w:r>
              <w:rPr>
                <w:sz w:val="22"/>
                <w:szCs w:val="22"/>
              </w:rPr>
              <w:t>-.002572</w:t>
            </w:r>
          </w:p>
        </w:tc>
        <w:tc>
          <w:tcPr>
            <w:tcW w:w="574" w:type="pct"/>
            <w:tcBorders>
              <w:top w:val="nil"/>
              <w:left w:val="nil"/>
              <w:bottom w:val="nil"/>
              <w:right w:val="nil"/>
            </w:tcBorders>
          </w:tcPr>
          <w:p w14:paraId="3EFF1E1D" w14:textId="7138E02B"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.3240523</w:t>
            </w:r>
          </w:p>
        </w:tc>
      </w:tr>
      <w:tr w:rsidR="002B1C57" w:rsidRPr="00AD55AA" w14:paraId="288D8BEC" w14:textId="77777777" w:rsidTr="00F040B2">
        <w:tc>
          <w:tcPr>
            <w:tcW w:w="1579" w:type="pct"/>
            <w:tcBorders>
              <w:top w:val="nil"/>
              <w:left w:val="nil"/>
              <w:bottom w:val="nil"/>
              <w:right w:val="nil"/>
            </w:tcBorders>
          </w:tcPr>
          <w:p w14:paraId="57239132" w14:textId="6DA12C5C" w:rsidR="002B1C57" w:rsidRPr="00AD55AA" w:rsidRDefault="002B1C57" w:rsidP="002B1C57">
            <w:pPr>
              <w:widowControl w:val="0"/>
              <w:autoSpaceDE w:val="0"/>
              <w:autoSpaceDN w:val="0"/>
              <w:adjustRightInd w:val="0"/>
              <w:rPr>
                <w:sz w:val="22"/>
                <w:szCs w:val="22"/>
                <w:highlight w:val="yellow"/>
              </w:rPr>
            </w:pPr>
            <w:r w:rsidRPr="00AD55AA">
              <w:rPr>
                <w:sz w:val="22"/>
                <w:szCs w:val="22"/>
              </w:rPr>
              <w:t>Investments</w:t>
            </w:r>
          </w:p>
        </w:tc>
        <w:tc>
          <w:tcPr>
            <w:tcW w:w="455" w:type="pct"/>
            <w:tcBorders>
              <w:top w:val="nil"/>
              <w:left w:val="nil"/>
              <w:bottom w:val="nil"/>
              <w:right w:val="nil"/>
            </w:tcBorders>
          </w:tcPr>
          <w:p w14:paraId="0A860070" w14:textId="219B527B" w:rsidR="002B1C57" w:rsidRPr="00AD55AA" w:rsidRDefault="00565E43" w:rsidP="002B1C57">
            <w:pPr>
              <w:widowControl w:val="0"/>
              <w:autoSpaceDE w:val="0"/>
              <w:autoSpaceDN w:val="0"/>
              <w:adjustRightInd w:val="0"/>
              <w:jc w:val="center"/>
              <w:rPr>
                <w:sz w:val="22"/>
                <w:szCs w:val="22"/>
                <w:highlight w:val="yellow"/>
              </w:rPr>
            </w:pPr>
            <w:r w:rsidRPr="00AD55AA">
              <w:rPr>
                <w:sz w:val="22"/>
                <w:szCs w:val="22"/>
              </w:rPr>
              <w:t>41,</w:t>
            </w:r>
            <w:r>
              <w:rPr>
                <w:sz w:val="22"/>
                <w:szCs w:val="22"/>
              </w:rPr>
              <w:t>88</w:t>
            </w:r>
            <w:r w:rsidRPr="00AD55AA">
              <w:rPr>
                <w:sz w:val="22"/>
                <w:szCs w:val="22"/>
              </w:rPr>
              <w:t>8</w:t>
            </w:r>
          </w:p>
        </w:tc>
        <w:tc>
          <w:tcPr>
            <w:tcW w:w="619" w:type="pct"/>
            <w:tcBorders>
              <w:top w:val="nil"/>
              <w:left w:val="nil"/>
              <w:bottom w:val="nil"/>
              <w:right w:val="nil"/>
            </w:tcBorders>
          </w:tcPr>
          <w:p w14:paraId="51CB70EC" w14:textId="54279EB6"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.1610236</w:t>
            </w:r>
          </w:p>
        </w:tc>
        <w:tc>
          <w:tcPr>
            <w:tcW w:w="577" w:type="pct"/>
            <w:tcBorders>
              <w:top w:val="nil"/>
              <w:left w:val="nil"/>
              <w:bottom w:val="nil"/>
              <w:right w:val="nil"/>
            </w:tcBorders>
          </w:tcPr>
          <w:p w14:paraId="04B7FC55" w14:textId="21E37C65"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.0836288</w:t>
            </w:r>
          </w:p>
        </w:tc>
        <w:tc>
          <w:tcPr>
            <w:tcW w:w="619" w:type="pct"/>
            <w:tcBorders>
              <w:top w:val="nil"/>
              <w:left w:val="nil"/>
              <w:bottom w:val="nil"/>
              <w:right w:val="nil"/>
            </w:tcBorders>
          </w:tcPr>
          <w:p w14:paraId="21580041" w14:textId="2983AD21"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.243242</w:t>
            </w:r>
          </w:p>
        </w:tc>
        <w:tc>
          <w:tcPr>
            <w:tcW w:w="577" w:type="pct"/>
            <w:tcBorders>
              <w:top w:val="nil"/>
              <w:left w:val="nil"/>
              <w:bottom w:val="nil"/>
              <w:right w:val="nil"/>
            </w:tcBorders>
          </w:tcPr>
          <w:p w14:paraId="480E7A01" w14:textId="745A67C8"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-.016317</w:t>
            </w:r>
          </w:p>
        </w:tc>
        <w:tc>
          <w:tcPr>
            <w:tcW w:w="574" w:type="pct"/>
            <w:tcBorders>
              <w:top w:val="nil"/>
              <w:left w:val="nil"/>
              <w:bottom w:val="nil"/>
              <w:right w:val="nil"/>
            </w:tcBorders>
          </w:tcPr>
          <w:p w14:paraId="6E6B61A3" w14:textId="4D88961E"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1.643505</w:t>
            </w:r>
          </w:p>
        </w:tc>
      </w:tr>
      <w:tr w:rsidR="002B1C57" w:rsidRPr="00AD55AA" w14:paraId="55E84724" w14:textId="77777777" w:rsidTr="00F040B2">
        <w:tc>
          <w:tcPr>
            <w:tcW w:w="1579" w:type="pct"/>
            <w:tcBorders>
              <w:top w:val="nil"/>
              <w:left w:val="nil"/>
              <w:bottom w:val="nil"/>
              <w:right w:val="nil"/>
            </w:tcBorders>
          </w:tcPr>
          <w:p w14:paraId="645FF4B7" w14:textId="639D719C" w:rsidR="002B1C57" w:rsidRPr="00AD55AA" w:rsidRDefault="002B1C57" w:rsidP="002B1C57">
            <w:pPr>
              <w:widowControl w:val="0"/>
              <w:autoSpaceDE w:val="0"/>
              <w:autoSpaceDN w:val="0"/>
              <w:adjustRightInd w:val="0"/>
              <w:rPr>
                <w:sz w:val="22"/>
                <w:szCs w:val="22"/>
                <w:highlight w:val="yellow"/>
              </w:rPr>
            </w:pPr>
            <w:r w:rsidRPr="00AD55AA">
              <w:rPr>
                <w:sz w:val="22"/>
                <w:szCs w:val="22"/>
              </w:rPr>
              <w:t>R&amp;D</w:t>
            </w:r>
          </w:p>
        </w:tc>
        <w:tc>
          <w:tcPr>
            <w:tcW w:w="455" w:type="pct"/>
            <w:tcBorders>
              <w:top w:val="nil"/>
              <w:left w:val="nil"/>
              <w:bottom w:val="nil"/>
              <w:right w:val="nil"/>
            </w:tcBorders>
          </w:tcPr>
          <w:p w14:paraId="503BF389" w14:textId="04E61D6E" w:rsidR="002B1C57" w:rsidRPr="00AD55AA" w:rsidRDefault="002B1C57" w:rsidP="002B1C57">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26FAAD8E" w14:textId="26286F53"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.0946141</w:t>
            </w:r>
          </w:p>
        </w:tc>
        <w:tc>
          <w:tcPr>
            <w:tcW w:w="577" w:type="pct"/>
            <w:tcBorders>
              <w:top w:val="nil"/>
              <w:left w:val="nil"/>
              <w:bottom w:val="nil"/>
              <w:right w:val="nil"/>
            </w:tcBorders>
          </w:tcPr>
          <w:p w14:paraId="79E0F1CE" w14:textId="504D2319"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.0013977</w:t>
            </w:r>
          </w:p>
        </w:tc>
        <w:tc>
          <w:tcPr>
            <w:tcW w:w="619" w:type="pct"/>
            <w:tcBorders>
              <w:top w:val="nil"/>
              <w:left w:val="nil"/>
              <w:bottom w:val="nil"/>
              <w:right w:val="nil"/>
            </w:tcBorders>
          </w:tcPr>
          <w:p w14:paraId="45A96824" w14:textId="03FDD919"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.2344682</w:t>
            </w:r>
          </w:p>
        </w:tc>
        <w:tc>
          <w:tcPr>
            <w:tcW w:w="577" w:type="pct"/>
            <w:tcBorders>
              <w:top w:val="nil"/>
              <w:left w:val="nil"/>
              <w:bottom w:val="nil"/>
              <w:right w:val="nil"/>
            </w:tcBorders>
          </w:tcPr>
          <w:p w14:paraId="0F0D141C" w14:textId="5501B9CF"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w:t>
            </w:r>
          </w:p>
        </w:tc>
        <w:tc>
          <w:tcPr>
            <w:tcW w:w="574" w:type="pct"/>
            <w:tcBorders>
              <w:top w:val="nil"/>
              <w:left w:val="nil"/>
              <w:bottom w:val="nil"/>
              <w:right w:val="nil"/>
            </w:tcBorders>
          </w:tcPr>
          <w:p w14:paraId="03C92049" w14:textId="082A13C2"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1.574963</w:t>
            </w:r>
          </w:p>
        </w:tc>
      </w:tr>
      <w:tr w:rsidR="00FE6F17" w:rsidRPr="00AD55AA" w14:paraId="4E12B998" w14:textId="77777777" w:rsidTr="00F040B2">
        <w:tc>
          <w:tcPr>
            <w:tcW w:w="1579" w:type="pct"/>
            <w:tcBorders>
              <w:top w:val="nil"/>
              <w:left w:val="nil"/>
              <w:bottom w:val="nil"/>
              <w:right w:val="nil"/>
            </w:tcBorders>
          </w:tcPr>
          <w:p w14:paraId="2D2FC416" w14:textId="01DD500D" w:rsidR="00FE6F17" w:rsidRPr="00AD55AA" w:rsidRDefault="00FE6F17" w:rsidP="00FE6F17">
            <w:pPr>
              <w:widowControl w:val="0"/>
              <w:autoSpaceDE w:val="0"/>
              <w:autoSpaceDN w:val="0"/>
              <w:adjustRightInd w:val="0"/>
              <w:rPr>
                <w:sz w:val="22"/>
                <w:szCs w:val="22"/>
                <w:highlight w:val="yellow"/>
              </w:rPr>
            </w:pPr>
          </w:p>
        </w:tc>
        <w:tc>
          <w:tcPr>
            <w:tcW w:w="455" w:type="pct"/>
            <w:tcBorders>
              <w:top w:val="nil"/>
              <w:left w:val="nil"/>
              <w:bottom w:val="nil"/>
              <w:right w:val="nil"/>
            </w:tcBorders>
          </w:tcPr>
          <w:p w14:paraId="1C824827" w14:textId="25E94A8A"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4D16B092" w14:textId="3AC15511"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7A80B7EA" w14:textId="2FA3D223"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371C74E9" w14:textId="26FF6A75"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59BDCD82" w14:textId="547BA896" w:rsidR="00FE6F17" w:rsidRPr="00AD55AA" w:rsidRDefault="00FE6F17" w:rsidP="00FE6F17">
            <w:pPr>
              <w:widowControl w:val="0"/>
              <w:autoSpaceDE w:val="0"/>
              <w:autoSpaceDN w:val="0"/>
              <w:adjustRightInd w:val="0"/>
              <w:jc w:val="center"/>
              <w:rPr>
                <w:sz w:val="22"/>
                <w:szCs w:val="22"/>
                <w:highlight w:val="yellow"/>
              </w:rPr>
            </w:pPr>
          </w:p>
        </w:tc>
        <w:tc>
          <w:tcPr>
            <w:tcW w:w="574" w:type="pct"/>
            <w:tcBorders>
              <w:top w:val="nil"/>
              <w:left w:val="nil"/>
              <w:bottom w:val="nil"/>
              <w:right w:val="nil"/>
            </w:tcBorders>
          </w:tcPr>
          <w:p w14:paraId="6181DD46" w14:textId="1FA33D84" w:rsidR="00FE6F17" w:rsidRPr="00AD55AA" w:rsidRDefault="00FE6F17" w:rsidP="00FE6F17">
            <w:pPr>
              <w:widowControl w:val="0"/>
              <w:autoSpaceDE w:val="0"/>
              <w:autoSpaceDN w:val="0"/>
              <w:adjustRightInd w:val="0"/>
              <w:jc w:val="center"/>
              <w:rPr>
                <w:sz w:val="22"/>
                <w:szCs w:val="22"/>
                <w:highlight w:val="yellow"/>
              </w:rPr>
            </w:pPr>
          </w:p>
        </w:tc>
      </w:tr>
      <w:tr w:rsidR="00FE6F17" w:rsidRPr="00AD55AA" w14:paraId="7CA02F7B" w14:textId="77777777" w:rsidTr="00F040B2">
        <w:tc>
          <w:tcPr>
            <w:tcW w:w="1579" w:type="pct"/>
            <w:tcBorders>
              <w:top w:val="nil"/>
              <w:left w:val="nil"/>
              <w:bottom w:val="nil"/>
              <w:right w:val="nil"/>
            </w:tcBorders>
          </w:tcPr>
          <w:p w14:paraId="3F66DD07" w14:textId="6418AD0A" w:rsidR="00FE6F17" w:rsidRPr="00AD55AA" w:rsidRDefault="00FE6F17" w:rsidP="00FE6F17">
            <w:pPr>
              <w:widowControl w:val="0"/>
              <w:autoSpaceDE w:val="0"/>
              <w:autoSpaceDN w:val="0"/>
              <w:adjustRightInd w:val="0"/>
              <w:rPr>
                <w:b/>
                <w:bCs/>
                <w:sz w:val="22"/>
                <w:szCs w:val="22"/>
                <w:highlight w:val="yellow"/>
              </w:rPr>
            </w:pPr>
            <w:r w:rsidRPr="00AD55AA">
              <w:rPr>
                <w:b/>
                <w:bCs/>
                <w:sz w:val="22"/>
                <w:szCs w:val="22"/>
              </w:rPr>
              <w:t>Control variables</w:t>
            </w:r>
          </w:p>
        </w:tc>
        <w:tc>
          <w:tcPr>
            <w:tcW w:w="455" w:type="pct"/>
            <w:tcBorders>
              <w:top w:val="nil"/>
              <w:left w:val="nil"/>
              <w:bottom w:val="nil"/>
              <w:right w:val="nil"/>
            </w:tcBorders>
          </w:tcPr>
          <w:p w14:paraId="683A2317" w14:textId="55622A5E"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1961297C" w14:textId="55A27B54"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3F8144C0" w14:textId="5D6A649B" w:rsidR="00FE6F17" w:rsidRPr="00AD55AA" w:rsidRDefault="00FE6F17" w:rsidP="00FE6F17">
            <w:pPr>
              <w:widowControl w:val="0"/>
              <w:autoSpaceDE w:val="0"/>
              <w:autoSpaceDN w:val="0"/>
              <w:adjustRightInd w:val="0"/>
              <w:jc w:val="center"/>
              <w:rPr>
                <w:sz w:val="22"/>
                <w:szCs w:val="22"/>
                <w:highlight w:val="yellow"/>
              </w:rPr>
            </w:pPr>
          </w:p>
        </w:tc>
        <w:tc>
          <w:tcPr>
            <w:tcW w:w="619" w:type="pct"/>
            <w:tcBorders>
              <w:top w:val="nil"/>
              <w:left w:val="nil"/>
              <w:bottom w:val="nil"/>
              <w:right w:val="nil"/>
            </w:tcBorders>
          </w:tcPr>
          <w:p w14:paraId="5D375742" w14:textId="6961864F" w:rsidR="00FE6F17" w:rsidRPr="00AD55AA" w:rsidRDefault="00FE6F17" w:rsidP="00FE6F17">
            <w:pPr>
              <w:widowControl w:val="0"/>
              <w:autoSpaceDE w:val="0"/>
              <w:autoSpaceDN w:val="0"/>
              <w:adjustRightInd w:val="0"/>
              <w:jc w:val="center"/>
              <w:rPr>
                <w:sz w:val="22"/>
                <w:szCs w:val="22"/>
                <w:highlight w:val="yellow"/>
              </w:rPr>
            </w:pPr>
          </w:p>
        </w:tc>
        <w:tc>
          <w:tcPr>
            <w:tcW w:w="577" w:type="pct"/>
            <w:tcBorders>
              <w:top w:val="nil"/>
              <w:left w:val="nil"/>
              <w:bottom w:val="nil"/>
              <w:right w:val="nil"/>
            </w:tcBorders>
          </w:tcPr>
          <w:p w14:paraId="2F1B7331" w14:textId="26857836" w:rsidR="00FE6F17" w:rsidRPr="00AD55AA" w:rsidRDefault="00FE6F17" w:rsidP="00FE6F17">
            <w:pPr>
              <w:widowControl w:val="0"/>
              <w:autoSpaceDE w:val="0"/>
              <w:autoSpaceDN w:val="0"/>
              <w:adjustRightInd w:val="0"/>
              <w:jc w:val="center"/>
              <w:rPr>
                <w:sz w:val="22"/>
                <w:szCs w:val="22"/>
                <w:highlight w:val="yellow"/>
              </w:rPr>
            </w:pPr>
          </w:p>
        </w:tc>
        <w:tc>
          <w:tcPr>
            <w:tcW w:w="574" w:type="pct"/>
            <w:tcBorders>
              <w:top w:val="nil"/>
              <w:left w:val="nil"/>
              <w:bottom w:val="nil"/>
              <w:right w:val="nil"/>
            </w:tcBorders>
          </w:tcPr>
          <w:p w14:paraId="4B1EEE13" w14:textId="2254B3E1" w:rsidR="00FE6F17" w:rsidRPr="00AD55AA" w:rsidRDefault="00FE6F17" w:rsidP="00FE6F17">
            <w:pPr>
              <w:widowControl w:val="0"/>
              <w:autoSpaceDE w:val="0"/>
              <w:autoSpaceDN w:val="0"/>
              <w:adjustRightInd w:val="0"/>
              <w:jc w:val="center"/>
              <w:rPr>
                <w:sz w:val="22"/>
                <w:szCs w:val="22"/>
                <w:highlight w:val="yellow"/>
              </w:rPr>
            </w:pPr>
          </w:p>
        </w:tc>
      </w:tr>
      <w:tr w:rsidR="002B1C57" w:rsidRPr="00AD55AA" w14:paraId="2B3B079E" w14:textId="77777777" w:rsidTr="00F040B2">
        <w:tc>
          <w:tcPr>
            <w:tcW w:w="1579" w:type="pct"/>
            <w:tcBorders>
              <w:top w:val="nil"/>
              <w:left w:val="nil"/>
              <w:bottom w:val="nil"/>
              <w:right w:val="nil"/>
            </w:tcBorders>
          </w:tcPr>
          <w:p w14:paraId="5872EC3C" w14:textId="3E85BB27" w:rsidR="002B1C57" w:rsidRPr="00AD55AA" w:rsidRDefault="002B1C57" w:rsidP="002B1C57">
            <w:pPr>
              <w:widowControl w:val="0"/>
              <w:autoSpaceDE w:val="0"/>
              <w:autoSpaceDN w:val="0"/>
              <w:adjustRightInd w:val="0"/>
              <w:rPr>
                <w:sz w:val="22"/>
                <w:szCs w:val="22"/>
                <w:highlight w:val="yellow"/>
              </w:rPr>
            </w:pPr>
            <w:r w:rsidRPr="00AD55AA">
              <w:rPr>
                <w:sz w:val="22"/>
                <w:szCs w:val="22"/>
              </w:rPr>
              <w:t>Cash flow</w:t>
            </w:r>
          </w:p>
        </w:tc>
        <w:tc>
          <w:tcPr>
            <w:tcW w:w="455" w:type="pct"/>
            <w:tcBorders>
              <w:top w:val="nil"/>
              <w:left w:val="nil"/>
              <w:bottom w:val="nil"/>
              <w:right w:val="nil"/>
            </w:tcBorders>
          </w:tcPr>
          <w:p w14:paraId="4BDDA552" w14:textId="36486042" w:rsidR="002B1C57" w:rsidRPr="00AD55AA" w:rsidRDefault="002B1C57" w:rsidP="002B1C57">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111C075E" w14:textId="3DC98F06"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-.1199003</w:t>
            </w:r>
          </w:p>
        </w:tc>
        <w:tc>
          <w:tcPr>
            <w:tcW w:w="577" w:type="pct"/>
            <w:tcBorders>
              <w:top w:val="nil"/>
              <w:left w:val="nil"/>
              <w:bottom w:val="nil"/>
              <w:right w:val="nil"/>
            </w:tcBorders>
          </w:tcPr>
          <w:p w14:paraId="7B536D0C" w14:textId="7E77406E"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.0633963</w:t>
            </w:r>
          </w:p>
        </w:tc>
        <w:tc>
          <w:tcPr>
            <w:tcW w:w="619" w:type="pct"/>
            <w:tcBorders>
              <w:top w:val="nil"/>
              <w:left w:val="nil"/>
              <w:bottom w:val="nil"/>
              <w:right w:val="nil"/>
            </w:tcBorders>
          </w:tcPr>
          <w:p w14:paraId="4A8B65A3" w14:textId="6B1DE87C"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.6815324</w:t>
            </w:r>
          </w:p>
        </w:tc>
        <w:tc>
          <w:tcPr>
            <w:tcW w:w="577" w:type="pct"/>
            <w:tcBorders>
              <w:top w:val="nil"/>
              <w:left w:val="nil"/>
              <w:bottom w:val="nil"/>
              <w:right w:val="nil"/>
            </w:tcBorders>
          </w:tcPr>
          <w:p w14:paraId="60C6F6DA" w14:textId="57C314C9" w:rsidR="002B1C57" w:rsidRPr="00AD55AA" w:rsidRDefault="002B1C57" w:rsidP="002B1C57">
            <w:pPr>
              <w:widowControl w:val="0"/>
              <w:autoSpaceDE w:val="0"/>
              <w:autoSpaceDN w:val="0"/>
              <w:adjustRightInd w:val="0"/>
              <w:jc w:val="center"/>
              <w:rPr>
                <w:sz w:val="22"/>
                <w:szCs w:val="22"/>
                <w:highlight w:val="yellow"/>
              </w:rPr>
            </w:pPr>
            <w:r>
              <w:rPr>
                <w:sz w:val="22"/>
                <w:szCs w:val="22"/>
              </w:rPr>
              <w:t>-4.87096</w:t>
            </w:r>
          </w:p>
        </w:tc>
        <w:tc>
          <w:tcPr>
            <w:tcW w:w="574" w:type="pct"/>
            <w:tcBorders>
              <w:top w:val="nil"/>
              <w:left w:val="nil"/>
              <w:bottom w:val="nil"/>
              <w:right w:val="nil"/>
            </w:tcBorders>
          </w:tcPr>
          <w:p w14:paraId="4BF904D4" w14:textId="2FD1969C"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.3598355</w:t>
            </w:r>
          </w:p>
        </w:tc>
      </w:tr>
      <w:tr w:rsidR="002B1C57" w:rsidRPr="00AD55AA" w14:paraId="42CEC27B" w14:textId="77777777" w:rsidTr="00F040B2">
        <w:tc>
          <w:tcPr>
            <w:tcW w:w="1579" w:type="pct"/>
            <w:tcBorders>
              <w:top w:val="nil"/>
              <w:left w:val="nil"/>
              <w:bottom w:val="nil"/>
              <w:right w:val="nil"/>
            </w:tcBorders>
          </w:tcPr>
          <w:p w14:paraId="12A000A2" w14:textId="25E008BA" w:rsidR="002B1C57" w:rsidRPr="00AD55AA" w:rsidRDefault="002B1C57" w:rsidP="002B1C57">
            <w:pPr>
              <w:widowControl w:val="0"/>
              <w:autoSpaceDE w:val="0"/>
              <w:autoSpaceDN w:val="0"/>
              <w:adjustRightInd w:val="0"/>
              <w:rPr>
                <w:sz w:val="22"/>
                <w:szCs w:val="22"/>
                <w:highlight w:val="yellow"/>
              </w:rPr>
            </w:pPr>
            <w:r w:rsidRPr="00AD55AA">
              <w:rPr>
                <w:sz w:val="22"/>
                <w:szCs w:val="22"/>
              </w:rPr>
              <w:t>Leverage</w:t>
            </w:r>
          </w:p>
        </w:tc>
        <w:tc>
          <w:tcPr>
            <w:tcW w:w="455" w:type="pct"/>
            <w:tcBorders>
              <w:top w:val="nil"/>
              <w:left w:val="nil"/>
              <w:bottom w:val="nil"/>
              <w:right w:val="nil"/>
            </w:tcBorders>
          </w:tcPr>
          <w:p w14:paraId="1F44FE3A" w14:textId="11A1A742" w:rsidR="002B1C57" w:rsidRPr="00AD55AA" w:rsidRDefault="002B1C57" w:rsidP="002B1C57">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34D9B377" w14:textId="08D64F67"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.3492916</w:t>
            </w:r>
          </w:p>
        </w:tc>
        <w:tc>
          <w:tcPr>
            <w:tcW w:w="577" w:type="pct"/>
            <w:tcBorders>
              <w:top w:val="nil"/>
              <w:left w:val="nil"/>
              <w:bottom w:val="nil"/>
              <w:right w:val="nil"/>
            </w:tcBorders>
          </w:tcPr>
          <w:p w14:paraId="1EC69F25" w14:textId="3D7D27AC"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.1918096</w:t>
            </w:r>
          </w:p>
        </w:tc>
        <w:tc>
          <w:tcPr>
            <w:tcW w:w="619" w:type="pct"/>
            <w:tcBorders>
              <w:top w:val="nil"/>
              <w:left w:val="nil"/>
              <w:bottom w:val="nil"/>
              <w:right w:val="nil"/>
            </w:tcBorders>
          </w:tcPr>
          <w:p w14:paraId="44D409C9" w14:textId="77779D46"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.7564487</w:t>
            </w:r>
          </w:p>
        </w:tc>
        <w:tc>
          <w:tcPr>
            <w:tcW w:w="577" w:type="pct"/>
            <w:tcBorders>
              <w:top w:val="nil"/>
              <w:left w:val="nil"/>
              <w:bottom w:val="nil"/>
              <w:right w:val="nil"/>
            </w:tcBorders>
          </w:tcPr>
          <w:p w14:paraId="15883877" w14:textId="2BE11FB0"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0</w:t>
            </w:r>
          </w:p>
        </w:tc>
        <w:tc>
          <w:tcPr>
            <w:tcW w:w="574" w:type="pct"/>
            <w:tcBorders>
              <w:top w:val="nil"/>
              <w:left w:val="nil"/>
              <w:bottom w:val="nil"/>
              <w:right w:val="nil"/>
            </w:tcBorders>
          </w:tcPr>
          <w:p w14:paraId="25EAFBE8" w14:textId="13930F52"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6.129283</w:t>
            </w:r>
          </w:p>
        </w:tc>
      </w:tr>
      <w:tr w:rsidR="002B1C57" w:rsidRPr="00AD55AA" w14:paraId="09AD245F" w14:textId="77777777" w:rsidTr="00F040B2">
        <w:tc>
          <w:tcPr>
            <w:tcW w:w="1579" w:type="pct"/>
            <w:tcBorders>
              <w:top w:val="nil"/>
              <w:left w:val="nil"/>
              <w:bottom w:val="nil"/>
              <w:right w:val="nil"/>
            </w:tcBorders>
          </w:tcPr>
          <w:p w14:paraId="1107C24D" w14:textId="15C3A4AA" w:rsidR="002B1C57" w:rsidRPr="00AD55AA" w:rsidRDefault="002B1C57" w:rsidP="002B1C57">
            <w:pPr>
              <w:widowControl w:val="0"/>
              <w:autoSpaceDE w:val="0"/>
              <w:autoSpaceDN w:val="0"/>
              <w:adjustRightInd w:val="0"/>
              <w:rPr>
                <w:sz w:val="22"/>
                <w:szCs w:val="22"/>
                <w:highlight w:val="yellow"/>
              </w:rPr>
            </w:pPr>
            <w:r w:rsidRPr="00AD55AA">
              <w:rPr>
                <w:sz w:val="22"/>
                <w:szCs w:val="22"/>
              </w:rPr>
              <w:t>Size</w:t>
            </w:r>
          </w:p>
        </w:tc>
        <w:tc>
          <w:tcPr>
            <w:tcW w:w="455" w:type="pct"/>
            <w:tcBorders>
              <w:top w:val="nil"/>
              <w:left w:val="nil"/>
              <w:bottom w:val="nil"/>
              <w:right w:val="nil"/>
            </w:tcBorders>
          </w:tcPr>
          <w:p w14:paraId="71B5C0BD" w14:textId="019A5C4F" w:rsidR="002B1C57" w:rsidRPr="00AD55AA" w:rsidRDefault="002B1C57" w:rsidP="002B1C57">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64AFF869" w14:textId="4CDD945F"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5.538868</w:t>
            </w:r>
          </w:p>
        </w:tc>
        <w:tc>
          <w:tcPr>
            <w:tcW w:w="577" w:type="pct"/>
            <w:tcBorders>
              <w:top w:val="nil"/>
              <w:left w:val="nil"/>
              <w:bottom w:val="nil"/>
              <w:right w:val="nil"/>
            </w:tcBorders>
          </w:tcPr>
          <w:p w14:paraId="4DD9C7C2" w14:textId="55D43BF8"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5.744908</w:t>
            </w:r>
          </w:p>
        </w:tc>
        <w:tc>
          <w:tcPr>
            <w:tcW w:w="619" w:type="pct"/>
            <w:tcBorders>
              <w:top w:val="nil"/>
              <w:left w:val="nil"/>
              <w:bottom w:val="nil"/>
              <w:right w:val="nil"/>
            </w:tcBorders>
          </w:tcPr>
          <w:p w14:paraId="36D141BB" w14:textId="02ED7642"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2.720763</w:t>
            </w:r>
          </w:p>
        </w:tc>
        <w:tc>
          <w:tcPr>
            <w:tcW w:w="577" w:type="pct"/>
            <w:tcBorders>
              <w:top w:val="nil"/>
              <w:left w:val="nil"/>
              <w:bottom w:val="nil"/>
              <w:right w:val="nil"/>
            </w:tcBorders>
          </w:tcPr>
          <w:p w14:paraId="14D37E20" w14:textId="032560F4" w:rsidR="002B1C57" w:rsidRPr="00AD55AA" w:rsidRDefault="002B1C57" w:rsidP="002B1C57">
            <w:pPr>
              <w:widowControl w:val="0"/>
              <w:autoSpaceDE w:val="0"/>
              <w:autoSpaceDN w:val="0"/>
              <w:adjustRightInd w:val="0"/>
              <w:jc w:val="center"/>
              <w:rPr>
                <w:sz w:val="22"/>
                <w:szCs w:val="22"/>
                <w:highlight w:val="yellow"/>
              </w:rPr>
            </w:pPr>
            <w:r>
              <w:rPr>
                <w:sz w:val="22"/>
                <w:szCs w:val="22"/>
              </w:rPr>
              <w:t>-1.87731</w:t>
            </w:r>
          </w:p>
        </w:tc>
        <w:tc>
          <w:tcPr>
            <w:tcW w:w="574" w:type="pct"/>
            <w:tcBorders>
              <w:top w:val="nil"/>
              <w:left w:val="nil"/>
              <w:bottom w:val="nil"/>
              <w:right w:val="nil"/>
            </w:tcBorders>
          </w:tcPr>
          <w:p w14:paraId="109A4747" w14:textId="41D32C6B"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11.09755</w:t>
            </w:r>
          </w:p>
        </w:tc>
      </w:tr>
      <w:tr w:rsidR="002B1C57" w:rsidRPr="00AD55AA" w14:paraId="07FDAC29" w14:textId="77777777" w:rsidTr="00F040B2">
        <w:tc>
          <w:tcPr>
            <w:tcW w:w="1579" w:type="pct"/>
            <w:tcBorders>
              <w:top w:val="nil"/>
              <w:left w:val="nil"/>
              <w:bottom w:val="nil"/>
              <w:right w:val="nil"/>
            </w:tcBorders>
          </w:tcPr>
          <w:p w14:paraId="5258FF1E" w14:textId="3821C8BF" w:rsidR="002B1C57" w:rsidRPr="00AD55AA" w:rsidRDefault="002B1C57" w:rsidP="002B1C57">
            <w:pPr>
              <w:widowControl w:val="0"/>
              <w:autoSpaceDE w:val="0"/>
              <w:autoSpaceDN w:val="0"/>
              <w:adjustRightInd w:val="0"/>
              <w:rPr>
                <w:sz w:val="22"/>
                <w:szCs w:val="22"/>
                <w:highlight w:val="yellow"/>
              </w:rPr>
            </w:pPr>
            <w:r w:rsidRPr="00AD55AA">
              <w:rPr>
                <w:sz w:val="22"/>
                <w:szCs w:val="22"/>
              </w:rPr>
              <w:t>Tobin’s Q</w:t>
            </w:r>
          </w:p>
        </w:tc>
        <w:tc>
          <w:tcPr>
            <w:tcW w:w="455" w:type="pct"/>
            <w:tcBorders>
              <w:top w:val="nil"/>
              <w:left w:val="nil"/>
              <w:bottom w:val="nil"/>
              <w:right w:val="nil"/>
            </w:tcBorders>
          </w:tcPr>
          <w:p w14:paraId="3B3FFAFD" w14:textId="19D3E133" w:rsidR="002B1C57" w:rsidRPr="00AD55AA" w:rsidRDefault="002B1C57" w:rsidP="002B1C57">
            <w:pPr>
              <w:widowControl w:val="0"/>
              <w:autoSpaceDE w:val="0"/>
              <w:autoSpaceDN w:val="0"/>
              <w:adjustRightInd w:val="0"/>
              <w:jc w:val="center"/>
              <w:rPr>
                <w:sz w:val="22"/>
                <w:szCs w:val="22"/>
                <w:highlight w:val="yellow"/>
              </w:rPr>
            </w:pPr>
            <w:r w:rsidRPr="00AD55AA">
              <w:rPr>
                <w:sz w:val="22"/>
                <w:szCs w:val="22"/>
              </w:rPr>
              <w:t>41,918</w:t>
            </w:r>
          </w:p>
        </w:tc>
        <w:tc>
          <w:tcPr>
            <w:tcW w:w="619" w:type="pct"/>
            <w:tcBorders>
              <w:top w:val="nil"/>
              <w:left w:val="nil"/>
              <w:bottom w:val="nil"/>
              <w:right w:val="nil"/>
            </w:tcBorders>
          </w:tcPr>
          <w:p w14:paraId="208C94A1" w14:textId="26A17321"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4.702488</w:t>
            </w:r>
          </w:p>
        </w:tc>
        <w:tc>
          <w:tcPr>
            <w:tcW w:w="577" w:type="pct"/>
            <w:tcBorders>
              <w:top w:val="nil"/>
              <w:left w:val="nil"/>
              <w:bottom w:val="nil"/>
              <w:right w:val="nil"/>
            </w:tcBorders>
          </w:tcPr>
          <w:p w14:paraId="4C2E9A5C" w14:textId="66C913B2"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1.629396</w:t>
            </w:r>
          </w:p>
        </w:tc>
        <w:tc>
          <w:tcPr>
            <w:tcW w:w="619" w:type="pct"/>
            <w:tcBorders>
              <w:top w:val="nil"/>
              <w:left w:val="nil"/>
              <w:bottom w:val="nil"/>
              <w:right w:val="nil"/>
            </w:tcBorders>
          </w:tcPr>
          <w:p w14:paraId="32E4AC44" w14:textId="2EC1ABEF"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14.54697</w:t>
            </w:r>
          </w:p>
        </w:tc>
        <w:tc>
          <w:tcPr>
            <w:tcW w:w="577" w:type="pct"/>
            <w:tcBorders>
              <w:top w:val="nil"/>
              <w:left w:val="nil"/>
              <w:bottom w:val="nil"/>
              <w:right w:val="nil"/>
            </w:tcBorders>
          </w:tcPr>
          <w:p w14:paraId="09B17550" w14:textId="7C192805"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.5279381</w:t>
            </w:r>
          </w:p>
        </w:tc>
        <w:tc>
          <w:tcPr>
            <w:tcW w:w="574" w:type="pct"/>
            <w:tcBorders>
              <w:top w:val="nil"/>
              <w:left w:val="nil"/>
              <w:bottom w:val="nil"/>
              <w:right w:val="nil"/>
            </w:tcBorders>
          </w:tcPr>
          <w:p w14:paraId="77EE31E9" w14:textId="53DD5940" w:rsidR="002B1C57" w:rsidRPr="00AD55AA" w:rsidRDefault="002B1C57" w:rsidP="002B1C57">
            <w:pPr>
              <w:widowControl w:val="0"/>
              <w:autoSpaceDE w:val="0"/>
              <w:autoSpaceDN w:val="0"/>
              <w:adjustRightInd w:val="0"/>
              <w:jc w:val="center"/>
              <w:rPr>
                <w:sz w:val="22"/>
                <w:szCs w:val="22"/>
                <w:highlight w:val="yellow"/>
              </w:rPr>
            </w:pPr>
            <w:r w:rsidRPr="00ED0103">
              <w:rPr>
                <w:sz w:val="22"/>
                <w:szCs w:val="22"/>
              </w:rPr>
              <w:t>123.5122</w:t>
            </w:r>
          </w:p>
        </w:tc>
      </w:tr>
      <w:tr w:rsidR="00FE6F17" w:rsidRPr="00AD55AA" w14:paraId="2C61B990" w14:textId="77777777" w:rsidTr="00F040B2">
        <w:tc>
          <w:tcPr>
            <w:tcW w:w="1579" w:type="pct"/>
            <w:tcBorders>
              <w:top w:val="single" w:sz="4" w:space="0" w:color="auto"/>
              <w:left w:val="nil"/>
              <w:right w:val="nil"/>
            </w:tcBorders>
          </w:tcPr>
          <w:p w14:paraId="15F58D79" w14:textId="77777777" w:rsidR="00FE6F17" w:rsidRPr="00AD55AA" w:rsidRDefault="00FE6F17" w:rsidP="00FE6F17">
            <w:pPr>
              <w:widowControl w:val="0"/>
              <w:autoSpaceDE w:val="0"/>
              <w:autoSpaceDN w:val="0"/>
              <w:adjustRightInd w:val="0"/>
              <w:rPr>
                <w:sz w:val="22"/>
                <w:szCs w:val="22"/>
              </w:rPr>
            </w:pPr>
          </w:p>
        </w:tc>
        <w:tc>
          <w:tcPr>
            <w:tcW w:w="455" w:type="pct"/>
            <w:tcBorders>
              <w:top w:val="single" w:sz="4" w:space="0" w:color="auto"/>
              <w:left w:val="nil"/>
              <w:right w:val="nil"/>
            </w:tcBorders>
          </w:tcPr>
          <w:p w14:paraId="084114BB" w14:textId="77777777" w:rsidR="00FE6F17" w:rsidRPr="00AD55AA" w:rsidRDefault="00FE6F17" w:rsidP="00FE6F17">
            <w:pPr>
              <w:widowControl w:val="0"/>
              <w:autoSpaceDE w:val="0"/>
              <w:autoSpaceDN w:val="0"/>
              <w:adjustRightInd w:val="0"/>
              <w:jc w:val="center"/>
              <w:rPr>
                <w:sz w:val="22"/>
                <w:szCs w:val="22"/>
              </w:rPr>
            </w:pPr>
          </w:p>
        </w:tc>
        <w:tc>
          <w:tcPr>
            <w:tcW w:w="619" w:type="pct"/>
            <w:tcBorders>
              <w:top w:val="single" w:sz="4" w:space="0" w:color="auto"/>
              <w:left w:val="nil"/>
              <w:right w:val="nil"/>
            </w:tcBorders>
          </w:tcPr>
          <w:p w14:paraId="43C4FF22" w14:textId="77777777" w:rsidR="00FE6F17" w:rsidRPr="00AD55AA" w:rsidRDefault="00FE6F17" w:rsidP="00FE6F17">
            <w:pPr>
              <w:widowControl w:val="0"/>
              <w:autoSpaceDE w:val="0"/>
              <w:autoSpaceDN w:val="0"/>
              <w:adjustRightInd w:val="0"/>
              <w:jc w:val="center"/>
              <w:rPr>
                <w:sz w:val="22"/>
                <w:szCs w:val="22"/>
              </w:rPr>
            </w:pPr>
          </w:p>
        </w:tc>
        <w:tc>
          <w:tcPr>
            <w:tcW w:w="577" w:type="pct"/>
            <w:tcBorders>
              <w:top w:val="single" w:sz="4" w:space="0" w:color="auto"/>
              <w:left w:val="nil"/>
              <w:right w:val="nil"/>
            </w:tcBorders>
          </w:tcPr>
          <w:p w14:paraId="777C93D7" w14:textId="77777777" w:rsidR="00FE6F17" w:rsidRPr="00AD55AA" w:rsidRDefault="00FE6F17" w:rsidP="00FE6F17">
            <w:pPr>
              <w:widowControl w:val="0"/>
              <w:autoSpaceDE w:val="0"/>
              <w:autoSpaceDN w:val="0"/>
              <w:adjustRightInd w:val="0"/>
              <w:jc w:val="center"/>
              <w:rPr>
                <w:sz w:val="22"/>
                <w:szCs w:val="22"/>
              </w:rPr>
            </w:pPr>
          </w:p>
        </w:tc>
        <w:tc>
          <w:tcPr>
            <w:tcW w:w="619" w:type="pct"/>
            <w:tcBorders>
              <w:top w:val="single" w:sz="4" w:space="0" w:color="auto"/>
              <w:left w:val="nil"/>
              <w:right w:val="nil"/>
            </w:tcBorders>
          </w:tcPr>
          <w:p w14:paraId="01408CCE" w14:textId="77777777" w:rsidR="00FE6F17" w:rsidRPr="00AD55AA" w:rsidRDefault="00FE6F17" w:rsidP="00FE6F17">
            <w:pPr>
              <w:widowControl w:val="0"/>
              <w:autoSpaceDE w:val="0"/>
              <w:autoSpaceDN w:val="0"/>
              <w:adjustRightInd w:val="0"/>
              <w:jc w:val="center"/>
              <w:rPr>
                <w:sz w:val="22"/>
                <w:szCs w:val="22"/>
              </w:rPr>
            </w:pPr>
          </w:p>
        </w:tc>
        <w:tc>
          <w:tcPr>
            <w:tcW w:w="577" w:type="pct"/>
            <w:tcBorders>
              <w:top w:val="single" w:sz="4" w:space="0" w:color="auto"/>
              <w:left w:val="nil"/>
              <w:right w:val="nil"/>
            </w:tcBorders>
          </w:tcPr>
          <w:p w14:paraId="24666B51" w14:textId="77777777" w:rsidR="00FE6F17" w:rsidRPr="00AD55AA" w:rsidRDefault="00FE6F17" w:rsidP="00FE6F17">
            <w:pPr>
              <w:widowControl w:val="0"/>
              <w:autoSpaceDE w:val="0"/>
              <w:autoSpaceDN w:val="0"/>
              <w:adjustRightInd w:val="0"/>
              <w:jc w:val="center"/>
              <w:rPr>
                <w:sz w:val="22"/>
                <w:szCs w:val="22"/>
              </w:rPr>
            </w:pPr>
          </w:p>
        </w:tc>
        <w:tc>
          <w:tcPr>
            <w:tcW w:w="574" w:type="pct"/>
            <w:tcBorders>
              <w:top w:val="single" w:sz="4" w:space="0" w:color="auto"/>
              <w:left w:val="nil"/>
              <w:right w:val="nil"/>
            </w:tcBorders>
          </w:tcPr>
          <w:p w14:paraId="082FC9EA" w14:textId="77777777" w:rsidR="00FE6F17" w:rsidRPr="00AD55AA" w:rsidRDefault="00FE6F17" w:rsidP="00FE6F17">
            <w:pPr>
              <w:widowControl w:val="0"/>
              <w:autoSpaceDE w:val="0"/>
              <w:autoSpaceDN w:val="0"/>
              <w:adjustRightInd w:val="0"/>
              <w:jc w:val="center"/>
              <w:rPr>
                <w:sz w:val="22"/>
                <w:szCs w:val="22"/>
              </w:rPr>
            </w:pPr>
          </w:p>
        </w:tc>
      </w:tr>
      <w:tr w:rsidR="00C71E3B" w:rsidRPr="00AD55AA" w14:paraId="0F49F5AF" w14:textId="77777777" w:rsidTr="00C71E3B">
        <w:trPr>
          <w:trHeight w:val="506"/>
        </w:trPr>
        <w:tc>
          <w:tcPr>
            <w:tcW w:w="5000" w:type="pct"/>
            <w:gridSpan w:val="7"/>
            <w:tcBorders>
              <w:left w:val="nil"/>
              <w:right w:val="nil"/>
            </w:tcBorders>
          </w:tcPr>
          <w:p w14:paraId="78527B1D" w14:textId="1D63E85C" w:rsidR="00C71E3B" w:rsidRPr="00AD55AA" w:rsidRDefault="00C71E3B" w:rsidP="00C71E3B">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 </w:t>
            </w:r>
            <w:r w:rsidRPr="00AD55AA">
              <w:rPr>
                <w:bCs/>
                <w:sz w:val="22"/>
                <w:szCs w:val="22"/>
              </w:rPr>
              <w:t>the d</w:t>
            </w:r>
            <w:r w:rsidRPr="00AD55AA">
              <w:rPr>
                <w:sz w:val="22"/>
                <w:szCs w:val="22"/>
              </w:rPr>
              <w:t xml:space="preserve">escriptive statistics for the sample of 41,918 firm-year observations (6,392 unique firms) over the period from 2008 to 2019. </w:t>
            </w:r>
            <w:r>
              <w:rPr>
                <w:sz w:val="22"/>
                <w:szCs w:val="22"/>
              </w:rPr>
              <w:t>The s</w:t>
            </w:r>
            <w:r w:rsidRPr="00AD55AA">
              <w:rPr>
                <w:sz w:val="22"/>
                <w:szCs w:val="22"/>
              </w:rPr>
              <w:t>ample consists of U</w:t>
            </w:r>
            <w:r w:rsidR="008A3E91">
              <w:rPr>
                <w:sz w:val="22"/>
                <w:szCs w:val="22"/>
              </w:rPr>
              <w:t>.</w:t>
            </w:r>
            <w:r w:rsidRPr="00AD55AA">
              <w:rPr>
                <w:sz w:val="22"/>
                <w:szCs w:val="22"/>
              </w:rPr>
              <w:t>S</w:t>
            </w:r>
            <w:r w:rsidR="008A3E91">
              <w:rPr>
                <w:sz w:val="22"/>
                <w:szCs w:val="22"/>
              </w:rPr>
              <w:t>.</w:t>
            </w:r>
            <w:r w:rsidRPr="00AD55AA">
              <w:rPr>
                <w:sz w:val="22"/>
                <w:szCs w:val="22"/>
              </w:rPr>
              <w:t xml:space="preserve"> incorporated listed nonfinancial firms. Financial data are collected from Compustat. Please refer to Appendix C for variable definitions.</w:t>
            </w:r>
          </w:p>
        </w:tc>
      </w:tr>
    </w:tbl>
    <w:p w14:paraId="166D6578" w14:textId="544A94CF" w:rsidR="00245A4A" w:rsidRPr="00AD55AA" w:rsidRDefault="00245A4A" w:rsidP="00245A4A">
      <w:pPr>
        <w:rPr>
          <w:sz w:val="22"/>
          <w:szCs w:val="22"/>
        </w:rPr>
      </w:pPr>
    </w:p>
    <w:p w14:paraId="7DDA77F8" w14:textId="77777777" w:rsidR="00245A4A" w:rsidRPr="00AD55AA" w:rsidRDefault="00245A4A" w:rsidP="00245A4A">
      <w:pPr>
        <w:rPr>
          <w:sz w:val="22"/>
          <w:szCs w:val="22"/>
        </w:rPr>
      </w:pPr>
      <w:r w:rsidRPr="00AD55AA">
        <w:rPr>
          <w:sz w:val="22"/>
          <w:szCs w:val="22"/>
        </w:rPr>
        <w:br w:type="page"/>
      </w:r>
    </w:p>
    <w:p w14:paraId="1BF94113" w14:textId="022C6ECD" w:rsidR="002A16E2" w:rsidRPr="00AD55AA" w:rsidRDefault="002A16E2" w:rsidP="00245A4A">
      <w:pPr>
        <w:rPr>
          <w:sz w:val="22"/>
          <w:szCs w:val="22"/>
        </w:rPr>
      </w:pPr>
    </w:p>
    <w:tbl>
      <w:tblPr>
        <w:tblW w:w="0" w:type="auto"/>
        <w:tblLook w:val="0000" w:firstRow="0" w:lastRow="0" w:firstColumn="0" w:lastColumn="0" w:noHBand="0" w:noVBand="0"/>
      </w:tblPr>
      <w:tblGrid>
        <w:gridCol w:w="1409"/>
        <w:gridCol w:w="283"/>
        <w:gridCol w:w="717"/>
        <w:gridCol w:w="717"/>
        <w:gridCol w:w="717"/>
        <w:gridCol w:w="717"/>
        <w:gridCol w:w="717"/>
        <w:gridCol w:w="359"/>
        <w:gridCol w:w="359"/>
        <w:gridCol w:w="717"/>
        <w:gridCol w:w="717"/>
        <w:gridCol w:w="717"/>
        <w:gridCol w:w="699"/>
        <w:gridCol w:w="222"/>
      </w:tblGrid>
      <w:tr w:rsidR="00A850E8" w:rsidRPr="00A850E8" w14:paraId="6402D69B" w14:textId="77777777" w:rsidTr="00A850E8">
        <w:trPr>
          <w:gridAfter w:val="1"/>
        </w:trPr>
        <w:tc>
          <w:tcPr>
            <w:tcW w:w="0" w:type="auto"/>
            <w:gridSpan w:val="3"/>
            <w:tcBorders>
              <w:left w:val="nil"/>
              <w:right w:val="nil"/>
            </w:tcBorders>
          </w:tcPr>
          <w:p w14:paraId="2481AB25" w14:textId="2B53D618" w:rsidR="00EB62CE" w:rsidRPr="00A850E8" w:rsidRDefault="00EB62CE" w:rsidP="00377D86">
            <w:pPr>
              <w:widowControl w:val="0"/>
              <w:autoSpaceDE w:val="0"/>
              <w:autoSpaceDN w:val="0"/>
              <w:adjustRightInd w:val="0"/>
              <w:jc w:val="both"/>
              <w:rPr>
                <w:sz w:val="22"/>
                <w:szCs w:val="16"/>
              </w:rPr>
            </w:pPr>
            <w:r w:rsidRPr="00A850E8">
              <w:rPr>
                <w:b/>
                <w:sz w:val="22"/>
                <w:szCs w:val="16"/>
              </w:rPr>
              <w:t xml:space="preserve">Table </w:t>
            </w:r>
            <w:r w:rsidRPr="00A850E8">
              <w:rPr>
                <w:b/>
                <w:bCs/>
                <w:sz w:val="22"/>
                <w:szCs w:val="16"/>
              </w:rPr>
              <w:t>3</w:t>
            </w:r>
            <w:r w:rsidRPr="00A850E8">
              <w:rPr>
                <w:b/>
                <w:sz w:val="22"/>
                <w:szCs w:val="16"/>
              </w:rPr>
              <w:t xml:space="preserve"> – Panel B</w:t>
            </w:r>
          </w:p>
        </w:tc>
        <w:tc>
          <w:tcPr>
            <w:tcW w:w="0" w:type="auto"/>
            <w:tcBorders>
              <w:left w:val="nil"/>
              <w:right w:val="nil"/>
            </w:tcBorders>
          </w:tcPr>
          <w:p w14:paraId="1D8F791E" w14:textId="77777777" w:rsidR="00EB62CE" w:rsidRPr="00A850E8" w:rsidRDefault="00EB62CE" w:rsidP="00AB6C46">
            <w:pPr>
              <w:widowControl w:val="0"/>
              <w:autoSpaceDE w:val="0"/>
              <w:autoSpaceDN w:val="0"/>
              <w:adjustRightInd w:val="0"/>
              <w:jc w:val="right"/>
              <w:rPr>
                <w:sz w:val="22"/>
                <w:szCs w:val="16"/>
              </w:rPr>
            </w:pPr>
          </w:p>
        </w:tc>
        <w:tc>
          <w:tcPr>
            <w:tcW w:w="0" w:type="auto"/>
            <w:tcBorders>
              <w:left w:val="nil"/>
              <w:right w:val="nil"/>
            </w:tcBorders>
          </w:tcPr>
          <w:p w14:paraId="2426431A" w14:textId="77777777" w:rsidR="00EB62CE" w:rsidRPr="00A850E8" w:rsidRDefault="00EB62CE" w:rsidP="00AB6C46">
            <w:pPr>
              <w:widowControl w:val="0"/>
              <w:autoSpaceDE w:val="0"/>
              <w:autoSpaceDN w:val="0"/>
              <w:adjustRightInd w:val="0"/>
              <w:jc w:val="right"/>
              <w:rPr>
                <w:sz w:val="22"/>
                <w:szCs w:val="16"/>
              </w:rPr>
            </w:pPr>
          </w:p>
        </w:tc>
        <w:tc>
          <w:tcPr>
            <w:tcW w:w="0" w:type="auto"/>
            <w:tcBorders>
              <w:left w:val="nil"/>
              <w:right w:val="nil"/>
            </w:tcBorders>
          </w:tcPr>
          <w:p w14:paraId="6AE8EFB2" w14:textId="77777777" w:rsidR="00EB62CE" w:rsidRPr="00A850E8" w:rsidRDefault="00EB62CE" w:rsidP="00AB6C46">
            <w:pPr>
              <w:widowControl w:val="0"/>
              <w:autoSpaceDE w:val="0"/>
              <w:autoSpaceDN w:val="0"/>
              <w:adjustRightInd w:val="0"/>
              <w:jc w:val="right"/>
              <w:rPr>
                <w:sz w:val="16"/>
                <w:szCs w:val="16"/>
              </w:rPr>
            </w:pPr>
          </w:p>
        </w:tc>
        <w:tc>
          <w:tcPr>
            <w:tcW w:w="0" w:type="auto"/>
            <w:gridSpan w:val="2"/>
            <w:tcBorders>
              <w:left w:val="nil"/>
              <w:right w:val="nil"/>
            </w:tcBorders>
          </w:tcPr>
          <w:p w14:paraId="054062CC" w14:textId="77777777" w:rsidR="00EB62CE" w:rsidRPr="00A850E8" w:rsidRDefault="00EB62CE" w:rsidP="00AB6C46">
            <w:pPr>
              <w:widowControl w:val="0"/>
              <w:autoSpaceDE w:val="0"/>
              <w:autoSpaceDN w:val="0"/>
              <w:adjustRightInd w:val="0"/>
              <w:jc w:val="right"/>
              <w:rPr>
                <w:sz w:val="16"/>
                <w:szCs w:val="16"/>
              </w:rPr>
            </w:pPr>
          </w:p>
        </w:tc>
        <w:tc>
          <w:tcPr>
            <w:tcW w:w="0" w:type="auto"/>
            <w:gridSpan w:val="2"/>
            <w:tcBorders>
              <w:left w:val="nil"/>
              <w:right w:val="nil"/>
            </w:tcBorders>
          </w:tcPr>
          <w:p w14:paraId="121AEB94" w14:textId="77777777" w:rsidR="00EB62CE" w:rsidRPr="00A850E8" w:rsidRDefault="00EB62CE" w:rsidP="00AB6C46">
            <w:pPr>
              <w:widowControl w:val="0"/>
              <w:autoSpaceDE w:val="0"/>
              <w:autoSpaceDN w:val="0"/>
              <w:adjustRightInd w:val="0"/>
              <w:jc w:val="right"/>
              <w:rPr>
                <w:sz w:val="16"/>
                <w:szCs w:val="16"/>
              </w:rPr>
            </w:pPr>
          </w:p>
        </w:tc>
        <w:tc>
          <w:tcPr>
            <w:tcW w:w="0" w:type="auto"/>
            <w:tcBorders>
              <w:left w:val="nil"/>
              <w:right w:val="nil"/>
            </w:tcBorders>
          </w:tcPr>
          <w:p w14:paraId="2DCC3A79" w14:textId="77777777" w:rsidR="00EB62CE" w:rsidRPr="00A850E8" w:rsidRDefault="00EB62CE" w:rsidP="00AB6C46">
            <w:pPr>
              <w:widowControl w:val="0"/>
              <w:autoSpaceDE w:val="0"/>
              <w:autoSpaceDN w:val="0"/>
              <w:adjustRightInd w:val="0"/>
              <w:jc w:val="right"/>
              <w:rPr>
                <w:sz w:val="16"/>
                <w:szCs w:val="16"/>
              </w:rPr>
            </w:pPr>
          </w:p>
        </w:tc>
        <w:tc>
          <w:tcPr>
            <w:tcW w:w="0" w:type="auto"/>
            <w:tcBorders>
              <w:left w:val="nil"/>
              <w:right w:val="nil"/>
            </w:tcBorders>
          </w:tcPr>
          <w:p w14:paraId="0EEC0628" w14:textId="77777777" w:rsidR="00EB62CE" w:rsidRPr="00A850E8" w:rsidRDefault="00EB62CE" w:rsidP="00AB6C46">
            <w:pPr>
              <w:widowControl w:val="0"/>
              <w:autoSpaceDE w:val="0"/>
              <w:autoSpaceDN w:val="0"/>
              <w:adjustRightInd w:val="0"/>
              <w:jc w:val="right"/>
              <w:rPr>
                <w:sz w:val="16"/>
                <w:szCs w:val="16"/>
              </w:rPr>
            </w:pPr>
          </w:p>
        </w:tc>
        <w:tc>
          <w:tcPr>
            <w:tcW w:w="0" w:type="auto"/>
            <w:tcBorders>
              <w:left w:val="nil"/>
              <w:right w:val="nil"/>
            </w:tcBorders>
          </w:tcPr>
          <w:p w14:paraId="0FB4E9FA" w14:textId="77777777" w:rsidR="00EB62CE" w:rsidRPr="00A850E8" w:rsidRDefault="00EB62CE" w:rsidP="00AB6C46">
            <w:pPr>
              <w:widowControl w:val="0"/>
              <w:autoSpaceDE w:val="0"/>
              <w:autoSpaceDN w:val="0"/>
              <w:adjustRightInd w:val="0"/>
              <w:jc w:val="right"/>
              <w:rPr>
                <w:sz w:val="16"/>
                <w:szCs w:val="16"/>
              </w:rPr>
            </w:pPr>
          </w:p>
        </w:tc>
      </w:tr>
      <w:tr w:rsidR="00A850E8" w:rsidRPr="00A850E8" w14:paraId="31D9C19A" w14:textId="77777777" w:rsidTr="00A850E8">
        <w:trPr>
          <w:gridAfter w:val="1"/>
        </w:trPr>
        <w:tc>
          <w:tcPr>
            <w:tcW w:w="0" w:type="auto"/>
            <w:gridSpan w:val="5"/>
            <w:tcBorders>
              <w:left w:val="nil"/>
              <w:right w:val="nil"/>
            </w:tcBorders>
          </w:tcPr>
          <w:p w14:paraId="38DFC226" w14:textId="4E4DC5A9" w:rsidR="00EB62CE" w:rsidRPr="00A850E8" w:rsidRDefault="00EB62CE" w:rsidP="006D448C">
            <w:pPr>
              <w:widowControl w:val="0"/>
              <w:autoSpaceDE w:val="0"/>
              <w:autoSpaceDN w:val="0"/>
              <w:adjustRightInd w:val="0"/>
              <w:jc w:val="both"/>
              <w:rPr>
                <w:sz w:val="22"/>
                <w:szCs w:val="16"/>
              </w:rPr>
            </w:pPr>
            <w:r w:rsidRPr="00A850E8">
              <w:rPr>
                <w:b/>
                <w:sz w:val="22"/>
                <w:szCs w:val="16"/>
              </w:rPr>
              <w:t>Correlation matrix</w:t>
            </w:r>
          </w:p>
        </w:tc>
        <w:tc>
          <w:tcPr>
            <w:tcW w:w="0" w:type="auto"/>
            <w:tcBorders>
              <w:left w:val="nil"/>
              <w:right w:val="nil"/>
            </w:tcBorders>
          </w:tcPr>
          <w:p w14:paraId="7B2800FF" w14:textId="77777777" w:rsidR="00EB62CE" w:rsidRPr="00A850E8" w:rsidRDefault="00EB62CE" w:rsidP="00AB6C46">
            <w:pPr>
              <w:widowControl w:val="0"/>
              <w:autoSpaceDE w:val="0"/>
              <w:autoSpaceDN w:val="0"/>
              <w:adjustRightInd w:val="0"/>
              <w:jc w:val="right"/>
              <w:rPr>
                <w:sz w:val="16"/>
                <w:szCs w:val="16"/>
              </w:rPr>
            </w:pPr>
          </w:p>
        </w:tc>
        <w:tc>
          <w:tcPr>
            <w:tcW w:w="0" w:type="auto"/>
            <w:gridSpan w:val="2"/>
            <w:tcBorders>
              <w:left w:val="nil"/>
              <w:right w:val="nil"/>
            </w:tcBorders>
          </w:tcPr>
          <w:p w14:paraId="48BB24A2" w14:textId="77777777" w:rsidR="00EB62CE" w:rsidRPr="00A850E8" w:rsidRDefault="00EB62CE" w:rsidP="00AB6C46">
            <w:pPr>
              <w:widowControl w:val="0"/>
              <w:autoSpaceDE w:val="0"/>
              <w:autoSpaceDN w:val="0"/>
              <w:adjustRightInd w:val="0"/>
              <w:jc w:val="right"/>
              <w:rPr>
                <w:sz w:val="16"/>
                <w:szCs w:val="16"/>
              </w:rPr>
            </w:pPr>
          </w:p>
        </w:tc>
        <w:tc>
          <w:tcPr>
            <w:tcW w:w="0" w:type="auto"/>
            <w:gridSpan w:val="2"/>
            <w:tcBorders>
              <w:left w:val="nil"/>
              <w:right w:val="nil"/>
            </w:tcBorders>
          </w:tcPr>
          <w:p w14:paraId="4E792734" w14:textId="77777777" w:rsidR="00EB62CE" w:rsidRPr="00A850E8" w:rsidRDefault="00EB62CE" w:rsidP="00AB6C46">
            <w:pPr>
              <w:widowControl w:val="0"/>
              <w:autoSpaceDE w:val="0"/>
              <w:autoSpaceDN w:val="0"/>
              <w:adjustRightInd w:val="0"/>
              <w:jc w:val="right"/>
              <w:rPr>
                <w:sz w:val="16"/>
                <w:szCs w:val="16"/>
              </w:rPr>
            </w:pPr>
          </w:p>
        </w:tc>
        <w:tc>
          <w:tcPr>
            <w:tcW w:w="0" w:type="auto"/>
            <w:tcBorders>
              <w:left w:val="nil"/>
              <w:right w:val="nil"/>
            </w:tcBorders>
          </w:tcPr>
          <w:p w14:paraId="18E1D341" w14:textId="77777777" w:rsidR="00EB62CE" w:rsidRPr="00A850E8" w:rsidRDefault="00EB62CE" w:rsidP="00AB6C46">
            <w:pPr>
              <w:widowControl w:val="0"/>
              <w:autoSpaceDE w:val="0"/>
              <w:autoSpaceDN w:val="0"/>
              <w:adjustRightInd w:val="0"/>
              <w:jc w:val="right"/>
              <w:rPr>
                <w:sz w:val="16"/>
                <w:szCs w:val="16"/>
              </w:rPr>
            </w:pPr>
          </w:p>
        </w:tc>
        <w:tc>
          <w:tcPr>
            <w:tcW w:w="0" w:type="auto"/>
            <w:tcBorders>
              <w:left w:val="nil"/>
              <w:right w:val="nil"/>
            </w:tcBorders>
          </w:tcPr>
          <w:p w14:paraId="2A722487" w14:textId="77777777" w:rsidR="00EB62CE" w:rsidRPr="00A850E8" w:rsidRDefault="00EB62CE" w:rsidP="00AB6C46">
            <w:pPr>
              <w:widowControl w:val="0"/>
              <w:autoSpaceDE w:val="0"/>
              <w:autoSpaceDN w:val="0"/>
              <w:adjustRightInd w:val="0"/>
              <w:jc w:val="right"/>
              <w:rPr>
                <w:sz w:val="16"/>
                <w:szCs w:val="16"/>
              </w:rPr>
            </w:pPr>
          </w:p>
        </w:tc>
        <w:tc>
          <w:tcPr>
            <w:tcW w:w="0" w:type="auto"/>
            <w:tcBorders>
              <w:left w:val="nil"/>
              <w:right w:val="nil"/>
            </w:tcBorders>
          </w:tcPr>
          <w:p w14:paraId="77F0268E" w14:textId="77777777" w:rsidR="00EB62CE" w:rsidRPr="00A850E8" w:rsidRDefault="00EB62CE" w:rsidP="00AB6C46">
            <w:pPr>
              <w:widowControl w:val="0"/>
              <w:autoSpaceDE w:val="0"/>
              <w:autoSpaceDN w:val="0"/>
              <w:adjustRightInd w:val="0"/>
              <w:jc w:val="right"/>
              <w:rPr>
                <w:sz w:val="16"/>
                <w:szCs w:val="16"/>
              </w:rPr>
            </w:pPr>
          </w:p>
        </w:tc>
      </w:tr>
      <w:tr w:rsidR="00A850E8" w:rsidRPr="00A850E8" w14:paraId="57ACF355" w14:textId="77777777" w:rsidTr="00A850E8">
        <w:trPr>
          <w:gridAfter w:val="1"/>
        </w:trPr>
        <w:tc>
          <w:tcPr>
            <w:tcW w:w="0" w:type="auto"/>
            <w:gridSpan w:val="5"/>
            <w:tcBorders>
              <w:left w:val="nil"/>
              <w:right w:val="nil"/>
            </w:tcBorders>
          </w:tcPr>
          <w:p w14:paraId="1F2FB454" w14:textId="77777777" w:rsidR="009E2A78" w:rsidRPr="00A850E8" w:rsidRDefault="009E2A78" w:rsidP="006D448C">
            <w:pPr>
              <w:widowControl w:val="0"/>
              <w:autoSpaceDE w:val="0"/>
              <w:autoSpaceDN w:val="0"/>
              <w:adjustRightInd w:val="0"/>
              <w:jc w:val="both"/>
              <w:rPr>
                <w:b/>
                <w:sz w:val="16"/>
                <w:szCs w:val="16"/>
              </w:rPr>
            </w:pPr>
          </w:p>
        </w:tc>
        <w:tc>
          <w:tcPr>
            <w:tcW w:w="0" w:type="auto"/>
            <w:tcBorders>
              <w:left w:val="nil"/>
              <w:right w:val="nil"/>
            </w:tcBorders>
          </w:tcPr>
          <w:p w14:paraId="0425C406" w14:textId="77777777" w:rsidR="009E2A78" w:rsidRPr="00A850E8" w:rsidRDefault="009E2A78" w:rsidP="00AB6C46">
            <w:pPr>
              <w:widowControl w:val="0"/>
              <w:autoSpaceDE w:val="0"/>
              <w:autoSpaceDN w:val="0"/>
              <w:adjustRightInd w:val="0"/>
              <w:jc w:val="right"/>
              <w:rPr>
                <w:sz w:val="16"/>
                <w:szCs w:val="16"/>
              </w:rPr>
            </w:pPr>
          </w:p>
        </w:tc>
        <w:tc>
          <w:tcPr>
            <w:tcW w:w="0" w:type="auto"/>
            <w:gridSpan w:val="2"/>
            <w:tcBorders>
              <w:left w:val="nil"/>
              <w:right w:val="nil"/>
            </w:tcBorders>
          </w:tcPr>
          <w:p w14:paraId="37DDD4ED" w14:textId="77777777" w:rsidR="009E2A78" w:rsidRPr="00A850E8" w:rsidRDefault="009E2A78" w:rsidP="00AB6C46">
            <w:pPr>
              <w:widowControl w:val="0"/>
              <w:autoSpaceDE w:val="0"/>
              <w:autoSpaceDN w:val="0"/>
              <w:adjustRightInd w:val="0"/>
              <w:jc w:val="right"/>
              <w:rPr>
                <w:sz w:val="16"/>
                <w:szCs w:val="16"/>
              </w:rPr>
            </w:pPr>
          </w:p>
        </w:tc>
        <w:tc>
          <w:tcPr>
            <w:tcW w:w="0" w:type="auto"/>
            <w:gridSpan w:val="2"/>
            <w:tcBorders>
              <w:left w:val="nil"/>
              <w:right w:val="nil"/>
            </w:tcBorders>
          </w:tcPr>
          <w:p w14:paraId="543E4B28" w14:textId="77777777" w:rsidR="009E2A78" w:rsidRPr="00A850E8" w:rsidRDefault="009E2A78" w:rsidP="00AB6C46">
            <w:pPr>
              <w:widowControl w:val="0"/>
              <w:autoSpaceDE w:val="0"/>
              <w:autoSpaceDN w:val="0"/>
              <w:adjustRightInd w:val="0"/>
              <w:jc w:val="right"/>
              <w:rPr>
                <w:sz w:val="16"/>
                <w:szCs w:val="16"/>
              </w:rPr>
            </w:pPr>
          </w:p>
        </w:tc>
        <w:tc>
          <w:tcPr>
            <w:tcW w:w="0" w:type="auto"/>
            <w:tcBorders>
              <w:left w:val="nil"/>
              <w:right w:val="nil"/>
            </w:tcBorders>
          </w:tcPr>
          <w:p w14:paraId="74D62D2C" w14:textId="77777777" w:rsidR="009E2A78" w:rsidRPr="00A850E8" w:rsidRDefault="009E2A78" w:rsidP="00AB6C46">
            <w:pPr>
              <w:widowControl w:val="0"/>
              <w:autoSpaceDE w:val="0"/>
              <w:autoSpaceDN w:val="0"/>
              <w:adjustRightInd w:val="0"/>
              <w:jc w:val="right"/>
              <w:rPr>
                <w:sz w:val="16"/>
                <w:szCs w:val="16"/>
              </w:rPr>
            </w:pPr>
          </w:p>
        </w:tc>
        <w:tc>
          <w:tcPr>
            <w:tcW w:w="0" w:type="auto"/>
            <w:tcBorders>
              <w:left w:val="nil"/>
              <w:right w:val="nil"/>
            </w:tcBorders>
          </w:tcPr>
          <w:p w14:paraId="578FE38C" w14:textId="77777777" w:rsidR="009E2A78" w:rsidRPr="00A850E8" w:rsidRDefault="009E2A78" w:rsidP="00AB6C46">
            <w:pPr>
              <w:widowControl w:val="0"/>
              <w:autoSpaceDE w:val="0"/>
              <w:autoSpaceDN w:val="0"/>
              <w:adjustRightInd w:val="0"/>
              <w:jc w:val="right"/>
              <w:rPr>
                <w:sz w:val="16"/>
                <w:szCs w:val="16"/>
              </w:rPr>
            </w:pPr>
          </w:p>
        </w:tc>
        <w:tc>
          <w:tcPr>
            <w:tcW w:w="0" w:type="auto"/>
            <w:tcBorders>
              <w:left w:val="nil"/>
              <w:right w:val="nil"/>
            </w:tcBorders>
          </w:tcPr>
          <w:p w14:paraId="461967B9" w14:textId="77777777" w:rsidR="009E2A78" w:rsidRPr="00A850E8" w:rsidRDefault="009E2A78" w:rsidP="00AB6C46">
            <w:pPr>
              <w:widowControl w:val="0"/>
              <w:autoSpaceDE w:val="0"/>
              <w:autoSpaceDN w:val="0"/>
              <w:adjustRightInd w:val="0"/>
              <w:jc w:val="right"/>
              <w:rPr>
                <w:sz w:val="16"/>
                <w:szCs w:val="16"/>
              </w:rPr>
            </w:pPr>
          </w:p>
        </w:tc>
      </w:tr>
      <w:tr w:rsidR="00143CDD" w:rsidRPr="00A850E8" w14:paraId="0DBDF4EC" w14:textId="33101CF5" w:rsidTr="00A850E8">
        <w:tc>
          <w:tcPr>
            <w:tcW w:w="0" w:type="auto"/>
            <w:tcBorders>
              <w:top w:val="single" w:sz="4" w:space="0" w:color="auto"/>
              <w:left w:val="nil"/>
              <w:bottom w:val="single" w:sz="6" w:space="0" w:color="auto"/>
              <w:right w:val="nil"/>
            </w:tcBorders>
          </w:tcPr>
          <w:p w14:paraId="7D32E38D" w14:textId="77777777" w:rsidR="00143CDD" w:rsidRPr="00A850E8" w:rsidRDefault="00143CDD" w:rsidP="00143CDD">
            <w:pPr>
              <w:widowControl w:val="0"/>
              <w:autoSpaceDE w:val="0"/>
              <w:autoSpaceDN w:val="0"/>
              <w:adjustRightInd w:val="0"/>
              <w:rPr>
                <w:sz w:val="16"/>
                <w:szCs w:val="16"/>
              </w:rPr>
            </w:pPr>
            <w:r w:rsidRPr="00A850E8">
              <w:rPr>
                <w:sz w:val="16"/>
                <w:szCs w:val="16"/>
              </w:rPr>
              <w:t>Variables</w:t>
            </w:r>
          </w:p>
        </w:tc>
        <w:tc>
          <w:tcPr>
            <w:tcW w:w="0" w:type="auto"/>
            <w:tcBorders>
              <w:top w:val="single" w:sz="4" w:space="0" w:color="auto"/>
              <w:left w:val="nil"/>
              <w:bottom w:val="single" w:sz="6" w:space="0" w:color="auto"/>
              <w:right w:val="nil"/>
            </w:tcBorders>
          </w:tcPr>
          <w:p w14:paraId="245081E0" w14:textId="2E307331"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bottom w:val="single" w:sz="6" w:space="0" w:color="auto"/>
              <w:right w:val="nil"/>
            </w:tcBorders>
          </w:tcPr>
          <w:p w14:paraId="3F932659" w14:textId="44436FD3" w:rsidR="00143CDD" w:rsidRPr="00A850E8" w:rsidRDefault="00143CDD" w:rsidP="00143CDD">
            <w:pPr>
              <w:widowControl w:val="0"/>
              <w:autoSpaceDE w:val="0"/>
              <w:autoSpaceDN w:val="0"/>
              <w:adjustRightInd w:val="0"/>
              <w:jc w:val="right"/>
              <w:rPr>
                <w:sz w:val="16"/>
                <w:szCs w:val="16"/>
              </w:rPr>
            </w:pPr>
            <w:r w:rsidRPr="00A850E8">
              <w:rPr>
                <w:sz w:val="16"/>
                <w:szCs w:val="16"/>
              </w:rPr>
              <w:t>(1)</w:t>
            </w:r>
          </w:p>
        </w:tc>
        <w:tc>
          <w:tcPr>
            <w:tcW w:w="0" w:type="auto"/>
            <w:tcBorders>
              <w:top w:val="single" w:sz="4" w:space="0" w:color="auto"/>
              <w:left w:val="nil"/>
              <w:bottom w:val="single" w:sz="6" w:space="0" w:color="auto"/>
              <w:right w:val="nil"/>
            </w:tcBorders>
          </w:tcPr>
          <w:p w14:paraId="0B32F21C" w14:textId="6A25DDC6" w:rsidR="00143CDD" w:rsidRPr="00A850E8" w:rsidRDefault="00143CDD" w:rsidP="00143CDD">
            <w:pPr>
              <w:widowControl w:val="0"/>
              <w:autoSpaceDE w:val="0"/>
              <w:autoSpaceDN w:val="0"/>
              <w:adjustRightInd w:val="0"/>
              <w:jc w:val="right"/>
              <w:rPr>
                <w:sz w:val="16"/>
                <w:szCs w:val="16"/>
              </w:rPr>
            </w:pPr>
            <w:r w:rsidRPr="00A850E8">
              <w:rPr>
                <w:sz w:val="16"/>
                <w:szCs w:val="16"/>
              </w:rPr>
              <w:t>(2)</w:t>
            </w:r>
          </w:p>
        </w:tc>
        <w:tc>
          <w:tcPr>
            <w:tcW w:w="0" w:type="auto"/>
            <w:tcBorders>
              <w:top w:val="single" w:sz="4" w:space="0" w:color="auto"/>
              <w:left w:val="nil"/>
              <w:bottom w:val="single" w:sz="6" w:space="0" w:color="auto"/>
              <w:right w:val="nil"/>
            </w:tcBorders>
          </w:tcPr>
          <w:p w14:paraId="3C7EE47A" w14:textId="49B9D2E4" w:rsidR="00143CDD" w:rsidRPr="00A850E8" w:rsidRDefault="00143CDD" w:rsidP="00143CDD">
            <w:pPr>
              <w:widowControl w:val="0"/>
              <w:autoSpaceDE w:val="0"/>
              <w:autoSpaceDN w:val="0"/>
              <w:adjustRightInd w:val="0"/>
              <w:jc w:val="right"/>
              <w:rPr>
                <w:sz w:val="16"/>
                <w:szCs w:val="16"/>
              </w:rPr>
            </w:pPr>
            <w:r w:rsidRPr="00A850E8">
              <w:rPr>
                <w:sz w:val="16"/>
                <w:szCs w:val="16"/>
              </w:rPr>
              <w:t>(3)</w:t>
            </w:r>
          </w:p>
        </w:tc>
        <w:tc>
          <w:tcPr>
            <w:tcW w:w="0" w:type="auto"/>
            <w:tcBorders>
              <w:top w:val="single" w:sz="4" w:space="0" w:color="auto"/>
              <w:left w:val="nil"/>
              <w:bottom w:val="single" w:sz="6" w:space="0" w:color="auto"/>
              <w:right w:val="nil"/>
            </w:tcBorders>
          </w:tcPr>
          <w:p w14:paraId="6B100106" w14:textId="78DC461F" w:rsidR="00143CDD" w:rsidRPr="00A850E8" w:rsidRDefault="00143CDD" w:rsidP="00143CDD">
            <w:pPr>
              <w:widowControl w:val="0"/>
              <w:autoSpaceDE w:val="0"/>
              <w:autoSpaceDN w:val="0"/>
              <w:adjustRightInd w:val="0"/>
              <w:jc w:val="right"/>
              <w:rPr>
                <w:sz w:val="16"/>
                <w:szCs w:val="16"/>
              </w:rPr>
            </w:pPr>
            <w:r w:rsidRPr="00A850E8">
              <w:rPr>
                <w:sz w:val="16"/>
                <w:szCs w:val="16"/>
              </w:rPr>
              <w:t>(4)</w:t>
            </w:r>
          </w:p>
        </w:tc>
        <w:tc>
          <w:tcPr>
            <w:tcW w:w="0" w:type="auto"/>
            <w:tcBorders>
              <w:top w:val="single" w:sz="4" w:space="0" w:color="auto"/>
              <w:left w:val="nil"/>
              <w:bottom w:val="single" w:sz="6" w:space="0" w:color="auto"/>
              <w:right w:val="nil"/>
            </w:tcBorders>
          </w:tcPr>
          <w:p w14:paraId="600421D0" w14:textId="357B1689" w:rsidR="00143CDD" w:rsidRPr="00A850E8" w:rsidRDefault="00143CDD" w:rsidP="00143CDD">
            <w:pPr>
              <w:widowControl w:val="0"/>
              <w:autoSpaceDE w:val="0"/>
              <w:autoSpaceDN w:val="0"/>
              <w:adjustRightInd w:val="0"/>
              <w:jc w:val="right"/>
              <w:rPr>
                <w:sz w:val="16"/>
                <w:szCs w:val="16"/>
              </w:rPr>
            </w:pPr>
            <w:r w:rsidRPr="00A850E8">
              <w:rPr>
                <w:sz w:val="16"/>
                <w:szCs w:val="16"/>
              </w:rPr>
              <w:t>(5)</w:t>
            </w:r>
          </w:p>
        </w:tc>
        <w:tc>
          <w:tcPr>
            <w:tcW w:w="0" w:type="auto"/>
            <w:gridSpan w:val="2"/>
            <w:tcBorders>
              <w:top w:val="single" w:sz="4" w:space="0" w:color="auto"/>
              <w:left w:val="nil"/>
              <w:bottom w:val="single" w:sz="6" w:space="0" w:color="auto"/>
              <w:right w:val="nil"/>
            </w:tcBorders>
          </w:tcPr>
          <w:p w14:paraId="1992124A" w14:textId="4E1C6899" w:rsidR="00143CDD" w:rsidRPr="00A850E8" w:rsidRDefault="00143CDD" w:rsidP="00143CDD">
            <w:pPr>
              <w:widowControl w:val="0"/>
              <w:autoSpaceDE w:val="0"/>
              <w:autoSpaceDN w:val="0"/>
              <w:adjustRightInd w:val="0"/>
              <w:jc w:val="right"/>
              <w:rPr>
                <w:sz w:val="16"/>
                <w:szCs w:val="16"/>
              </w:rPr>
            </w:pPr>
            <w:r w:rsidRPr="00A850E8">
              <w:rPr>
                <w:sz w:val="16"/>
                <w:szCs w:val="16"/>
              </w:rPr>
              <w:t>(6)</w:t>
            </w:r>
          </w:p>
        </w:tc>
        <w:tc>
          <w:tcPr>
            <w:tcW w:w="0" w:type="auto"/>
            <w:tcBorders>
              <w:top w:val="single" w:sz="4" w:space="0" w:color="auto"/>
              <w:left w:val="nil"/>
              <w:bottom w:val="single" w:sz="6" w:space="0" w:color="auto"/>
              <w:right w:val="nil"/>
            </w:tcBorders>
          </w:tcPr>
          <w:p w14:paraId="13D45FAD" w14:textId="32E5A5D3" w:rsidR="00143CDD" w:rsidRPr="00A850E8" w:rsidRDefault="00143CDD" w:rsidP="00143CDD">
            <w:pPr>
              <w:widowControl w:val="0"/>
              <w:autoSpaceDE w:val="0"/>
              <w:autoSpaceDN w:val="0"/>
              <w:adjustRightInd w:val="0"/>
              <w:jc w:val="right"/>
              <w:rPr>
                <w:sz w:val="16"/>
                <w:szCs w:val="16"/>
              </w:rPr>
            </w:pPr>
            <w:r w:rsidRPr="00A850E8">
              <w:rPr>
                <w:sz w:val="16"/>
                <w:szCs w:val="16"/>
              </w:rPr>
              <w:t>(7)</w:t>
            </w:r>
          </w:p>
        </w:tc>
        <w:tc>
          <w:tcPr>
            <w:tcW w:w="0" w:type="auto"/>
            <w:tcBorders>
              <w:top w:val="single" w:sz="4" w:space="0" w:color="auto"/>
              <w:left w:val="nil"/>
              <w:bottom w:val="single" w:sz="6" w:space="0" w:color="auto"/>
              <w:right w:val="nil"/>
            </w:tcBorders>
          </w:tcPr>
          <w:p w14:paraId="55672B91" w14:textId="2F176D3D" w:rsidR="00143CDD" w:rsidRPr="00A850E8" w:rsidRDefault="00143CDD" w:rsidP="00143CDD">
            <w:pPr>
              <w:widowControl w:val="0"/>
              <w:autoSpaceDE w:val="0"/>
              <w:autoSpaceDN w:val="0"/>
              <w:adjustRightInd w:val="0"/>
              <w:jc w:val="right"/>
              <w:rPr>
                <w:sz w:val="16"/>
                <w:szCs w:val="16"/>
              </w:rPr>
            </w:pPr>
            <w:r w:rsidRPr="00A850E8">
              <w:rPr>
                <w:sz w:val="16"/>
                <w:szCs w:val="16"/>
              </w:rPr>
              <w:t>(8)</w:t>
            </w:r>
          </w:p>
        </w:tc>
        <w:tc>
          <w:tcPr>
            <w:tcW w:w="0" w:type="auto"/>
            <w:tcBorders>
              <w:top w:val="single" w:sz="4" w:space="0" w:color="auto"/>
              <w:left w:val="nil"/>
              <w:bottom w:val="single" w:sz="6" w:space="0" w:color="auto"/>
              <w:right w:val="nil"/>
            </w:tcBorders>
          </w:tcPr>
          <w:p w14:paraId="71FF2A98" w14:textId="30C691FB" w:rsidR="00143CDD" w:rsidRPr="00A850E8" w:rsidRDefault="00143CDD" w:rsidP="00143CDD">
            <w:pPr>
              <w:widowControl w:val="0"/>
              <w:autoSpaceDE w:val="0"/>
              <w:autoSpaceDN w:val="0"/>
              <w:adjustRightInd w:val="0"/>
              <w:jc w:val="right"/>
              <w:rPr>
                <w:sz w:val="16"/>
                <w:szCs w:val="16"/>
              </w:rPr>
            </w:pPr>
            <w:r w:rsidRPr="00A850E8">
              <w:rPr>
                <w:sz w:val="16"/>
                <w:szCs w:val="16"/>
              </w:rPr>
              <w:t>(9)</w:t>
            </w:r>
          </w:p>
        </w:tc>
        <w:tc>
          <w:tcPr>
            <w:tcW w:w="0" w:type="auto"/>
            <w:tcBorders>
              <w:top w:val="single" w:sz="4" w:space="0" w:color="auto"/>
              <w:left w:val="nil"/>
              <w:bottom w:val="single" w:sz="6" w:space="0" w:color="auto"/>
              <w:right w:val="nil"/>
            </w:tcBorders>
          </w:tcPr>
          <w:p w14:paraId="65121003" w14:textId="0BCE6534" w:rsidR="00143CDD" w:rsidRPr="00A850E8" w:rsidRDefault="00143CDD" w:rsidP="00143CDD">
            <w:pPr>
              <w:widowControl w:val="0"/>
              <w:autoSpaceDE w:val="0"/>
              <w:autoSpaceDN w:val="0"/>
              <w:adjustRightInd w:val="0"/>
              <w:jc w:val="right"/>
              <w:rPr>
                <w:sz w:val="16"/>
                <w:szCs w:val="16"/>
              </w:rPr>
            </w:pPr>
            <w:r w:rsidRPr="00A850E8">
              <w:rPr>
                <w:sz w:val="16"/>
                <w:szCs w:val="16"/>
              </w:rPr>
              <w:t>(10)</w:t>
            </w:r>
          </w:p>
        </w:tc>
        <w:tc>
          <w:tcPr>
            <w:tcW w:w="0" w:type="auto"/>
          </w:tcPr>
          <w:p w14:paraId="0C33B547" w14:textId="77777777" w:rsidR="00143CDD" w:rsidRPr="00A850E8" w:rsidRDefault="00143CDD" w:rsidP="00143CDD">
            <w:pPr>
              <w:spacing w:after="160" w:line="259" w:lineRule="auto"/>
              <w:rPr>
                <w:sz w:val="16"/>
                <w:szCs w:val="16"/>
              </w:rPr>
            </w:pPr>
          </w:p>
        </w:tc>
      </w:tr>
      <w:tr w:rsidR="00AF4F9F" w:rsidRPr="00A850E8" w14:paraId="52F8CA53" w14:textId="77777777" w:rsidTr="00A850E8">
        <w:trPr>
          <w:gridAfter w:val="1"/>
        </w:trPr>
        <w:tc>
          <w:tcPr>
            <w:tcW w:w="0" w:type="auto"/>
            <w:tcBorders>
              <w:top w:val="nil"/>
              <w:left w:val="nil"/>
              <w:bottom w:val="nil"/>
              <w:right w:val="nil"/>
            </w:tcBorders>
          </w:tcPr>
          <w:p w14:paraId="4B69C672" w14:textId="1B584811" w:rsidR="00AF4F9F" w:rsidRPr="00143CDD" w:rsidRDefault="00AF4F9F" w:rsidP="00AF4F9F">
            <w:pPr>
              <w:widowControl w:val="0"/>
              <w:autoSpaceDE w:val="0"/>
              <w:autoSpaceDN w:val="0"/>
              <w:adjustRightInd w:val="0"/>
              <w:rPr>
                <w:sz w:val="16"/>
                <w:szCs w:val="16"/>
              </w:rPr>
            </w:pPr>
            <w:r w:rsidRPr="00143CDD">
              <w:rPr>
                <w:sz w:val="16"/>
                <w:szCs w:val="16"/>
              </w:rPr>
              <w:t>(1) Treat. group</w:t>
            </w:r>
          </w:p>
        </w:tc>
        <w:tc>
          <w:tcPr>
            <w:tcW w:w="0" w:type="auto"/>
            <w:tcBorders>
              <w:top w:val="nil"/>
              <w:left w:val="nil"/>
              <w:bottom w:val="nil"/>
              <w:right w:val="nil"/>
            </w:tcBorders>
          </w:tcPr>
          <w:p w14:paraId="33EED80C" w14:textId="0DCCEDC6"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CE3113C" w14:textId="25CB34D0"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1.000</w:t>
            </w:r>
          </w:p>
        </w:tc>
        <w:tc>
          <w:tcPr>
            <w:tcW w:w="0" w:type="auto"/>
            <w:tcBorders>
              <w:top w:val="nil"/>
              <w:left w:val="nil"/>
              <w:bottom w:val="nil"/>
              <w:right w:val="nil"/>
            </w:tcBorders>
          </w:tcPr>
          <w:p w14:paraId="5E191292"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02EA5AE9"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73AE5763"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025B5A65" w14:textId="77777777" w:rsidR="00AF4F9F" w:rsidRPr="00143CDD" w:rsidRDefault="00AF4F9F" w:rsidP="00AF4F9F">
            <w:pPr>
              <w:widowControl w:val="0"/>
              <w:autoSpaceDE w:val="0"/>
              <w:autoSpaceDN w:val="0"/>
              <w:adjustRightInd w:val="0"/>
              <w:jc w:val="right"/>
              <w:rPr>
                <w:sz w:val="16"/>
                <w:szCs w:val="16"/>
              </w:rPr>
            </w:pPr>
          </w:p>
        </w:tc>
        <w:tc>
          <w:tcPr>
            <w:tcW w:w="0" w:type="auto"/>
            <w:gridSpan w:val="2"/>
            <w:tcBorders>
              <w:top w:val="nil"/>
              <w:left w:val="nil"/>
              <w:bottom w:val="nil"/>
              <w:right w:val="nil"/>
            </w:tcBorders>
          </w:tcPr>
          <w:p w14:paraId="05A78E9D"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0816E02D"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70A2DF39"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35A8A31"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3744FBF"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768FB464" w14:textId="77777777" w:rsidTr="00A850E8">
        <w:trPr>
          <w:gridAfter w:val="1"/>
        </w:trPr>
        <w:tc>
          <w:tcPr>
            <w:tcW w:w="0" w:type="auto"/>
            <w:tcBorders>
              <w:top w:val="nil"/>
              <w:left w:val="nil"/>
              <w:bottom w:val="nil"/>
              <w:right w:val="nil"/>
            </w:tcBorders>
          </w:tcPr>
          <w:p w14:paraId="2D76B343" w14:textId="4CE2F9DE" w:rsidR="00AF4F9F" w:rsidRPr="00143CDD" w:rsidRDefault="00AF4F9F" w:rsidP="00AF4F9F">
            <w:pPr>
              <w:widowControl w:val="0"/>
              <w:autoSpaceDE w:val="0"/>
              <w:autoSpaceDN w:val="0"/>
              <w:adjustRightInd w:val="0"/>
              <w:rPr>
                <w:sz w:val="16"/>
                <w:szCs w:val="16"/>
              </w:rPr>
            </w:pPr>
            <w:r w:rsidRPr="00143CDD">
              <w:rPr>
                <w:sz w:val="16"/>
                <w:szCs w:val="16"/>
              </w:rPr>
              <w:t>(2) CFIUS Block</w:t>
            </w:r>
          </w:p>
        </w:tc>
        <w:tc>
          <w:tcPr>
            <w:tcW w:w="0" w:type="auto"/>
            <w:tcBorders>
              <w:top w:val="nil"/>
              <w:left w:val="nil"/>
              <w:bottom w:val="nil"/>
              <w:right w:val="nil"/>
            </w:tcBorders>
          </w:tcPr>
          <w:p w14:paraId="3DC7D467" w14:textId="35AB344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62C3CB3" w14:textId="7FDF1090"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0.523</w:t>
            </w:r>
          </w:p>
        </w:tc>
        <w:tc>
          <w:tcPr>
            <w:tcW w:w="0" w:type="auto"/>
            <w:tcBorders>
              <w:top w:val="nil"/>
              <w:left w:val="nil"/>
              <w:bottom w:val="nil"/>
              <w:right w:val="nil"/>
            </w:tcBorders>
          </w:tcPr>
          <w:p w14:paraId="5A216B3A" w14:textId="47C61A3F"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tcBorders>
              <w:top w:val="nil"/>
              <w:left w:val="nil"/>
              <w:bottom w:val="nil"/>
              <w:right w:val="nil"/>
            </w:tcBorders>
          </w:tcPr>
          <w:p w14:paraId="4F1B85DB"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DEB1113"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DFB0308" w14:textId="77777777" w:rsidR="00AF4F9F" w:rsidRPr="00143CDD" w:rsidRDefault="00AF4F9F" w:rsidP="00AF4F9F">
            <w:pPr>
              <w:widowControl w:val="0"/>
              <w:autoSpaceDE w:val="0"/>
              <w:autoSpaceDN w:val="0"/>
              <w:adjustRightInd w:val="0"/>
              <w:jc w:val="right"/>
              <w:rPr>
                <w:sz w:val="16"/>
                <w:szCs w:val="16"/>
              </w:rPr>
            </w:pPr>
          </w:p>
        </w:tc>
        <w:tc>
          <w:tcPr>
            <w:tcW w:w="0" w:type="auto"/>
            <w:gridSpan w:val="2"/>
            <w:tcBorders>
              <w:top w:val="nil"/>
              <w:left w:val="nil"/>
              <w:bottom w:val="nil"/>
              <w:right w:val="nil"/>
            </w:tcBorders>
          </w:tcPr>
          <w:p w14:paraId="51B030EF"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F52115F"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A714D77"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27B5B40F"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00C97786"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553F5FE7" w14:textId="77777777" w:rsidTr="00A850E8">
        <w:trPr>
          <w:gridAfter w:val="1"/>
        </w:trPr>
        <w:tc>
          <w:tcPr>
            <w:tcW w:w="0" w:type="auto"/>
            <w:tcBorders>
              <w:top w:val="nil"/>
              <w:left w:val="nil"/>
              <w:bottom w:val="nil"/>
              <w:right w:val="nil"/>
            </w:tcBorders>
          </w:tcPr>
          <w:p w14:paraId="084F4074" w14:textId="6D8324CC" w:rsidR="00AF4F9F" w:rsidRPr="00143CDD" w:rsidRDefault="00AF4F9F" w:rsidP="00AF4F9F">
            <w:pPr>
              <w:widowControl w:val="0"/>
              <w:autoSpaceDE w:val="0"/>
              <w:autoSpaceDN w:val="0"/>
              <w:adjustRightInd w:val="0"/>
              <w:rPr>
                <w:sz w:val="16"/>
                <w:szCs w:val="16"/>
              </w:rPr>
            </w:pPr>
            <w:r w:rsidRPr="00143CDD">
              <w:rPr>
                <w:sz w:val="16"/>
                <w:szCs w:val="16"/>
              </w:rPr>
              <w:t>(3) Capex</w:t>
            </w:r>
          </w:p>
        </w:tc>
        <w:tc>
          <w:tcPr>
            <w:tcW w:w="0" w:type="auto"/>
            <w:tcBorders>
              <w:top w:val="nil"/>
              <w:left w:val="nil"/>
              <w:bottom w:val="nil"/>
              <w:right w:val="nil"/>
            </w:tcBorders>
          </w:tcPr>
          <w:p w14:paraId="63685DA2" w14:textId="5499B959"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5DCF23C" w14:textId="1BD5C223"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0.038</w:t>
            </w:r>
          </w:p>
        </w:tc>
        <w:tc>
          <w:tcPr>
            <w:tcW w:w="0" w:type="auto"/>
            <w:tcBorders>
              <w:top w:val="nil"/>
              <w:left w:val="nil"/>
              <w:bottom w:val="nil"/>
              <w:right w:val="nil"/>
            </w:tcBorders>
          </w:tcPr>
          <w:p w14:paraId="7845AE3A" w14:textId="42A980DD"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0.010</w:t>
            </w:r>
          </w:p>
        </w:tc>
        <w:tc>
          <w:tcPr>
            <w:tcW w:w="0" w:type="auto"/>
            <w:tcBorders>
              <w:top w:val="nil"/>
              <w:left w:val="nil"/>
              <w:bottom w:val="nil"/>
              <w:right w:val="nil"/>
            </w:tcBorders>
          </w:tcPr>
          <w:p w14:paraId="2439DD62" w14:textId="545F529C"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tcBorders>
              <w:top w:val="nil"/>
              <w:left w:val="nil"/>
              <w:bottom w:val="nil"/>
              <w:right w:val="nil"/>
            </w:tcBorders>
          </w:tcPr>
          <w:p w14:paraId="5AEECB3F" w14:textId="6E87C3FF"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15F81724" w14:textId="77777777" w:rsidR="00AF4F9F" w:rsidRPr="00143CDD" w:rsidRDefault="00AF4F9F" w:rsidP="00AF4F9F">
            <w:pPr>
              <w:widowControl w:val="0"/>
              <w:autoSpaceDE w:val="0"/>
              <w:autoSpaceDN w:val="0"/>
              <w:adjustRightInd w:val="0"/>
              <w:jc w:val="right"/>
              <w:rPr>
                <w:sz w:val="16"/>
                <w:szCs w:val="16"/>
              </w:rPr>
            </w:pPr>
          </w:p>
        </w:tc>
        <w:tc>
          <w:tcPr>
            <w:tcW w:w="0" w:type="auto"/>
            <w:gridSpan w:val="2"/>
            <w:tcBorders>
              <w:top w:val="nil"/>
              <w:left w:val="nil"/>
              <w:bottom w:val="nil"/>
              <w:right w:val="nil"/>
            </w:tcBorders>
          </w:tcPr>
          <w:p w14:paraId="699C7F17"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3C48C58"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1648D088"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0274AC9B"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510E5674"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3CC4956D" w14:textId="77777777" w:rsidTr="00A850E8">
        <w:trPr>
          <w:gridAfter w:val="1"/>
        </w:trPr>
        <w:tc>
          <w:tcPr>
            <w:tcW w:w="0" w:type="auto"/>
            <w:tcBorders>
              <w:top w:val="nil"/>
              <w:left w:val="nil"/>
              <w:bottom w:val="nil"/>
              <w:right w:val="nil"/>
            </w:tcBorders>
          </w:tcPr>
          <w:p w14:paraId="7B4EF881" w14:textId="746CD273" w:rsidR="00AF4F9F" w:rsidRPr="00143CDD" w:rsidRDefault="00AF4F9F" w:rsidP="00AF4F9F">
            <w:pPr>
              <w:widowControl w:val="0"/>
              <w:autoSpaceDE w:val="0"/>
              <w:autoSpaceDN w:val="0"/>
              <w:adjustRightInd w:val="0"/>
              <w:rPr>
                <w:sz w:val="16"/>
                <w:szCs w:val="16"/>
              </w:rPr>
            </w:pPr>
            <w:r w:rsidRPr="00143CDD">
              <w:rPr>
                <w:sz w:val="16"/>
                <w:szCs w:val="16"/>
              </w:rPr>
              <w:t>(4) Acquisitions</w:t>
            </w:r>
          </w:p>
        </w:tc>
        <w:tc>
          <w:tcPr>
            <w:tcW w:w="0" w:type="auto"/>
            <w:tcBorders>
              <w:top w:val="nil"/>
              <w:left w:val="nil"/>
              <w:bottom w:val="nil"/>
              <w:right w:val="nil"/>
            </w:tcBorders>
          </w:tcPr>
          <w:p w14:paraId="1FA07A08" w14:textId="460F4306"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A764079" w14:textId="04663C09"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0.009</w:t>
            </w:r>
          </w:p>
        </w:tc>
        <w:tc>
          <w:tcPr>
            <w:tcW w:w="0" w:type="auto"/>
            <w:tcBorders>
              <w:top w:val="nil"/>
              <w:left w:val="nil"/>
              <w:bottom w:val="nil"/>
              <w:right w:val="nil"/>
            </w:tcBorders>
          </w:tcPr>
          <w:p w14:paraId="55944B4E" w14:textId="4824758E"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-0.006</w:t>
            </w:r>
          </w:p>
        </w:tc>
        <w:tc>
          <w:tcPr>
            <w:tcW w:w="0" w:type="auto"/>
            <w:tcBorders>
              <w:top w:val="nil"/>
              <w:left w:val="nil"/>
              <w:bottom w:val="nil"/>
              <w:right w:val="nil"/>
            </w:tcBorders>
          </w:tcPr>
          <w:p w14:paraId="3519D803" w14:textId="24720553"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0.026</w:t>
            </w:r>
          </w:p>
        </w:tc>
        <w:tc>
          <w:tcPr>
            <w:tcW w:w="0" w:type="auto"/>
            <w:tcBorders>
              <w:top w:val="nil"/>
              <w:left w:val="nil"/>
              <w:bottom w:val="nil"/>
              <w:right w:val="nil"/>
            </w:tcBorders>
          </w:tcPr>
          <w:p w14:paraId="3B80BB6A" w14:textId="043F69B5"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tcBorders>
              <w:top w:val="nil"/>
              <w:left w:val="nil"/>
              <w:bottom w:val="nil"/>
              <w:right w:val="nil"/>
            </w:tcBorders>
          </w:tcPr>
          <w:p w14:paraId="54A2A08E" w14:textId="1F77AC9D" w:rsidR="00AF4F9F" w:rsidRPr="00143CDD" w:rsidRDefault="00AF4F9F" w:rsidP="00AF4F9F">
            <w:pPr>
              <w:widowControl w:val="0"/>
              <w:autoSpaceDE w:val="0"/>
              <w:autoSpaceDN w:val="0"/>
              <w:adjustRightInd w:val="0"/>
              <w:jc w:val="right"/>
              <w:rPr>
                <w:sz w:val="16"/>
                <w:szCs w:val="16"/>
              </w:rPr>
            </w:pPr>
          </w:p>
        </w:tc>
        <w:tc>
          <w:tcPr>
            <w:tcW w:w="0" w:type="auto"/>
            <w:gridSpan w:val="2"/>
            <w:tcBorders>
              <w:top w:val="nil"/>
              <w:left w:val="nil"/>
              <w:bottom w:val="nil"/>
              <w:right w:val="nil"/>
            </w:tcBorders>
          </w:tcPr>
          <w:p w14:paraId="7DF659A0"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ED93A7F"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1EA5FF38"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13CBC2B"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720B99A1"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62F518FE" w14:textId="77777777" w:rsidTr="00A850E8">
        <w:trPr>
          <w:gridAfter w:val="1"/>
        </w:trPr>
        <w:tc>
          <w:tcPr>
            <w:tcW w:w="0" w:type="auto"/>
            <w:tcBorders>
              <w:top w:val="nil"/>
              <w:left w:val="nil"/>
              <w:bottom w:val="nil"/>
              <w:right w:val="nil"/>
            </w:tcBorders>
          </w:tcPr>
          <w:p w14:paraId="5CA556A8" w14:textId="436863DD" w:rsidR="00AF4F9F" w:rsidRPr="00143CDD" w:rsidRDefault="00AF4F9F" w:rsidP="00AF4F9F">
            <w:pPr>
              <w:widowControl w:val="0"/>
              <w:autoSpaceDE w:val="0"/>
              <w:autoSpaceDN w:val="0"/>
              <w:adjustRightInd w:val="0"/>
              <w:rPr>
                <w:sz w:val="16"/>
                <w:szCs w:val="16"/>
              </w:rPr>
            </w:pPr>
            <w:r w:rsidRPr="00143CDD">
              <w:rPr>
                <w:sz w:val="16"/>
                <w:szCs w:val="16"/>
              </w:rPr>
              <w:t>(5) Investments</w:t>
            </w:r>
          </w:p>
        </w:tc>
        <w:tc>
          <w:tcPr>
            <w:tcW w:w="0" w:type="auto"/>
            <w:tcBorders>
              <w:top w:val="nil"/>
              <w:left w:val="nil"/>
              <w:bottom w:val="nil"/>
              <w:right w:val="nil"/>
            </w:tcBorders>
          </w:tcPr>
          <w:p w14:paraId="4DFA3FA0" w14:textId="6F12C536"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1467B9BD" w14:textId="38775F3B"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0.110</w:t>
            </w:r>
          </w:p>
        </w:tc>
        <w:tc>
          <w:tcPr>
            <w:tcW w:w="0" w:type="auto"/>
            <w:tcBorders>
              <w:top w:val="nil"/>
              <w:left w:val="nil"/>
              <w:bottom w:val="nil"/>
              <w:right w:val="nil"/>
            </w:tcBorders>
          </w:tcPr>
          <w:p w14:paraId="6A4D4E9D" w14:textId="6294F3D1"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0.061</w:t>
            </w:r>
          </w:p>
        </w:tc>
        <w:tc>
          <w:tcPr>
            <w:tcW w:w="0" w:type="auto"/>
            <w:tcBorders>
              <w:top w:val="nil"/>
              <w:left w:val="nil"/>
              <w:bottom w:val="nil"/>
              <w:right w:val="nil"/>
            </w:tcBorders>
          </w:tcPr>
          <w:p w14:paraId="32CDDDC3" w14:textId="36DA5D33"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0.183</w:t>
            </w:r>
          </w:p>
        </w:tc>
        <w:tc>
          <w:tcPr>
            <w:tcW w:w="0" w:type="auto"/>
            <w:tcBorders>
              <w:top w:val="nil"/>
              <w:left w:val="nil"/>
              <w:bottom w:val="nil"/>
              <w:right w:val="nil"/>
            </w:tcBorders>
          </w:tcPr>
          <w:p w14:paraId="1EC15DEE" w14:textId="5FDA3958"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0.155</w:t>
            </w:r>
          </w:p>
        </w:tc>
        <w:tc>
          <w:tcPr>
            <w:tcW w:w="0" w:type="auto"/>
            <w:tcBorders>
              <w:top w:val="nil"/>
              <w:left w:val="nil"/>
              <w:bottom w:val="nil"/>
              <w:right w:val="nil"/>
            </w:tcBorders>
          </w:tcPr>
          <w:p w14:paraId="7B3D3000" w14:textId="37417C0A"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gridSpan w:val="2"/>
            <w:tcBorders>
              <w:top w:val="nil"/>
              <w:left w:val="nil"/>
              <w:bottom w:val="nil"/>
              <w:right w:val="nil"/>
            </w:tcBorders>
          </w:tcPr>
          <w:p w14:paraId="75676735" w14:textId="3DD30613"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1AEF5C29"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BAF46C4"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E3ABE0C"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6E999B1D"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1C03FF16" w14:textId="77777777" w:rsidTr="00A850E8">
        <w:trPr>
          <w:gridAfter w:val="1"/>
        </w:trPr>
        <w:tc>
          <w:tcPr>
            <w:tcW w:w="0" w:type="auto"/>
            <w:tcBorders>
              <w:top w:val="nil"/>
              <w:left w:val="nil"/>
              <w:bottom w:val="nil"/>
              <w:right w:val="nil"/>
            </w:tcBorders>
          </w:tcPr>
          <w:p w14:paraId="559A107B" w14:textId="716BD8C2" w:rsidR="00AF4F9F" w:rsidRPr="00143CDD" w:rsidRDefault="00AF4F9F" w:rsidP="00AF4F9F">
            <w:pPr>
              <w:widowControl w:val="0"/>
              <w:autoSpaceDE w:val="0"/>
              <w:autoSpaceDN w:val="0"/>
              <w:adjustRightInd w:val="0"/>
              <w:rPr>
                <w:sz w:val="16"/>
                <w:szCs w:val="16"/>
              </w:rPr>
            </w:pPr>
            <w:r w:rsidRPr="00143CDD">
              <w:rPr>
                <w:sz w:val="16"/>
                <w:szCs w:val="16"/>
              </w:rPr>
              <w:t>(6) R&amp;D</w:t>
            </w:r>
          </w:p>
        </w:tc>
        <w:tc>
          <w:tcPr>
            <w:tcW w:w="0" w:type="auto"/>
            <w:tcBorders>
              <w:top w:val="nil"/>
              <w:left w:val="nil"/>
              <w:bottom w:val="nil"/>
              <w:right w:val="nil"/>
            </w:tcBorders>
          </w:tcPr>
          <w:p w14:paraId="12772EC8" w14:textId="2AA7A7BF" w:rsidR="00AF4F9F" w:rsidRPr="00143CDD" w:rsidRDefault="00AF4F9F" w:rsidP="00AF4F9F">
            <w:pPr>
              <w:widowControl w:val="0"/>
              <w:autoSpaceDE w:val="0"/>
              <w:autoSpaceDN w:val="0"/>
              <w:adjustRightInd w:val="0"/>
              <w:jc w:val="right"/>
              <w:rPr>
                <w:rFonts w:ascii="Garamond" w:hAnsi="Garamond"/>
                <w:sz w:val="16"/>
                <w:szCs w:val="16"/>
              </w:rPr>
            </w:pPr>
          </w:p>
        </w:tc>
        <w:tc>
          <w:tcPr>
            <w:tcW w:w="0" w:type="auto"/>
            <w:tcBorders>
              <w:top w:val="nil"/>
              <w:left w:val="nil"/>
              <w:bottom w:val="nil"/>
              <w:right w:val="nil"/>
            </w:tcBorders>
          </w:tcPr>
          <w:p w14:paraId="014A57F2" w14:textId="01187EBF" w:rsidR="00AF4F9F" w:rsidRPr="00AF4F9F" w:rsidRDefault="00AF4F9F" w:rsidP="00AF4F9F">
            <w:pPr>
              <w:widowControl w:val="0"/>
              <w:autoSpaceDE w:val="0"/>
              <w:autoSpaceDN w:val="0"/>
              <w:adjustRightInd w:val="0"/>
              <w:jc w:val="right"/>
              <w:rPr>
                <w:rFonts w:ascii="Garamond" w:hAnsi="Garamond"/>
                <w:sz w:val="16"/>
                <w:szCs w:val="16"/>
              </w:rPr>
            </w:pPr>
            <w:r w:rsidRPr="00AF4F9F">
              <w:rPr>
                <w:rFonts w:ascii="Garamond" w:hAnsi="Garamond"/>
                <w:sz w:val="16"/>
                <w:szCs w:val="20"/>
              </w:rPr>
              <w:t>0.092</w:t>
            </w:r>
          </w:p>
        </w:tc>
        <w:tc>
          <w:tcPr>
            <w:tcW w:w="0" w:type="auto"/>
            <w:tcBorders>
              <w:top w:val="nil"/>
              <w:left w:val="nil"/>
              <w:bottom w:val="nil"/>
              <w:right w:val="nil"/>
            </w:tcBorders>
          </w:tcPr>
          <w:p w14:paraId="1C1C959D" w14:textId="38A324D1"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0.062</w:t>
            </w:r>
          </w:p>
        </w:tc>
        <w:tc>
          <w:tcPr>
            <w:tcW w:w="0" w:type="auto"/>
            <w:tcBorders>
              <w:top w:val="nil"/>
              <w:left w:val="nil"/>
              <w:bottom w:val="nil"/>
              <w:right w:val="nil"/>
            </w:tcBorders>
          </w:tcPr>
          <w:p w14:paraId="0FA47272" w14:textId="28D541E1"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0.104</w:t>
            </w:r>
          </w:p>
        </w:tc>
        <w:tc>
          <w:tcPr>
            <w:tcW w:w="0" w:type="auto"/>
            <w:tcBorders>
              <w:top w:val="nil"/>
              <w:left w:val="nil"/>
              <w:bottom w:val="nil"/>
              <w:right w:val="nil"/>
            </w:tcBorders>
          </w:tcPr>
          <w:p w14:paraId="32C72631" w14:textId="3981F8EB"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-0.087</w:t>
            </w:r>
          </w:p>
        </w:tc>
        <w:tc>
          <w:tcPr>
            <w:tcW w:w="0" w:type="auto"/>
            <w:tcBorders>
              <w:top w:val="nil"/>
              <w:left w:val="nil"/>
              <w:bottom w:val="nil"/>
              <w:right w:val="nil"/>
            </w:tcBorders>
          </w:tcPr>
          <w:p w14:paraId="1D10EC6C" w14:textId="4EB58DCF"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0.918</w:t>
            </w:r>
          </w:p>
        </w:tc>
        <w:tc>
          <w:tcPr>
            <w:tcW w:w="0" w:type="auto"/>
            <w:gridSpan w:val="2"/>
            <w:tcBorders>
              <w:top w:val="nil"/>
              <w:left w:val="nil"/>
              <w:bottom w:val="nil"/>
              <w:right w:val="nil"/>
            </w:tcBorders>
          </w:tcPr>
          <w:p w14:paraId="2D4AB96C" w14:textId="21A56810"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tcBorders>
              <w:top w:val="nil"/>
              <w:left w:val="nil"/>
              <w:bottom w:val="nil"/>
              <w:right w:val="nil"/>
            </w:tcBorders>
          </w:tcPr>
          <w:p w14:paraId="26B83FB0" w14:textId="24249A5B"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056FFDCC"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34683571"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1CD70655"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48CF1FF4" w14:textId="77777777" w:rsidTr="00A850E8">
        <w:trPr>
          <w:gridAfter w:val="1"/>
        </w:trPr>
        <w:tc>
          <w:tcPr>
            <w:tcW w:w="0" w:type="auto"/>
            <w:tcBorders>
              <w:top w:val="nil"/>
              <w:left w:val="nil"/>
              <w:bottom w:val="nil"/>
              <w:right w:val="nil"/>
            </w:tcBorders>
          </w:tcPr>
          <w:p w14:paraId="6A3A36ED" w14:textId="3ACA7FEE" w:rsidR="00AF4F9F" w:rsidRPr="00143CDD" w:rsidRDefault="00AF4F9F" w:rsidP="00AF4F9F">
            <w:pPr>
              <w:widowControl w:val="0"/>
              <w:autoSpaceDE w:val="0"/>
              <w:autoSpaceDN w:val="0"/>
              <w:adjustRightInd w:val="0"/>
              <w:rPr>
                <w:sz w:val="16"/>
                <w:szCs w:val="16"/>
              </w:rPr>
            </w:pPr>
            <w:r w:rsidRPr="00143CDD">
              <w:rPr>
                <w:sz w:val="16"/>
                <w:szCs w:val="16"/>
              </w:rPr>
              <w:t>(7) Cash flow</w:t>
            </w:r>
          </w:p>
        </w:tc>
        <w:tc>
          <w:tcPr>
            <w:tcW w:w="0" w:type="auto"/>
            <w:tcBorders>
              <w:top w:val="nil"/>
              <w:left w:val="nil"/>
              <w:bottom w:val="nil"/>
              <w:right w:val="nil"/>
            </w:tcBorders>
          </w:tcPr>
          <w:p w14:paraId="565A0C92" w14:textId="11646E9A" w:rsidR="00AF4F9F" w:rsidRPr="00143CDD" w:rsidRDefault="00AF4F9F" w:rsidP="00AF4F9F">
            <w:pPr>
              <w:widowControl w:val="0"/>
              <w:autoSpaceDE w:val="0"/>
              <w:autoSpaceDN w:val="0"/>
              <w:adjustRightInd w:val="0"/>
              <w:jc w:val="right"/>
              <w:rPr>
                <w:rFonts w:ascii="Garamond" w:hAnsi="Garamond"/>
                <w:sz w:val="16"/>
                <w:szCs w:val="16"/>
              </w:rPr>
            </w:pPr>
          </w:p>
        </w:tc>
        <w:tc>
          <w:tcPr>
            <w:tcW w:w="0" w:type="auto"/>
            <w:tcBorders>
              <w:top w:val="nil"/>
              <w:left w:val="nil"/>
              <w:bottom w:val="nil"/>
              <w:right w:val="nil"/>
            </w:tcBorders>
          </w:tcPr>
          <w:p w14:paraId="57A11B26" w14:textId="0CA3BEB9" w:rsidR="00AF4F9F" w:rsidRPr="00AF4F9F" w:rsidRDefault="00AF4F9F" w:rsidP="00AF4F9F">
            <w:pPr>
              <w:widowControl w:val="0"/>
              <w:autoSpaceDE w:val="0"/>
              <w:autoSpaceDN w:val="0"/>
              <w:adjustRightInd w:val="0"/>
              <w:jc w:val="right"/>
              <w:rPr>
                <w:rFonts w:ascii="Garamond" w:hAnsi="Garamond"/>
                <w:sz w:val="16"/>
                <w:szCs w:val="16"/>
              </w:rPr>
            </w:pPr>
            <w:r w:rsidRPr="00AF4F9F">
              <w:rPr>
                <w:rFonts w:ascii="Garamond" w:hAnsi="Garamond"/>
                <w:sz w:val="16"/>
                <w:szCs w:val="20"/>
              </w:rPr>
              <w:t>0.036</w:t>
            </w:r>
          </w:p>
        </w:tc>
        <w:tc>
          <w:tcPr>
            <w:tcW w:w="0" w:type="auto"/>
            <w:tcBorders>
              <w:top w:val="nil"/>
              <w:left w:val="nil"/>
              <w:bottom w:val="nil"/>
              <w:right w:val="nil"/>
            </w:tcBorders>
          </w:tcPr>
          <w:p w14:paraId="5A9B600A" w14:textId="4EC18E2F"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0.011</w:t>
            </w:r>
          </w:p>
        </w:tc>
        <w:tc>
          <w:tcPr>
            <w:tcW w:w="0" w:type="auto"/>
            <w:tcBorders>
              <w:top w:val="nil"/>
              <w:left w:val="nil"/>
              <w:bottom w:val="nil"/>
              <w:right w:val="nil"/>
            </w:tcBorders>
          </w:tcPr>
          <w:p w14:paraId="15C0344E" w14:textId="6387FADE"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-0.106</w:t>
            </w:r>
          </w:p>
        </w:tc>
        <w:tc>
          <w:tcPr>
            <w:tcW w:w="0" w:type="auto"/>
            <w:tcBorders>
              <w:top w:val="nil"/>
              <w:left w:val="nil"/>
              <w:bottom w:val="nil"/>
              <w:right w:val="nil"/>
            </w:tcBorders>
          </w:tcPr>
          <w:p w14:paraId="09A3518E" w14:textId="41ECC603"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0.091</w:t>
            </w:r>
          </w:p>
        </w:tc>
        <w:tc>
          <w:tcPr>
            <w:tcW w:w="0" w:type="auto"/>
            <w:tcBorders>
              <w:top w:val="nil"/>
              <w:left w:val="nil"/>
              <w:bottom w:val="nil"/>
              <w:right w:val="nil"/>
            </w:tcBorders>
          </w:tcPr>
          <w:p w14:paraId="597C776C" w14:textId="09468092" w:rsidR="00AF4F9F" w:rsidRPr="00143CDD" w:rsidRDefault="00AF4F9F" w:rsidP="00AF4F9F">
            <w:pPr>
              <w:widowControl w:val="0"/>
              <w:autoSpaceDE w:val="0"/>
              <w:autoSpaceDN w:val="0"/>
              <w:adjustRightInd w:val="0"/>
              <w:jc w:val="right"/>
              <w:rPr>
                <w:rFonts w:ascii="Garamond" w:hAnsi="Garamond"/>
                <w:sz w:val="16"/>
                <w:szCs w:val="16"/>
              </w:rPr>
            </w:pPr>
            <w:r w:rsidRPr="00037A27">
              <w:rPr>
                <w:rFonts w:ascii="Garamond" w:hAnsi="Garamond"/>
                <w:sz w:val="16"/>
                <w:szCs w:val="16"/>
              </w:rPr>
              <w:t>-0.435</w:t>
            </w:r>
          </w:p>
        </w:tc>
        <w:tc>
          <w:tcPr>
            <w:tcW w:w="0" w:type="auto"/>
            <w:gridSpan w:val="2"/>
            <w:tcBorders>
              <w:top w:val="nil"/>
              <w:left w:val="nil"/>
              <w:bottom w:val="nil"/>
              <w:right w:val="nil"/>
            </w:tcBorders>
          </w:tcPr>
          <w:p w14:paraId="16FE44FA" w14:textId="4E274319"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-0.483</w:t>
            </w:r>
          </w:p>
        </w:tc>
        <w:tc>
          <w:tcPr>
            <w:tcW w:w="0" w:type="auto"/>
            <w:tcBorders>
              <w:top w:val="nil"/>
              <w:left w:val="nil"/>
              <w:bottom w:val="nil"/>
              <w:right w:val="nil"/>
            </w:tcBorders>
          </w:tcPr>
          <w:p w14:paraId="33A8DD06" w14:textId="418480B7"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tcBorders>
              <w:top w:val="nil"/>
              <w:left w:val="nil"/>
              <w:bottom w:val="nil"/>
              <w:right w:val="nil"/>
            </w:tcBorders>
          </w:tcPr>
          <w:p w14:paraId="7033FD7A" w14:textId="69BA8780"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15902A68" w14:textId="77777777"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56B79FA3"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35709FC4" w14:textId="77777777" w:rsidTr="00A850E8">
        <w:trPr>
          <w:gridAfter w:val="1"/>
        </w:trPr>
        <w:tc>
          <w:tcPr>
            <w:tcW w:w="0" w:type="auto"/>
            <w:tcBorders>
              <w:top w:val="nil"/>
              <w:left w:val="nil"/>
              <w:right w:val="nil"/>
            </w:tcBorders>
          </w:tcPr>
          <w:p w14:paraId="6FCCC21B" w14:textId="598B9861" w:rsidR="00AF4F9F" w:rsidRPr="00143CDD" w:rsidRDefault="00AF4F9F" w:rsidP="00AF4F9F">
            <w:pPr>
              <w:widowControl w:val="0"/>
              <w:autoSpaceDE w:val="0"/>
              <w:autoSpaceDN w:val="0"/>
              <w:adjustRightInd w:val="0"/>
              <w:rPr>
                <w:sz w:val="16"/>
                <w:szCs w:val="16"/>
              </w:rPr>
            </w:pPr>
            <w:r w:rsidRPr="00143CDD">
              <w:rPr>
                <w:sz w:val="16"/>
                <w:szCs w:val="16"/>
              </w:rPr>
              <w:t>(8) Leverage</w:t>
            </w:r>
          </w:p>
        </w:tc>
        <w:tc>
          <w:tcPr>
            <w:tcW w:w="0" w:type="auto"/>
            <w:tcBorders>
              <w:top w:val="nil"/>
              <w:left w:val="nil"/>
              <w:right w:val="nil"/>
            </w:tcBorders>
          </w:tcPr>
          <w:p w14:paraId="1D3F6CFD" w14:textId="27FB1432"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right w:val="nil"/>
            </w:tcBorders>
          </w:tcPr>
          <w:p w14:paraId="2544DE09" w14:textId="0BD27862"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-0.062</w:t>
            </w:r>
          </w:p>
        </w:tc>
        <w:tc>
          <w:tcPr>
            <w:tcW w:w="0" w:type="auto"/>
            <w:tcBorders>
              <w:top w:val="nil"/>
              <w:left w:val="nil"/>
              <w:right w:val="nil"/>
            </w:tcBorders>
          </w:tcPr>
          <w:p w14:paraId="5E06B49E" w14:textId="1491635A"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-0.032</w:t>
            </w:r>
          </w:p>
        </w:tc>
        <w:tc>
          <w:tcPr>
            <w:tcW w:w="0" w:type="auto"/>
            <w:tcBorders>
              <w:top w:val="nil"/>
              <w:left w:val="nil"/>
              <w:right w:val="nil"/>
            </w:tcBorders>
          </w:tcPr>
          <w:p w14:paraId="424BF7D3" w14:textId="65899BF9"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0.001</w:t>
            </w:r>
          </w:p>
        </w:tc>
        <w:tc>
          <w:tcPr>
            <w:tcW w:w="0" w:type="auto"/>
            <w:tcBorders>
              <w:top w:val="nil"/>
              <w:left w:val="nil"/>
              <w:right w:val="nil"/>
            </w:tcBorders>
          </w:tcPr>
          <w:p w14:paraId="776F3F1A" w14:textId="340946A2"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-0.049</w:t>
            </w:r>
          </w:p>
        </w:tc>
        <w:tc>
          <w:tcPr>
            <w:tcW w:w="0" w:type="auto"/>
            <w:tcBorders>
              <w:top w:val="nil"/>
              <w:left w:val="nil"/>
              <w:right w:val="nil"/>
            </w:tcBorders>
          </w:tcPr>
          <w:p w14:paraId="01D4C667" w14:textId="6E6033AA"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0.151</w:t>
            </w:r>
          </w:p>
        </w:tc>
        <w:tc>
          <w:tcPr>
            <w:tcW w:w="0" w:type="auto"/>
            <w:gridSpan w:val="2"/>
            <w:tcBorders>
              <w:top w:val="nil"/>
              <w:left w:val="nil"/>
              <w:right w:val="nil"/>
            </w:tcBorders>
          </w:tcPr>
          <w:p w14:paraId="5ACC1DEE" w14:textId="3CC465E6"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0.162</w:t>
            </w:r>
          </w:p>
        </w:tc>
        <w:tc>
          <w:tcPr>
            <w:tcW w:w="0" w:type="auto"/>
            <w:tcBorders>
              <w:top w:val="nil"/>
              <w:left w:val="nil"/>
              <w:right w:val="nil"/>
            </w:tcBorders>
          </w:tcPr>
          <w:p w14:paraId="63A51C5C" w14:textId="38C09147"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-0.567</w:t>
            </w:r>
          </w:p>
        </w:tc>
        <w:tc>
          <w:tcPr>
            <w:tcW w:w="0" w:type="auto"/>
            <w:tcBorders>
              <w:top w:val="nil"/>
              <w:left w:val="nil"/>
              <w:right w:val="nil"/>
            </w:tcBorders>
          </w:tcPr>
          <w:p w14:paraId="503DF1A7" w14:textId="67FD0A4C"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tcBorders>
              <w:top w:val="nil"/>
              <w:left w:val="nil"/>
              <w:right w:val="nil"/>
            </w:tcBorders>
          </w:tcPr>
          <w:p w14:paraId="736C73A6" w14:textId="7672607A"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right w:val="nil"/>
            </w:tcBorders>
          </w:tcPr>
          <w:p w14:paraId="229D9B4C" w14:textId="77777777" w:rsidR="00AF4F9F" w:rsidRPr="00143CDD" w:rsidRDefault="00AF4F9F" w:rsidP="00AF4F9F">
            <w:pPr>
              <w:widowControl w:val="0"/>
              <w:autoSpaceDE w:val="0"/>
              <w:autoSpaceDN w:val="0"/>
              <w:adjustRightInd w:val="0"/>
              <w:jc w:val="right"/>
              <w:rPr>
                <w:sz w:val="16"/>
                <w:szCs w:val="16"/>
              </w:rPr>
            </w:pPr>
          </w:p>
        </w:tc>
      </w:tr>
      <w:tr w:rsidR="00AF4F9F" w:rsidRPr="00A850E8" w14:paraId="1E2CFF9D" w14:textId="77777777" w:rsidTr="00A850E8">
        <w:trPr>
          <w:gridAfter w:val="1"/>
        </w:trPr>
        <w:tc>
          <w:tcPr>
            <w:tcW w:w="0" w:type="auto"/>
            <w:tcBorders>
              <w:top w:val="nil"/>
              <w:left w:val="nil"/>
              <w:bottom w:val="nil"/>
              <w:right w:val="nil"/>
            </w:tcBorders>
          </w:tcPr>
          <w:p w14:paraId="3CAE0017" w14:textId="50C628FC" w:rsidR="00AF4F9F" w:rsidRPr="00143CDD" w:rsidRDefault="00AF4F9F" w:rsidP="00AF4F9F">
            <w:pPr>
              <w:widowControl w:val="0"/>
              <w:autoSpaceDE w:val="0"/>
              <w:autoSpaceDN w:val="0"/>
              <w:adjustRightInd w:val="0"/>
              <w:rPr>
                <w:sz w:val="16"/>
                <w:szCs w:val="16"/>
              </w:rPr>
            </w:pPr>
            <w:r w:rsidRPr="00143CDD">
              <w:rPr>
                <w:sz w:val="16"/>
                <w:szCs w:val="16"/>
              </w:rPr>
              <w:t>(9) Size</w:t>
            </w:r>
          </w:p>
        </w:tc>
        <w:tc>
          <w:tcPr>
            <w:tcW w:w="0" w:type="auto"/>
            <w:tcBorders>
              <w:top w:val="nil"/>
              <w:left w:val="nil"/>
              <w:bottom w:val="nil"/>
              <w:right w:val="nil"/>
            </w:tcBorders>
          </w:tcPr>
          <w:p w14:paraId="7A463CAE" w14:textId="14232102"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nil"/>
              <w:right w:val="nil"/>
            </w:tcBorders>
          </w:tcPr>
          <w:p w14:paraId="7392E69B" w14:textId="366668B2"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0.115</w:t>
            </w:r>
          </w:p>
        </w:tc>
        <w:tc>
          <w:tcPr>
            <w:tcW w:w="0" w:type="auto"/>
            <w:tcBorders>
              <w:top w:val="nil"/>
              <w:left w:val="nil"/>
              <w:bottom w:val="nil"/>
              <w:right w:val="nil"/>
            </w:tcBorders>
          </w:tcPr>
          <w:p w14:paraId="65A5AAD6" w14:textId="335E6D58"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0.055</w:t>
            </w:r>
          </w:p>
        </w:tc>
        <w:tc>
          <w:tcPr>
            <w:tcW w:w="0" w:type="auto"/>
            <w:tcBorders>
              <w:top w:val="nil"/>
              <w:left w:val="nil"/>
              <w:bottom w:val="nil"/>
              <w:right w:val="nil"/>
            </w:tcBorders>
          </w:tcPr>
          <w:p w14:paraId="1F97CE8D" w14:textId="66DB89B0"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-0.192</w:t>
            </w:r>
          </w:p>
        </w:tc>
        <w:tc>
          <w:tcPr>
            <w:tcW w:w="0" w:type="auto"/>
            <w:tcBorders>
              <w:top w:val="nil"/>
              <w:left w:val="nil"/>
              <w:bottom w:val="nil"/>
              <w:right w:val="nil"/>
            </w:tcBorders>
          </w:tcPr>
          <w:p w14:paraId="1DDBC5E6" w14:textId="66F57E02"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0.120</w:t>
            </w:r>
          </w:p>
        </w:tc>
        <w:tc>
          <w:tcPr>
            <w:tcW w:w="0" w:type="auto"/>
            <w:tcBorders>
              <w:top w:val="nil"/>
              <w:left w:val="nil"/>
              <w:bottom w:val="nil"/>
              <w:right w:val="nil"/>
            </w:tcBorders>
          </w:tcPr>
          <w:p w14:paraId="1343D7C2" w14:textId="68B2C1BC"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-0.300</w:t>
            </w:r>
          </w:p>
        </w:tc>
        <w:tc>
          <w:tcPr>
            <w:tcW w:w="0" w:type="auto"/>
            <w:gridSpan w:val="2"/>
            <w:tcBorders>
              <w:top w:val="nil"/>
              <w:left w:val="nil"/>
              <w:bottom w:val="nil"/>
              <w:right w:val="nil"/>
            </w:tcBorders>
          </w:tcPr>
          <w:p w14:paraId="2CB8E0BB" w14:textId="1072D5BD"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-0.352</w:t>
            </w:r>
          </w:p>
        </w:tc>
        <w:tc>
          <w:tcPr>
            <w:tcW w:w="0" w:type="auto"/>
            <w:tcBorders>
              <w:top w:val="nil"/>
              <w:left w:val="nil"/>
              <w:bottom w:val="nil"/>
              <w:right w:val="nil"/>
            </w:tcBorders>
          </w:tcPr>
          <w:p w14:paraId="4B9222B3" w14:textId="57E7C11E"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0.537</w:t>
            </w:r>
          </w:p>
        </w:tc>
        <w:tc>
          <w:tcPr>
            <w:tcW w:w="0" w:type="auto"/>
            <w:tcBorders>
              <w:top w:val="nil"/>
              <w:left w:val="nil"/>
              <w:bottom w:val="nil"/>
              <w:right w:val="nil"/>
            </w:tcBorders>
          </w:tcPr>
          <w:p w14:paraId="404A12C8" w14:textId="7D09A6DE"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-0.285</w:t>
            </w:r>
          </w:p>
        </w:tc>
        <w:tc>
          <w:tcPr>
            <w:tcW w:w="0" w:type="auto"/>
            <w:tcBorders>
              <w:top w:val="nil"/>
              <w:left w:val="nil"/>
              <w:bottom w:val="nil"/>
              <w:right w:val="nil"/>
            </w:tcBorders>
          </w:tcPr>
          <w:p w14:paraId="74BF4FC1" w14:textId="6B0F6793"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1.000</w:t>
            </w:r>
          </w:p>
        </w:tc>
        <w:tc>
          <w:tcPr>
            <w:tcW w:w="0" w:type="auto"/>
            <w:tcBorders>
              <w:top w:val="nil"/>
              <w:left w:val="nil"/>
              <w:bottom w:val="nil"/>
              <w:right w:val="nil"/>
            </w:tcBorders>
          </w:tcPr>
          <w:p w14:paraId="6A639BCB" w14:textId="0736FE97" w:rsidR="00AF4F9F" w:rsidRPr="00143CDD" w:rsidRDefault="00AF4F9F" w:rsidP="00AF4F9F">
            <w:pPr>
              <w:widowControl w:val="0"/>
              <w:autoSpaceDE w:val="0"/>
              <w:autoSpaceDN w:val="0"/>
              <w:adjustRightInd w:val="0"/>
              <w:jc w:val="right"/>
              <w:rPr>
                <w:sz w:val="16"/>
                <w:szCs w:val="16"/>
              </w:rPr>
            </w:pPr>
          </w:p>
        </w:tc>
      </w:tr>
      <w:tr w:rsidR="00AF4F9F" w:rsidRPr="00A850E8" w14:paraId="776D201F" w14:textId="77777777" w:rsidTr="00A850E8">
        <w:trPr>
          <w:gridAfter w:val="1"/>
        </w:trPr>
        <w:tc>
          <w:tcPr>
            <w:tcW w:w="0" w:type="auto"/>
            <w:tcBorders>
              <w:top w:val="nil"/>
              <w:left w:val="nil"/>
              <w:bottom w:val="single" w:sz="4" w:space="0" w:color="auto"/>
              <w:right w:val="nil"/>
            </w:tcBorders>
          </w:tcPr>
          <w:p w14:paraId="3F56E6A7" w14:textId="19EF4401" w:rsidR="00AF4F9F" w:rsidRPr="00143CDD" w:rsidRDefault="00AF4F9F" w:rsidP="00AF4F9F">
            <w:pPr>
              <w:widowControl w:val="0"/>
              <w:autoSpaceDE w:val="0"/>
              <w:autoSpaceDN w:val="0"/>
              <w:adjustRightInd w:val="0"/>
              <w:rPr>
                <w:sz w:val="16"/>
                <w:szCs w:val="16"/>
              </w:rPr>
            </w:pPr>
            <w:r w:rsidRPr="00143CDD">
              <w:rPr>
                <w:sz w:val="16"/>
                <w:szCs w:val="16"/>
              </w:rPr>
              <w:t>(10) Tobin’s Q</w:t>
            </w:r>
          </w:p>
        </w:tc>
        <w:tc>
          <w:tcPr>
            <w:tcW w:w="0" w:type="auto"/>
            <w:tcBorders>
              <w:top w:val="nil"/>
              <w:left w:val="nil"/>
              <w:bottom w:val="single" w:sz="4" w:space="0" w:color="auto"/>
              <w:right w:val="nil"/>
            </w:tcBorders>
          </w:tcPr>
          <w:p w14:paraId="03DB6C7D" w14:textId="03CF124E" w:rsidR="00AF4F9F" w:rsidRPr="00143CDD" w:rsidRDefault="00AF4F9F" w:rsidP="00AF4F9F">
            <w:pPr>
              <w:widowControl w:val="0"/>
              <w:autoSpaceDE w:val="0"/>
              <w:autoSpaceDN w:val="0"/>
              <w:adjustRightInd w:val="0"/>
              <w:jc w:val="right"/>
              <w:rPr>
                <w:sz w:val="16"/>
                <w:szCs w:val="16"/>
              </w:rPr>
            </w:pPr>
          </w:p>
        </w:tc>
        <w:tc>
          <w:tcPr>
            <w:tcW w:w="0" w:type="auto"/>
            <w:tcBorders>
              <w:top w:val="nil"/>
              <w:left w:val="nil"/>
              <w:bottom w:val="single" w:sz="4" w:space="0" w:color="auto"/>
              <w:right w:val="nil"/>
            </w:tcBorders>
          </w:tcPr>
          <w:p w14:paraId="13DDA665" w14:textId="3EE0246D" w:rsidR="00AF4F9F" w:rsidRPr="00AF4F9F" w:rsidRDefault="00AF4F9F" w:rsidP="00AF4F9F">
            <w:pPr>
              <w:widowControl w:val="0"/>
              <w:autoSpaceDE w:val="0"/>
              <w:autoSpaceDN w:val="0"/>
              <w:adjustRightInd w:val="0"/>
              <w:jc w:val="right"/>
              <w:rPr>
                <w:sz w:val="16"/>
                <w:szCs w:val="16"/>
              </w:rPr>
            </w:pPr>
            <w:r w:rsidRPr="00AF4F9F">
              <w:rPr>
                <w:rFonts w:ascii="Garamond" w:hAnsi="Garamond"/>
                <w:sz w:val="16"/>
                <w:szCs w:val="20"/>
              </w:rPr>
              <w:t>-0.059</w:t>
            </w:r>
          </w:p>
        </w:tc>
        <w:tc>
          <w:tcPr>
            <w:tcW w:w="0" w:type="auto"/>
            <w:tcBorders>
              <w:top w:val="nil"/>
              <w:left w:val="nil"/>
              <w:bottom w:val="single" w:sz="4" w:space="0" w:color="auto"/>
              <w:right w:val="nil"/>
            </w:tcBorders>
          </w:tcPr>
          <w:p w14:paraId="39451FE6" w14:textId="2BBC9D1A"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-0.034</w:t>
            </w:r>
          </w:p>
        </w:tc>
        <w:tc>
          <w:tcPr>
            <w:tcW w:w="0" w:type="auto"/>
            <w:tcBorders>
              <w:top w:val="nil"/>
              <w:left w:val="nil"/>
              <w:bottom w:val="single" w:sz="4" w:space="0" w:color="auto"/>
              <w:right w:val="nil"/>
            </w:tcBorders>
          </w:tcPr>
          <w:p w14:paraId="2BE57EAB" w14:textId="5DB0ACEC"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0.125</w:t>
            </w:r>
          </w:p>
        </w:tc>
        <w:tc>
          <w:tcPr>
            <w:tcW w:w="0" w:type="auto"/>
            <w:tcBorders>
              <w:top w:val="nil"/>
              <w:left w:val="nil"/>
              <w:bottom w:val="single" w:sz="4" w:space="0" w:color="auto"/>
              <w:right w:val="nil"/>
            </w:tcBorders>
          </w:tcPr>
          <w:p w14:paraId="1E391DDF" w14:textId="7B1973E9"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-0.051</w:t>
            </w:r>
          </w:p>
        </w:tc>
        <w:tc>
          <w:tcPr>
            <w:tcW w:w="0" w:type="auto"/>
            <w:tcBorders>
              <w:top w:val="nil"/>
              <w:left w:val="nil"/>
              <w:bottom w:val="single" w:sz="4" w:space="0" w:color="auto"/>
              <w:right w:val="nil"/>
            </w:tcBorders>
          </w:tcPr>
          <w:p w14:paraId="103BACE3" w14:textId="3F629CF8"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0.240</w:t>
            </w:r>
          </w:p>
        </w:tc>
        <w:tc>
          <w:tcPr>
            <w:tcW w:w="0" w:type="auto"/>
            <w:gridSpan w:val="2"/>
            <w:tcBorders>
              <w:top w:val="nil"/>
              <w:left w:val="nil"/>
              <w:bottom w:val="single" w:sz="4" w:space="0" w:color="auto"/>
              <w:right w:val="nil"/>
            </w:tcBorders>
          </w:tcPr>
          <w:p w14:paraId="5C642EC5" w14:textId="2CEB5404"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0.244</w:t>
            </w:r>
          </w:p>
        </w:tc>
        <w:tc>
          <w:tcPr>
            <w:tcW w:w="0" w:type="auto"/>
            <w:tcBorders>
              <w:top w:val="nil"/>
              <w:left w:val="nil"/>
              <w:bottom w:val="single" w:sz="4" w:space="0" w:color="auto"/>
              <w:right w:val="nil"/>
            </w:tcBorders>
          </w:tcPr>
          <w:p w14:paraId="0A631F26" w14:textId="23A8A66D"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-0.674</w:t>
            </w:r>
          </w:p>
        </w:tc>
        <w:tc>
          <w:tcPr>
            <w:tcW w:w="0" w:type="auto"/>
            <w:tcBorders>
              <w:top w:val="nil"/>
              <w:left w:val="nil"/>
              <w:bottom w:val="single" w:sz="4" w:space="0" w:color="auto"/>
              <w:right w:val="nil"/>
            </w:tcBorders>
          </w:tcPr>
          <w:p w14:paraId="17AEB7A5" w14:textId="0082F7F2"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0.534</w:t>
            </w:r>
          </w:p>
        </w:tc>
        <w:tc>
          <w:tcPr>
            <w:tcW w:w="0" w:type="auto"/>
            <w:tcBorders>
              <w:top w:val="nil"/>
              <w:left w:val="nil"/>
              <w:bottom w:val="single" w:sz="4" w:space="0" w:color="auto"/>
              <w:right w:val="nil"/>
            </w:tcBorders>
          </w:tcPr>
          <w:p w14:paraId="24C7E951" w14:textId="701900EB" w:rsidR="00AF4F9F" w:rsidRPr="00143CDD" w:rsidRDefault="00AF4F9F" w:rsidP="00AF4F9F">
            <w:pPr>
              <w:widowControl w:val="0"/>
              <w:autoSpaceDE w:val="0"/>
              <w:autoSpaceDN w:val="0"/>
              <w:adjustRightInd w:val="0"/>
              <w:jc w:val="right"/>
              <w:rPr>
                <w:sz w:val="16"/>
                <w:szCs w:val="16"/>
              </w:rPr>
            </w:pPr>
            <w:r w:rsidRPr="00037A27">
              <w:rPr>
                <w:rFonts w:ascii="Garamond" w:hAnsi="Garamond"/>
                <w:sz w:val="16"/>
                <w:szCs w:val="16"/>
              </w:rPr>
              <w:t>-0.428</w:t>
            </w:r>
          </w:p>
        </w:tc>
        <w:tc>
          <w:tcPr>
            <w:tcW w:w="0" w:type="auto"/>
            <w:tcBorders>
              <w:top w:val="nil"/>
              <w:left w:val="nil"/>
              <w:bottom w:val="single" w:sz="4" w:space="0" w:color="auto"/>
              <w:right w:val="nil"/>
            </w:tcBorders>
          </w:tcPr>
          <w:p w14:paraId="244EA0FE" w14:textId="08A93640" w:rsidR="00AF4F9F" w:rsidRPr="00143CDD" w:rsidRDefault="00AF4F9F" w:rsidP="00AF4F9F">
            <w:pPr>
              <w:widowControl w:val="0"/>
              <w:autoSpaceDE w:val="0"/>
              <w:autoSpaceDN w:val="0"/>
              <w:adjustRightInd w:val="0"/>
              <w:jc w:val="right"/>
              <w:rPr>
                <w:sz w:val="16"/>
                <w:szCs w:val="16"/>
              </w:rPr>
            </w:pPr>
            <w:r w:rsidRPr="00143CDD">
              <w:rPr>
                <w:rFonts w:ascii="Garamond" w:hAnsi="Garamond"/>
                <w:sz w:val="16"/>
                <w:szCs w:val="16"/>
              </w:rPr>
              <w:t>1.000</w:t>
            </w:r>
          </w:p>
        </w:tc>
      </w:tr>
      <w:tr w:rsidR="00143CDD" w:rsidRPr="00A850E8" w14:paraId="2BE9C3C2" w14:textId="77777777" w:rsidTr="00A850E8">
        <w:trPr>
          <w:gridAfter w:val="1"/>
        </w:trPr>
        <w:tc>
          <w:tcPr>
            <w:tcW w:w="0" w:type="auto"/>
            <w:tcBorders>
              <w:top w:val="single" w:sz="4" w:space="0" w:color="auto"/>
              <w:left w:val="nil"/>
              <w:right w:val="nil"/>
            </w:tcBorders>
          </w:tcPr>
          <w:p w14:paraId="46974495" w14:textId="451E074B" w:rsidR="00143CDD" w:rsidRPr="00A850E8" w:rsidRDefault="00143CDD" w:rsidP="00143CDD">
            <w:pPr>
              <w:widowControl w:val="0"/>
              <w:autoSpaceDE w:val="0"/>
              <w:autoSpaceDN w:val="0"/>
              <w:adjustRightInd w:val="0"/>
              <w:rPr>
                <w:sz w:val="16"/>
                <w:szCs w:val="16"/>
              </w:rPr>
            </w:pPr>
          </w:p>
        </w:tc>
        <w:tc>
          <w:tcPr>
            <w:tcW w:w="0" w:type="auto"/>
            <w:tcBorders>
              <w:top w:val="single" w:sz="4" w:space="0" w:color="auto"/>
              <w:left w:val="nil"/>
              <w:right w:val="nil"/>
            </w:tcBorders>
          </w:tcPr>
          <w:p w14:paraId="342EEABC" w14:textId="43022A50"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06F009A3" w14:textId="2AF2E32E"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41AE75CD" w14:textId="15F674FE"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5CEA0D2B" w14:textId="12C4762E"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1A080057" w14:textId="24816320"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4001DBA7" w14:textId="43581098" w:rsidR="00143CDD" w:rsidRPr="00A850E8" w:rsidRDefault="00143CDD" w:rsidP="00143CDD">
            <w:pPr>
              <w:widowControl w:val="0"/>
              <w:autoSpaceDE w:val="0"/>
              <w:autoSpaceDN w:val="0"/>
              <w:adjustRightInd w:val="0"/>
              <w:jc w:val="right"/>
              <w:rPr>
                <w:sz w:val="16"/>
                <w:szCs w:val="16"/>
              </w:rPr>
            </w:pPr>
          </w:p>
        </w:tc>
        <w:tc>
          <w:tcPr>
            <w:tcW w:w="0" w:type="auto"/>
            <w:gridSpan w:val="2"/>
            <w:tcBorders>
              <w:top w:val="single" w:sz="4" w:space="0" w:color="auto"/>
              <w:left w:val="nil"/>
              <w:right w:val="nil"/>
            </w:tcBorders>
          </w:tcPr>
          <w:p w14:paraId="22546B8A" w14:textId="7A199AE4"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1BAE46C1" w14:textId="5CD53330"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07DD27BE" w14:textId="10CB2849"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4A4A5E64" w14:textId="6F6BACA5" w:rsidR="00143CDD" w:rsidRPr="00A850E8" w:rsidRDefault="00143CDD" w:rsidP="00143CDD">
            <w:pPr>
              <w:widowControl w:val="0"/>
              <w:autoSpaceDE w:val="0"/>
              <w:autoSpaceDN w:val="0"/>
              <w:adjustRightInd w:val="0"/>
              <w:jc w:val="right"/>
              <w:rPr>
                <w:sz w:val="16"/>
                <w:szCs w:val="16"/>
              </w:rPr>
            </w:pPr>
          </w:p>
        </w:tc>
        <w:tc>
          <w:tcPr>
            <w:tcW w:w="0" w:type="auto"/>
            <w:tcBorders>
              <w:top w:val="single" w:sz="4" w:space="0" w:color="auto"/>
              <w:left w:val="nil"/>
              <w:right w:val="nil"/>
            </w:tcBorders>
          </w:tcPr>
          <w:p w14:paraId="22140F47" w14:textId="0F37EC29" w:rsidR="00143CDD" w:rsidRPr="00A850E8" w:rsidRDefault="00143CDD" w:rsidP="00143CDD">
            <w:pPr>
              <w:widowControl w:val="0"/>
              <w:autoSpaceDE w:val="0"/>
              <w:autoSpaceDN w:val="0"/>
              <w:adjustRightInd w:val="0"/>
              <w:jc w:val="right"/>
              <w:rPr>
                <w:sz w:val="16"/>
                <w:szCs w:val="16"/>
              </w:rPr>
            </w:pPr>
          </w:p>
        </w:tc>
      </w:tr>
      <w:tr w:rsidR="00143CDD" w:rsidRPr="00A850E8" w14:paraId="54378606" w14:textId="77777777" w:rsidTr="00A850E8">
        <w:trPr>
          <w:gridAfter w:val="1"/>
        </w:trPr>
        <w:tc>
          <w:tcPr>
            <w:tcW w:w="0" w:type="auto"/>
            <w:gridSpan w:val="13"/>
            <w:tcBorders>
              <w:top w:val="nil"/>
              <w:left w:val="nil"/>
              <w:bottom w:val="nil"/>
              <w:right w:val="nil"/>
            </w:tcBorders>
            <w:vAlign w:val="center"/>
          </w:tcPr>
          <w:p w14:paraId="19A2739C" w14:textId="0AEEE6E6" w:rsidR="00143CDD" w:rsidRPr="00A850E8" w:rsidRDefault="00143CDD" w:rsidP="00143CDD">
            <w:pPr>
              <w:jc w:val="both"/>
              <w:rPr>
                <w:sz w:val="22"/>
                <w:szCs w:val="16"/>
              </w:rPr>
            </w:pPr>
            <w:r w:rsidRPr="00A850E8">
              <w:rPr>
                <w:bCs/>
                <w:sz w:val="22"/>
                <w:szCs w:val="16"/>
              </w:rPr>
              <w:t>This table presents the c</w:t>
            </w:r>
            <w:r w:rsidRPr="00A850E8">
              <w:rPr>
                <w:sz w:val="22"/>
                <w:szCs w:val="16"/>
              </w:rPr>
              <w:t>orrelation matrix for the sample of 41,918 firm-year observations (6,392 unique firms) over the period from 2008 to 2019. The sample consists of U</w:t>
            </w:r>
            <w:r>
              <w:rPr>
                <w:sz w:val="22"/>
                <w:szCs w:val="16"/>
              </w:rPr>
              <w:t>.</w:t>
            </w:r>
            <w:r w:rsidRPr="00A850E8">
              <w:rPr>
                <w:sz w:val="22"/>
                <w:szCs w:val="16"/>
              </w:rPr>
              <w:t>S</w:t>
            </w:r>
            <w:r>
              <w:rPr>
                <w:sz w:val="22"/>
                <w:szCs w:val="16"/>
              </w:rPr>
              <w:t>.</w:t>
            </w:r>
            <w:r w:rsidRPr="00A850E8">
              <w:rPr>
                <w:sz w:val="22"/>
                <w:szCs w:val="16"/>
              </w:rPr>
              <w:t xml:space="preserve"> incorporated listed nonfinancial firms. Financial data are collected from Compustat. Please refer to Appendix C for variable definitions.</w:t>
            </w:r>
          </w:p>
          <w:p w14:paraId="133786B5" w14:textId="77777777" w:rsidR="00143CDD" w:rsidRPr="00A850E8" w:rsidRDefault="00143CDD" w:rsidP="00143CDD">
            <w:pPr>
              <w:widowControl w:val="0"/>
              <w:autoSpaceDE w:val="0"/>
              <w:autoSpaceDN w:val="0"/>
              <w:adjustRightInd w:val="0"/>
              <w:rPr>
                <w:sz w:val="22"/>
                <w:szCs w:val="16"/>
              </w:rPr>
            </w:pPr>
          </w:p>
        </w:tc>
      </w:tr>
    </w:tbl>
    <w:p w14:paraId="264269C7" w14:textId="7442FA4D" w:rsidR="006758F5" w:rsidRPr="00A850E8" w:rsidRDefault="006758F5" w:rsidP="00245A4A">
      <w:pPr>
        <w:rPr>
          <w:sz w:val="32"/>
          <w:szCs w:val="22"/>
        </w:rPr>
      </w:pPr>
    </w:p>
    <w:p w14:paraId="7B8D25D5" w14:textId="035D31DB" w:rsidR="00EB62CE" w:rsidRDefault="00EB62CE" w:rsidP="00245A4A">
      <w:pPr>
        <w:rPr>
          <w:sz w:val="22"/>
          <w:szCs w:val="22"/>
        </w:rPr>
      </w:pPr>
    </w:p>
    <w:p w14:paraId="4739CF10" w14:textId="15A2840C" w:rsidR="006758F5" w:rsidRPr="00AD55AA" w:rsidRDefault="006758F5">
      <w:pPr>
        <w:spacing w:after="160" w:line="259" w:lineRule="auto"/>
        <w:rPr>
          <w:sz w:val="22"/>
          <w:szCs w:val="22"/>
        </w:rPr>
      </w:pPr>
      <w:r w:rsidRPr="00AD55AA">
        <w:rPr>
          <w:sz w:val="22"/>
          <w:szCs w:val="22"/>
        </w:rPr>
        <w:br w:type="page"/>
      </w:r>
    </w:p>
    <w:p w14:paraId="0403EC1F" w14:textId="77777777" w:rsidR="006758F5" w:rsidRPr="00AD55AA" w:rsidRDefault="006758F5" w:rsidP="00245A4A">
      <w:pPr>
        <w:rPr>
          <w:sz w:val="22"/>
          <w:szCs w:val="22"/>
        </w:rPr>
      </w:pPr>
    </w:p>
    <w:tbl>
      <w:tblPr>
        <w:tblW w:w="0" w:type="auto"/>
        <w:jc w:val="center"/>
        <w:tblCellMar>
          <w:left w:w="75" w:type="dxa"/>
          <w:right w:w="75" w:type="dxa"/>
        </w:tblCellMar>
        <w:tblLook w:val="0000" w:firstRow="0" w:lastRow="0" w:firstColumn="0" w:lastColumn="0" w:noHBand="0" w:noVBand="0"/>
      </w:tblPr>
      <w:tblGrid>
        <w:gridCol w:w="3100"/>
        <w:gridCol w:w="294"/>
        <w:gridCol w:w="1917"/>
        <w:gridCol w:w="1839"/>
        <w:gridCol w:w="1917"/>
      </w:tblGrid>
      <w:tr w:rsidR="002733CA" w:rsidRPr="00AD55AA" w14:paraId="79BBE68A" w14:textId="77777777" w:rsidTr="002733CA">
        <w:trPr>
          <w:jc w:val="center"/>
        </w:trPr>
        <w:tc>
          <w:tcPr>
            <w:tcW w:w="0" w:type="auto"/>
            <w:tcBorders>
              <w:left w:val="nil"/>
              <w:right w:val="nil"/>
            </w:tcBorders>
          </w:tcPr>
          <w:p w14:paraId="4D6CEAEC" w14:textId="3DE68707" w:rsidR="002733CA" w:rsidRPr="00AD55AA" w:rsidRDefault="002733CA" w:rsidP="00233992">
            <w:pPr>
              <w:widowControl w:val="0"/>
              <w:autoSpaceDE w:val="0"/>
              <w:autoSpaceDN w:val="0"/>
              <w:adjustRightInd w:val="0"/>
              <w:rPr>
                <w:sz w:val="22"/>
                <w:szCs w:val="22"/>
              </w:rPr>
            </w:pPr>
            <w:r w:rsidRPr="00AD55AA">
              <w:rPr>
                <w:b/>
                <w:sz w:val="22"/>
                <w:szCs w:val="22"/>
              </w:rPr>
              <w:t xml:space="preserve">Table </w:t>
            </w:r>
            <w:r>
              <w:rPr>
                <w:b/>
                <w:sz w:val="22"/>
                <w:szCs w:val="22"/>
              </w:rPr>
              <w:t>4</w:t>
            </w:r>
          </w:p>
        </w:tc>
        <w:tc>
          <w:tcPr>
            <w:tcW w:w="0" w:type="auto"/>
            <w:tcBorders>
              <w:left w:val="nil"/>
              <w:right w:val="nil"/>
            </w:tcBorders>
          </w:tcPr>
          <w:p w14:paraId="667D3AC5" w14:textId="77777777" w:rsidR="002733CA" w:rsidRPr="00AD55AA" w:rsidRDefault="002733CA" w:rsidP="00233992">
            <w:pPr>
              <w:widowControl w:val="0"/>
              <w:autoSpaceDE w:val="0"/>
              <w:autoSpaceDN w:val="0"/>
              <w:adjustRightInd w:val="0"/>
              <w:jc w:val="center"/>
              <w:rPr>
                <w:sz w:val="22"/>
                <w:szCs w:val="22"/>
              </w:rPr>
            </w:pPr>
          </w:p>
        </w:tc>
        <w:tc>
          <w:tcPr>
            <w:tcW w:w="0" w:type="auto"/>
            <w:gridSpan w:val="3"/>
            <w:tcBorders>
              <w:left w:val="nil"/>
              <w:right w:val="nil"/>
            </w:tcBorders>
          </w:tcPr>
          <w:p w14:paraId="6D448C01" w14:textId="77777777" w:rsidR="002733CA" w:rsidRPr="00AD55AA" w:rsidRDefault="002733CA" w:rsidP="00233992">
            <w:pPr>
              <w:widowControl w:val="0"/>
              <w:autoSpaceDE w:val="0"/>
              <w:autoSpaceDN w:val="0"/>
              <w:adjustRightInd w:val="0"/>
              <w:jc w:val="center"/>
              <w:rPr>
                <w:sz w:val="22"/>
                <w:szCs w:val="22"/>
              </w:rPr>
            </w:pPr>
          </w:p>
        </w:tc>
      </w:tr>
      <w:tr w:rsidR="002733CA" w:rsidRPr="00AD55AA" w14:paraId="07628A39" w14:textId="77777777" w:rsidTr="002733CA">
        <w:trPr>
          <w:jc w:val="center"/>
        </w:trPr>
        <w:tc>
          <w:tcPr>
            <w:tcW w:w="0" w:type="auto"/>
            <w:gridSpan w:val="5"/>
            <w:tcBorders>
              <w:left w:val="nil"/>
              <w:right w:val="nil"/>
            </w:tcBorders>
          </w:tcPr>
          <w:p w14:paraId="43DCC446" w14:textId="5D55C410" w:rsidR="002733CA" w:rsidRPr="00AD55AA" w:rsidRDefault="002733CA" w:rsidP="002733CA">
            <w:pPr>
              <w:widowControl w:val="0"/>
              <w:autoSpaceDE w:val="0"/>
              <w:autoSpaceDN w:val="0"/>
              <w:adjustRightInd w:val="0"/>
              <w:rPr>
                <w:sz w:val="22"/>
                <w:szCs w:val="22"/>
              </w:rPr>
            </w:pPr>
            <w:r>
              <w:rPr>
                <w:b/>
                <w:sz w:val="22"/>
                <w:szCs w:val="22"/>
              </w:rPr>
              <w:t xml:space="preserve">CFIUS </w:t>
            </w:r>
            <w:r>
              <w:rPr>
                <w:b/>
                <w:bCs/>
                <w:sz w:val="22"/>
                <w:szCs w:val="22"/>
              </w:rPr>
              <w:t xml:space="preserve">interventions </w:t>
            </w:r>
            <w:r>
              <w:rPr>
                <w:b/>
                <w:sz w:val="22"/>
                <w:szCs w:val="22"/>
              </w:rPr>
              <w:t>and corporate i</w:t>
            </w:r>
            <w:r w:rsidRPr="00AD55AA">
              <w:rPr>
                <w:b/>
                <w:sz w:val="22"/>
                <w:szCs w:val="22"/>
              </w:rPr>
              <w:t>nvestment</w:t>
            </w:r>
          </w:p>
        </w:tc>
      </w:tr>
      <w:tr w:rsidR="002733CA" w:rsidRPr="00AD55AA" w14:paraId="1AD56231" w14:textId="77777777" w:rsidTr="002733CA">
        <w:trPr>
          <w:jc w:val="center"/>
        </w:trPr>
        <w:tc>
          <w:tcPr>
            <w:tcW w:w="0" w:type="auto"/>
            <w:tcBorders>
              <w:left w:val="nil"/>
              <w:right w:val="nil"/>
            </w:tcBorders>
          </w:tcPr>
          <w:p w14:paraId="2F99656D" w14:textId="77777777" w:rsidR="002733CA" w:rsidRPr="00AD55AA" w:rsidRDefault="002733CA" w:rsidP="00233992">
            <w:pPr>
              <w:widowControl w:val="0"/>
              <w:autoSpaceDE w:val="0"/>
              <w:autoSpaceDN w:val="0"/>
              <w:adjustRightInd w:val="0"/>
              <w:rPr>
                <w:sz w:val="22"/>
                <w:szCs w:val="22"/>
              </w:rPr>
            </w:pPr>
          </w:p>
        </w:tc>
        <w:tc>
          <w:tcPr>
            <w:tcW w:w="0" w:type="auto"/>
            <w:tcBorders>
              <w:left w:val="nil"/>
              <w:right w:val="nil"/>
            </w:tcBorders>
          </w:tcPr>
          <w:p w14:paraId="2AD4E23D" w14:textId="77777777" w:rsidR="002733CA" w:rsidRPr="00AD55AA" w:rsidRDefault="002733CA" w:rsidP="00233992">
            <w:pPr>
              <w:widowControl w:val="0"/>
              <w:autoSpaceDE w:val="0"/>
              <w:autoSpaceDN w:val="0"/>
              <w:adjustRightInd w:val="0"/>
              <w:jc w:val="center"/>
              <w:rPr>
                <w:sz w:val="22"/>
                <w:szCs w:val="22"/>
              </w:rPr>
            </w:pPr>
          </w:p>
        </w:tc>
        <w:tc>
          <w:tcPr>
            <w:tcW w:w="0" w:type="auto"/>
            <w:gridSpan w:val="3"/>
            <w:tcBorders>
              <w:left w:val="nil"/>
              <w:right w:val="nil"/>
            </w:tcBorders>
          </w:tcPr>
          <w:p w14:paraId="43F7F741" w14:textId="77777777" w:rsidR="002733CA" w:rsidRPr="00AD55AA" w:rsidRDefault="002733CA" w:rsidP="00233992">
            <w:pPr>
              <w:widowControl w:val="0"/>
              <w:autoSpaceDE w:val="0"/>
              <w:autoSpaceDN w:val="0"/>
              <w:adjustRightInd w:val="0"/>
              <w:jc w:val="center"/>
              <w:rPr>
                <w:sz w:val="22"/>
                <w:szCs w:val="22"/>
              </w:rPr>
            </w:pPr>
          </w:p>
        </w:tc>
      </w:tr>
      <w:tr w:rsidR="00AF4F9F" w:rsidRPr="00AD55AA" w14:paraId="4E3A74F8" w14:textId="77777777" w:rsidTr="00F57ACE">
        <w:trPr>
          <w:jc w:val="center"/>
        </w:trPr>
        <w:tc>
          <w:tcPr>
            <w:tcW w:w="0" w:type="auto"/>
            <w:tcBorders>
              <w:top w:val="single" w:sz="4" w:space="0" w:color="auto"/>
              <w:left w:val="nil"/>
              <w:right w:val="nil"/>
            </w:tcBorders>
          </w:tcPr>
          <w:p w14:paraId="6EA141AB" w14:textId="74140066" w:rsidR="00AF4F9F" w:rsidRPr="00AD55AA" w:rsidRDefault="00AF4F9F" w:rsidP="00233992">
            <w:pPr>
              <w:widowControl w:val="0"/>
              <w:autoSpaceDE w:val="0"/>
              <w:autoSpaceDN w:val="0"/>
              <w:adjustRightInd w:val="0"/>
              <w:rPr>
                <w:sz w:val="22"/>
                <w:szCs w:val="22"/>
              </w:rPr>
            </w:pPr>
          </w:p>
        </w:tc>
        <w:tc>
          <w:tcPr>
            <w:tcW w:w="0" w:type="auto"/>
            <w:tcBorders>
              <w:top w:val="single" w:sz="4" w:space="0" w:color="auto"/>
              <w:left w:val="nil"/>
              <w:right w:val="nil"/>
            </w:tcBorders>
          </w:tcPr>
          <w:p w14:paraId="3B612499" w14:textId="77777777" w:rsidR="00AF4F9F" w:rsidRPr="00AD55AA" w:rsidRDefault="00AF4F9F" w:rsidP="00233992">
            <w:pPr>
              <w:widowControl w:val="0"/>
              <w:autoSpaceDE w:val="0"/>
              <w:autoSpaceDN w:val="0"/>
              <w:adjustRightInd w:val="0"/>
              <w:jc w:val="center"/>
              <w:rPr>
                <w:sz w:val="22"/>
                <w:szCs w:val="22"/>
              </w:rPr>
            </w:pPr>
          </w:p>
        </w:tc>
        <w:tc>
          <w:tcPr>
            <w:tcW w:w="0" w:type="auto"/>
            <w:gridSpan w:val="3"/>
            <w:tcBorders>
              <w:top w:val="single" w:sz="4" w:space="0" w:color="auto"/>
              <w:left w:val="nil"/>
              <w:right w:val="nil"/>
            </w:tcBorders>
          </w:tcPr>
          <w:p w14:paraId="144C4D34" w14:textId="2507F8EB" w:rsidR="00AF4F9F" w:rsidRPr="00AD55AA" w:rsidRDefault="00AF4F9F" w:rsidP="00233992">
            <w:pPr>
              <w:widowControl w:val="0"/>
              <w:autoSpaceDE w:val="0"/>
              <w:autoSpaceDN w:val="0"/>
              <w:adjustRightInd w:val="0"/>
              <w:jc w:val="center"/>
              <w:rPr>
                <w:sz w:val="22"/>
                <w:szCs w:val="22"/>
              </w:rPr>
            </w:pPr>
            <w:r w:rsidRPr="00AD55AA">
              <w:rPr>
                <w:sz w:val="22"/>
                <w:szCs w:val="22"/>
              </w:rPr>
              <w:t>Capex</w:t>
            </w:r>
          </w:p>
        </w:tc>
      </w:tr>
      <w:tr w:rsidR="00AF4F9F" w:rsidRPr="00AD55AA" w14:paraId="2601F602" w14:textId="77777777" w:rsidTr="00661E71">
        <w:trPr>
          <w:jc w:val="center"/>
        </w:trPr>
        <w:tc>
          <w:tcPr>
            <w:tcW w:w="0" w:type="auto"/>
            <w:tcBorders>
              <w:left w:val="nil"/>
              <w:bottom w:val="single" w:sz="6" w:space="0" w:color="auto"/>
              <w:right w:val="nil"/>
            </w:tcBorders>
          </w:tcPr>
          <w:p w14:paraId="66B392F6" w14:textId="77777777" w:rsidR="00AF4F9F" w:rsidRPr="00AD55AA" w:rsidRDefault="00AF4F9F" w:rsidP="00AF4F9F">
            <w:pPr>
              <w:widowControl w:val="0"/>
              <w:autoSpaceDE w:val="0"/>
              <w:autoSpaceDN w:val="0"/>
              <w:adjustRightInd w:val="0"/>
              <w:rPr>
                <w:sz w:val="22"/>
                <w:szCs w:val="22"/>
              </w:rPr>
            </w:pPr>
            <w:r w:rsidRPr="00AD55AA">
              <w:rPr>
                <w:sz w:val="22"/>
                <w:szCs w:val="22"/>
              </w:rPr>
              <w:t>Variable:</w:t>
            </w:r>
          </w:p>
        </w:tc>
        <w:tc>
          <w:tcPr>
            <w:tcW w:w="0" w:type="auto"/>
            <w:tcBorders>
              <w:left w:val="nil"/>
              <w:bottom w:val="single" w:sz="6" w:space="0" w:color="auto"/>
              <w:right w:val="nil"/>
            </w:tcBorders>
          </w:tcPr>
          <w:p w14:paraId="1219E181" w14:textId="0EE78349" w:rsidR="00AF4F9F" w:rsidRPr="00AD55AA" w:rsidRDefault="00AF4F9F" w:rsidP="00AF4F9F">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05ECC831" w14:textId="5CFA5A60" w:rsidR="00AF4F9F" w:rsidRPr="00AD55AA" w:rsidRDefault="00AF4F9F" w:rsidP="00AF4F9F">
            <w:pPr>
              <w:widowControl w:val="0"/>
              <w:autoSpaceDE w:val="0"/>
              <w:autoSpaceDN w:val="0"/>
              <w:adjustRightInd w:val="0"/>
              <w:jc w:val="center"/>
              <w:rPr>
                <w:sz w:val="22"/>
                <w:szCs w:val="22"/>
              </w:rPr>
            </w:pPr>
            <w:r w:rsidRPr="00AD55AA">
              <w:rPr>
                <w:sz w:val="22"/>
                <w:szCs w:val="22"/>
              </w:rPr>
              <w:t>(1)</w:t>
            </w:r>
          </w:p>
        </w:tc>
        <w:tc>
          <w:tcPr>
            <w:tcW w:w="0" w:type="auto"/>
            <w:tcBorders>
              <w:left w:val="nil"/>
              <w:bottom w:val="single" w:sz="6" w:space="0" w:color="auto"/>
              <w:right w:val="nil"/>
            </w:tcBorders>
          </w:tcPr>
          <w:p w14:paraId="67C8A75C" w14:textId="59B4676A" w:rsidR="00AF4F9F" w:rsidRPr="00AD55AA" w:rsidRDefault="00AF4F9F" w:rsidP="00AF4F9F">
            <w:pPr>
              <w:widowControl w:val="0"/>
              <w:autoSpaceDE w:val="0"/>
              <w:autoSpaceDN w:val="0"/>
              <w:adjustRightInd w:val="0"/>
              <w:jc w:val="center"/>
              <w:rPr>
                <w:sz w:val="22"/>
                <w:szCs w:val="22"/>
              </w:rPr>
            </w:pPr>
            <w:r w:rsidRPr="00AD55AA">
              <w:rPr>
                <w:sz w:val="22"/>
                <w:szCs w:val="22"/>
              </w:rPr>
              <w:t>(2)</w:t>
            </w:r>
          </w:p>
        </w:tc>
        <w:tc>
          <w:tcPr>
            <w:tcW w:w="0" w:type="auto"/>
            <w:tcBorders>
              <w:left w:val="nil"/>
              <w:bottom w:val="single" w:sz="6" w:space="0" w:color="auto"/>
              <w:right w:val="nil"/>
            </w:tcBorders>
          </w:tcPr>
          <w:p w14:paraId="17C97108" w14:textId="7D26B1A6" w:rsidR="00AF4F9F" w:rsidRPr="00AD55AA" w:rsidRDefault="00AF4F9F" w:rsidP="00AF4F9F">
            <w:pPr>
              <w:widowControl w:val="0"/>
              <w:autoSpaceDE w:val="0"/>
              <w:autoSpaceDN w:val="0"/>
              <w:adjustRightInd w:val="0"/>
              <w:jc w:val="center"/>
              <w:rPr>
                <w:sz w:val="22"/>
                <w:szCs w:val="22"/>
              </w:rPr>
            </w:pPr>
            <w:r w:rsidRPr="00AD55AA">
              <w:rPr>
                <w:sz w:val="22"/>
                <w:szCs w:val="22"/>
              </w:rPr>
              <w:t>(</w:t>
            </w:r>
            <w:r>
              <w:rPr>
                <w:sz w:val="22"/>
                <w:szCs w:val="22"/>
              </w:rPr>
              <w:t>3</w:t>
            </w:r>
            <w:r w:rsidRPr="00AD55AA">
              <w:rPr>
                <w:sz w:val="22"/>
                <w:szCs w:val="22"/>
              </w:rPr>
              <w:t>)</w:t>
            </w:r>
          </w:p>
        </w:tc>
      </w:tr>
      <w:tr w:rsidR="00AF4F9F" w:rsidRPr="00AD55AA" w14:paraId="5583B239" w14:textId="77777777" w:rsidTr="00233992">
        <w:trPr>
          <w:jc w:val="center"/>
        </w:trPr>
        <w:tc>
          <w:tcPr>
            <w:tcW w:w="0" w:type="auto"/>
            <w:tcBorders>
              <w:top w:val="nil"/>
              <w:left w:val="nil"/>
              <w:bottom w:val="nil"/>
              <w:right w:val="nil"/>
            </w:tcBorders>
          </w:tcPr>
          <w:p w14:paraId="344763BF"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31CA78FE"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3F90839D"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2615E19F"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307D6475" w14:textId="77777777" w:rsidR="00AF4F9F" w:rsidRPr="00AD55AA" w:rsidRDefault="00AF4F9F" w:rsidP="00AF4F9F">
            <w:pPr>
              <w:widowControl w:val="0"/>
              <w:autoSpaceDE w:val="0"/>
              <w:autoSpaceDN w:val="0"/>
              <w:adjustRightInd w:val="0"/>
              <w:jc w:val="center"/>
              <w:rPr>
                <w:sz w:val="22"/>
                <w:szCs w:val="22"/>
              </w:rPr>
            </w:pPr>
          </w:p>
        </w:tc>
      </w:tr>
      <w:tr w:rsidR="00AF4F9F" w:rsidRPr="00AD55AA" w14:paraId="76E5F4E9" w14:textId="77777777" w:rsidTr="00233992">
        <w:trPr>
          <w:jc w:val="center"/>
        </w:trPr>
        <w:tc>
          <w:tcPr>
            <w:tcW w:w="0" w:type="auto"/>
            <w:tcBorders>
              <w:top w:val="nil"/>
              <w:left w:val="nil"/>
              <w:bottom w:val="nil"/>
              <w:right w:val="nil"/>
            </w:tcBorders>
          </w:tcPr>
          <w:p w14:paraId="4C4BB123" w14:textId="25176804" w:rsidR="00AF4F9F" w:rsidRPr="00AD55AA" w:rsidRDefault="00AF4F9F" w:rsidP="00AF4F9F">
            <w:pPr>
              <w:widowControl w:val="0"/>
              <w:autoSpaceDE w:val="0"/>
              <w:autoSpaceDN w:val="0"/>
              <w:adjustRightInd w:val="0"/>
              <w:rPr>
                <w:sz w:val="22"/>
                <w:szCs w:val="22"/>
              </w:rPr>
            </w:pPr>
            <w:r w:rsidRPr="00AD55AA">
              <w:rPr>
                <w:sz w:val="22"/>
                <w:szCs w:val="22"/>
              </w:rPr>
              <w:t xml:space="preserve">CFIUS </w:t>
            </w:r>
            <w:r>
              <w:rPr>
                <w:sz w:val="22"/>
                <w:szCs w:val="22"/>
              </w:rPr>
              <w:t xml:space="preserve">Block </w:t>
            </w:r>
            <m:oMath>
              <m:r>
                <w:rPr>
                  <w:rFonts w:ascii="Cambria Math" w:eastAsiaTheme="minorHAnsi" w:hAnsi="Cambria Math"/>
                  <w:sz w:val="20"/>
                  <w:szCs w:val="20"/>
                  <w:lang w:eastAsia="en-US"/>
                </w:rPr>
                <m:t>i, t</m:t>
              </m:r>
            </m:oMath>
            <w:r w:rsidR="002733CA">
              <w:rPr>
                <w:sz w:val="20"/>
                <w:szCs w:val="20"/>
                <w:lang w:eastAsia="en-US"/>
              </w:rPr>
              <w:t xml:space="preserve"> </w:t>
            </w:r>
          </w:p>
        </w:tc>
        <w:tc>
          <w:tcPr>
            <w:tcW w:w="0" w:type="auto"/>
            <w:tcBorders>
              <w:top w:val="nil"/>
              <w:left w:val="nil"/>
              <w:bottom w:val="nil"/>
              <w:right w:val="nil"/>
            </w:tcBorders>
          </w:tcPr>
          <w:p w14:paraId="0ED77644"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7AE0CD6A" w14:textId="559095C1"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1D355CFD" w14:textId="47F06479" w:rsidR="00AF4F9F" w:rsidRPr="00AD55AA" w:rsidRDefault="00AF4F9F" w:rsidP="00AF4F9F">
            <w:pPr>
              <w:widowControl w:val="0"/>
              <w:autoSpaceDE w:val="0"/>
              <w:autoSpaceDN w:val="0"/>
              <w:adjustRightInd w:val="0"/>
              <w:jc w:val="center"/>
              <w:rPr>
                <w:sz w:val="22"/>
                <w:szCs w:val="22"/>
              </w:rPr>
            </w:pPr>
            <w:r w:rsidRPr="009E1D28">
              <w:rPr>
                <w:sz w:val="22"/>
                <w:szCs w:val="22"/>
              </w:rPr>
              <w:t>-0.087**</w:t>
            </w:r>
          </w:p>
        </w:tc>
        <w:tc>
          <w:tcPr>
            <w:tcW w:w="0" w:type="auto"/>
            <w:tcBorders>
              <w:top w:val="nil"/>
              <w:left w:val="nil"/>
              <w:bottom w:val="nil"/>
              <w:right w:val="nil"/>
            </w:tcBorders>
          </w:tcPr>
          <w:p w14:paraId="233D0498" w14:textId="1DCB931B" w:rsidR="00AF4F9F" w:rsidRPr="00AD55AA" w:rsidRDefault="00AF4F9F" w:rsidP="00AF4F9F">
            <w:pPr>
              <w:widowControl w:val="0"/>
              <w:autoSpaceDE w:val="0"/>
              <w:autoSpaceDN w:val="0"/>
              <w:adjustRightInd w:val="0"/>
              <w:jc w:val="center"/>
              <w:rPr>
                <w:sz w:val="22"/>
                <w:szCs w:val="22"/>
              </w:rPr>
            </w:pPr>
            <w:r w:rsidRPr="009E1D28">
              <w:rPr>
                <w:sz w:val="22"/>
                <w:szCs w:val="22"/>
              </w:rPr>
              <w:t>-0.076**</w:t>
            </w:r>
          </w:p>
        </w:tc>
      </w:tr>
      <w:tr w:rsidR="00AF4F9F" w:rsidRPr="00AD55AA" w14:paraId="1C5538B0" w14:textId="77777777" w:rsidTr="00233992">
        <w:trPr>
          <w:jc w:val="center"/>
        </w:trPr>
        <w:tc>
          <w:tcPr>
            <w:tcW w:w="0" w:type="auto"/>
            <w:tcBorders>
              <w:top w:val="nil"/>
              <w:left w:val="nil"/>
              <w:bottom w:val="nil"/>
              <w:right w:val="nil"/>
            </w:tcBorders>
          </w:tcPr>
          <w:p w14:paraId="66596C05"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0F91DAE7"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698796A6" w14:textId="25D73A11"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11AB4A21" w14:textId="1919B454" w:rsidR="00AF4F9F" w:rsidRPr="00AD55AA" w:rsidRDefault="00AF4F9F" w:rsidP="00AF4F9F">
            <w:pPr>
              <w:widowControl w:val="0"/>
              <w:autoSpaceDE w:val="0"/>
              <w:autoSpaceDN w:val="0"/>
              <w:adjustRightInd w:val="0"/>
              <w:jc w:val="center"/>
              <w:rPr>
                <w:sz w:val="22"/>
                <w:szCs w:val="22"/>
              </w:rPr>
            </w:pPr>
            <w:r w:rsidRPr="009E1D28">
              <w:rPr>
                <w:sz w:val="22"/>
                <w:szCs w:val="22"/>
              </w:rPr>
              <w:t>(-2.59)</w:t>
            </w:r>
          </w:p>
        </w:tc>
        <w:tc>
          <w:tcPr>
            <w:tcW w:w="0" w:type="auto"/>
            <w:tcBorders>
              <w:top w:val="nil"/>
              <w:left w:val="nil"/>
              <w:bottom w:val="nil"/>
              <w:right w:val="nil"/>
            </w:tcBorders>
          </w:tcPr>
          <w:p w14:paraId="73479612" w14:textId="30E008B6" w:rsidR="00AF4F9F" w:rsidRPr="00AD55AA" w:rsidRDefault="00AF4F9F" w:rsidP="00AF4F9F">
            <w:pPr>
              <w:widowControl w:val="0"/>
              <w:autoSpaceDE w:val="0"/>
              <w:autoSpaceDN w:val="0"/>
              <w:adjustRightInd w:val="0"/>
              <w:jc w:val="center"/>
              <w:rPr>
                <w:sz w:val="22"/>
                <w:szCs w:val="22"/>
              </w:rPr>
            </w:pPr>
            <w:r w:rsidRPr="009E1D28">
              <w:rPr>
                <w:sz w:val="22"/>
                <w:szCs w:val="22"/>
              </w:rPr>
              <w:t>(-2.44)</w:t>
            </w:r>
          </w:p>
        </w:tc>
      </w:tr>
      <w:tr w:rsidR="00AF4F9F" w:rsidRPr="00AD55AA" w14:paraId="428E541E" w14:textId="77777777" w:rsidTr="00233992">
        <w:trPr>
          <w:jc w:val="center"/>
        </w:trPr>
        <w:tc>
          <w:tcPr>
            <w:tcW w:w="0" w:type="auto"/>
            <w:tcBorders>
              <w:top w:val="nil"/>
              <w:left w:val="nil"/>
              <w:bottom w:val="nil"/>
              <w:right w:val="nil"/>
            </w:tcBorders>
          </w:tcPr>
          <w:p w14:paraId="398D08E8" w14:textId="7FBD3C6D" w:rsidR="00AF4F9F" w:rsidRPr="00AD55AA" w:rsidRDefault="00AF4F9F" w:rsidP="00AF4F9F">
            <w:pPr>
              <w:widowControl w:val="0"/>
              <w:autoSpaceDE w:val="0"/>
              <w:autoSpaceDN w:val="0"/>
              <w:adjustRightInd w:val="0"/>
              <w:rPr>
                <w:sz w:val="22"/>
                <w:szCs w:val="22"/>
              </w:rPr>
            </w:pPr>
            <w:r w:rsidRPr="00AD55AA">
              <w:rPr>
                <w:sz w:val="22"/>
                <w:szCs w:val="22"/>
              </w:rPr>
              <w:t>Cash flow</w:t>
            </w:r>
            <w:r>
              <w:rPr>
                <w:sz w:val="22"/>
                <w:szCs w:val="22"/>
              </w:rPr>
              <w:t xml:space="preserve"> </w:t>
            </w:r>
            <m:oMath>
              <m:r>
                <w:rPr>
                  <w:rFonts w:ascii="Cambria Math" w:eastAsiaTheme="minorHAnsi" w:hAnsi="Cambria Math"/>
                  <w:sz w:val="20"/>
                  <w:szCs w:val="20"/>
                  <w:lang w:eastAsia="en-US"/>
                </w:rPr>
                <m:t>i, t-1</m:t>
              </m:r>
            </m:oMath>
            <w:r w:rsidR="002733CA">
              <w:rPr>
                <w:sz w:val="20"/>
                <w:szCs w:val="20"/>
                <w:lang w:eastAsia="en-US"/>
              </w:rPr>
              <w:t xml:space="preserve"> </w:t>
            </w:r>
          </w:p>
        </w:tc>
        <w:tc>
          <w:tcPr>
            <w:tcW w:w="0" w:type="auto"/>
            <w:tcBorders>
              <w:top w:val="nil"/>
              <w:left w:val="nil"/>
              <w:bottom w:val="nil"/>
              <w:right w:val="nil"/>
            </w:tcBorders>
          </w:tcPr>
          <w:p w14:paraId="729B8E82"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54B71673" w14:textId="1DBB01E4" w:rsidR="00AF4F9F" w:rsidRPr="00AD55AA" w:rsidRDefault="00AF4F9F" w:rsidP="00AF4F9F">
            <w:pPr>
              <w:widowControl w:val="0"/>
              <w:autoSpaceDE w:val="0"/>
              <w:autoSpaceDN w:val="0"/>
              <w:adjustRightInd w:val="0"/>
              <w:jc w:val="center"/>
              <w:rPr>
                <w:sz w:val="22"/>
                <w:szCs w:val="22"/>
              </w:rPr>
            </w:pPr>
            <w:r w:rsidRPr="009E1D28">
              <w:rPr>
                <w:sz w:val="22"/>
                <w:szCs w:val="22"/>
              </w:rPr>
              <w:t>0.160***</w:t>
            </w:r>
          </w:p>
        </w:tc>
        <w:tc>
          <w:tcPr>
            <w:tcW w:w="0" w:type="auto"/>
            <w:tcBorders>
              <w:top w:val="nil"/>
              <w:left w:val="nil"/>
              <w:bottom w:val="nil"/>
              <w:right w:val="nil"/>
            </w:tcBorders>
          </w:tcPr>
          <w:p w14:paraId="0EE5121F" w14:textId="37E2E2CB"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04F4E8A9" w14:textId="17112C19" w:rsidR="00AF4F9F" w:rsidRPr="00AD55AA" w:rsidRDefault="00AF4F9F" w:rsidP="00AF4F9F">
            <w:pPr>
              <w:widowControl w:val="0"/>
              <w:autoSpaceDE w:val="0"/>
              <w:autoSpaceDN w:val="0"/>
              <w:adjustRightInd w:val="0"/>
              <w:jc w:val="center"/>
              <w:rPr>
                <w:sz w:val="22"/>
                <w:szCs w:val="22"/>
              </w:rPr>
            </w:pPr>
            <w:r w:rsidRPr="009E1D28">
              <w:rPr>
                <w:sz w:val="22"/>
                <w:szCs w:val="22"/>
              </w:rPr>
              <w:t>0.160***</w:t>
            </w:r>
          </w:p>
        </w:tc>
      </w:tr>
      <w:tr w:rsidR="00AF4F9F" w:rsidRPr="00AD55AA" w14:paraId="24C7EF22" w14:textId="77777777" w:rsidTr="00233992">
        <w:trPr>
          <w:jc w:val="center"/>
        </w:trPr>
        <w:tc>
          <w:tcPr>
            <w:tcW w:w="0" w:type="auto"/>
            <w:tcBorders>
              <w:top w:val="nil"/>
              <w:left w:val="nil"/>
              <w:bottom w:val="nil"/>
              <w:right w:val="nil"/>
            </w:tcBorders>
          </w:tcPr>
          <w:p w14:paraId="693DC9A1"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026D1150"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2D3DEC27" w14:textId="08D56AF7" w:rsidR="00AF4F9F" w:rsidRPr="00AD55AA" w:rsidRDefault="00AF4F9F" w:rsidP="00AF4F9F">
            <w:pPr>
              <w:widowControl w:val="0"/>
              <w:autoSpaceDE w:val="0"/>
              <w:autoSpaceDN w:val="0"/>
              <w:adjustRightInd w:val="0"/>
              <w:jc w:val="center"/>
              <w:rPr>
                <w:sz w:val="22"/>
                <w:szCs w:val="22"/>
              </w:rPr>
            </w:pPr>
            <w:r w:rsidRPr="009E1D28">
              <w:rPr>
                <w:sz w:val="22"/>
                <w:szCs w:val="22"/>
              </w:rPr>
              <w:t>(4.61)</w:t>
            </w:r>
          </w:p>
        </w:tc>
        <w:tc>
          <w:tcPr>
            <w:tcW w:w="0" w:type="auto"/>
            <w:tcBorders>
              <w:top w:val="nil"/>
              <w:left w:val="nil"/>
              <w:bottom w:val="nil"/>
              <w:right w:val="nil"/>
            </w:tcBorders>
          </w:tcPr>
          <w:p w14:paraId="3B994F97" w14:textId="16236116"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038F1FE9" w14:textId="72851366" w:rsidR="00AF4F9F" w:rsidRPr="00AD55AA" w:rsidRDefault="00AF4F9F" w:rsidP="00AF4F9F">
            <w:pPr>
              <w:widowControl w:val="0"/>
              <w:autoSpaceDE w:val="0"/>
              <w:autoSpaceDN w:val="0"/>
              <w:adjustRightInd w:val="0"/>
              <w:jc w:val="center"/>
              <w:rPr>
                <w:sz w:val="22"/>
                <w:szCs w:val="22"/>
              </w:rPr>
            </w:pPr>
            <w:r w:rsidRPr="009E1D28">
              <w:rPr>
                <w:sz w:val="22"/>
                <w:szCs w:val="22"/>
              </w:rPr>
              <w:t>(4.62)</w:t>
            </w:r>
          </w:p>
        </w:tc>
      </w:tr>
      <w:tr w:rsidR="00AF4F9F" w:rsidRPr="00AD55AA" w14:paraId="3B849128" w14:textId="77777777" w:rsidTr="00233992">
        <w:trPr>
          <w:jc w:val="center"/>
        </w:trPr>
        <w:tc>
          <w:tcPr>
            <w:tcW w:w="0" w:type="auto"/>
            <w:tcBorders>
              <w:top w:val="nil"/>
              <w:left w:val="nil"/>
              <w:bottom w:val="nil"/>
              <w:right w:val="nil"/>
            </w:tcBorders>
          </w:tcPr>
          <w:p w14:paraId="252DBBC0" w14:textId="1B42791B" w:rsidR="00AF4F9F" w:rsidRPr="00AD55AA" w:rsidRDefault="00AF4F9F" w:rsidP="00AF4F9F">
            <w:pPr>
              <w:widowControl w:val="0"/>
              <w:autoSpaceDE w:val="0"/>
              <w:autoSpaceDN w:val="0"/>
              <w:adjustRightInd w:val="0"/>
              <w:rPr>
                <w:sz w:val="22"/>
                <w:szCs w:val="22"/>
              </w:rPr>
            </w:pPr>
            <w:r w:rsidRPr="00AD55AA">
              <w:rPr>
                <w:sz w:val="22"/>
                <w:szCs w:val="22"/>
              </w:rPr>
              <w:t>Leverage</w:t>
            </w:r>
            <w:r>
              <w:rPr>
                <w:sz w:val="22"/>
                <w:szCs w:val="22"/>
              </w:rPr>
              <w:t xml:space="preserve"> </w:t>
            </w:r>
            <m:oMath>
              <m:r>
                <w:rPr>
                  <w:rFonts w:ascii="Cambria Math" w:eastAsiaTheme="minorHAnsi" w:hAnsi="Cambria Math"/>
                  <w:sz w:val="20"/>
                  <w:szCs w:val="20"/>
                  <w:lang w:eastAsia="en-US"/>
                </w:rPr>
                <m:t>i, t-1</m:t>
              </m:r>
            </m:oMath>
            <w:r w:rsidR="002733CA">
              <w:rPr>
                <w:sz w:val="20"/>
                <w:szCs w:val="20"/>
                <w:lang w:eastAsia="en-US"/>
              </w:rPr>
              <w:t xml:space="preserve"> </w:t>
            </w:r>
          </w:p>
        </w:tc>
        <w:tc>
          <w:tcPr>
            <w:tcW w:w="0" w:type="auto"/>
            <w:tcBorders>
              <w:top w:val="nil"/>
              <w:left w:val="nil"/>
              <w:bottom w:val="nil"/>
              <w:right w:val="nil"/>
            </w:tcBorders>
          </w:tcPr>
          <w:p w14:paraId="66888AC4"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1F406F20" w14:textId="764612BB" w:rsidR="00AF4F9F" w:rsidRPr="00AD55AA" w:rsidRDefault="00AF4F9F" w:rsidP="00AF4F9F">
            <w:pPr>
              <w:widowControl w:val="0"/>
              <w:autoSpaceDE w:val="0"/>
              <w:autoSpaceDN w:val="0"/>
              <w:adjustRightInd w:val="0"/>
              <w:jc w:val="center"/>
              <w:rPr>
                <w:sz w:val="22"/>
                <w:szCs w:val="22"/>
              </w:rPr>
            </w:pPr>
            <w:r w:rsidRPr="009E1D28">
              <w:rPr>
                <w:sz w:val="22"/>
                <w:szCs w:val="22"/>
              </w:rPr>
              <w:t>-0.066***</w:t>
            </w:r>
          </w:p>
        </w:tc>
        <w:tc>
          <w:tcPr>
            <w:tcW w:w="0" w:type="auto"/>
            <w:tcBorders>
              <w:top w:val="nil"/>
              <w:left w:val="nil"/>
              <w:bottom w:val="nil"/>
              <w:right w:val="nil"/>
            </w:tcBorders>
          </w:tcPr>
          <w:p w14:paraId="05F3E403" w14:textId="66504C93"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787F0235" w14:textId="177311B9" w:rsidR="00AF4F9F" w:rsidRPr="00AD55AA" w:rsidRDefault="00AF4F9F" w:rsidP="00AF4F9F">
            <w:pPr>
              <w:widowControl w:val="0"/>
              <w:autoSpaceDE w:val="0"/>
              <w:autoSpaceDN w:val="0"/>
              <w:adjustRightInd w:val="0"/>
              <w:jc w:val="center"/>
              <w:rPr>
                <w:sz w:val="22"/>
                <w:szCs w:val="22"/>
              </w:rPr>
            </w:pPr>
            <w:r w:rsidRPr="009E1D28">
              <w:rPr>
                <w:sz w:val="22"/>
                <w:szCs w:val="22"/>
              </w:rPr>
              <w:t>-0.066***</w:t>
            </w:r>
          </w:p>
        </w:tc>
      </w:tr>
      <w:tr w:rsidR="00AF4F9F" w:rsidRPr="00AD55AA" w14:paraId="556C6075" w14:textId="77777777" w:rsidTr="00233992">
        <w:trPr>
          <w:jc w:val="center"/>
        </w:trPr>
        <w:tc>
          <w:tcPr>
            <w:tcW w:w="0" w:type="auto"/>
            <w:tcBorders>
              <w:top w:val="nil"/>
              <w:left w:val="nil"/>
              <w:bottom w:val="nil"/>
              <w:right w:val="nil"/>
            </w:tcBorders>
          </w:tcPr>
          <w:p w14:paraId="67C18691"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06545D1E"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6D8505B6" w14:textId="347B96D6" w:rsidR="00AF4F9F" w:rsidRPr="00AD55AA" w:rsidRDefault="00AF4F9F" w:rsidP="00AF4F9F">
            <w:pPr>
              <w:widowControl w:val="0"/>
              <w:autoSpaceDE w:val="0"/>
              <w:autoSpaceDN w:val="0"/>
              <w:adjustRightInd w:val="0"/>
              <w:jc w:val="center"/>
              <w:rPr>
                <w:sz w:val="22"/>
                <w:szCs w:val="22"/>
              </w:rPr>
            </w:pPr>
            <w:r w:rsidRPr="009E1D28">
              <w:rPr>
                <w:sz w:val="22"/>
                <w:szCs w:val="22"/>
              </w:rPr>
              <w:t>(-5.31)</w:t>
            </w:r>
          </w:p>
        </w:tc>
        <w:tc>
          <w:tcPr>
            <w:tcW w:w="0" w:type="auto"/>
            <w:tcBorders>
              <w:top w:val="nil"/>
              <w:left w:val="nil"/>
              <w:bottom w:val="nil"/>
              <w:right w:val="nil"/>
            </w:tcBorders>
          </w:tcPr>
          <w:p w14:paraId="233911B4" w14:textId="31969D76"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5F68E029" w14:textId="0173B26F" w:rsidR="00AF4F9F" w:rsidRPr="00AD55AA" w:rsidRDefault="00AF4F9F" w:rsidP="00AF4F9F">
            <w:pPr>
              <w:widowControl w:val="0"/>
              <w:autoSpaceDE w:val="0"/>
              <w:autoSpaceDN w:val="0"/>
              <w:adjustRightInd w:val="0"/>
              <w:jc w:val="center"/>
              <w:rPr>
                <w:sz w:val="22"/>
                <w:szCs w:val="22"/>
              </w:rPr>
            </w:pPr>
            <w:r w:rsidRPr="009E1D28">
              <w:rPr>
                <w:sz w:val="22"/>
                <w:szCs w:val="22"/>
              </w:rPr>
              <w:t>(-5.32)</w:t>
            </w:r>
          </w:p>
        </w:tc>
      </w:tr>
      <w:tr w:rsidR="00AF4F9F" w:rsidRPr="00AD55AA" w14:paraId="26EA4C29" w14:textId="77777777" w:rsidTr="00233992">
        <w:trPr>
          <w:jc w:val="center"/>
        </w:trPr>
        <w:tc>
          <w:tcPr>
            <w:tcW w:w="0" w:type="auto"/>
            <w:tcBorders>
              <w:top w:val="nil"/>
              <w:left w:val="nil"/>
              <w:bottom w:val="nil"/>
              <w:right w:val="nil"/>
            </w:tcBorders>
          </w:tcPr>
          <w:p w14:paraId="39BD40FF" w14:textId="3647ED09" w:rsidR="00AF4F9F" w:rsidRPr="00AD55AA" w:rsidRDefault="00AF4F9F" w:rsidP="00AF4F9F">
            <w:pPr>
              <w:widowControl w:val="0"/>
              <w:autoSpaceDE w:val="0"/>
              <w:autoSpaceDN w:val="0"/>
              <w:adjustRightInd w:val="0"/>
              <w:rPr>
                <w:sz w:val="22"/>
                <w:szCs w:val="22"/>
              </w:rPr>
            </w:pPr>
            <w:r w:rsidRPr="00AD55AA">
              <w:rPr>
                <w:sz w:val="22"/>
                <w:szCs w:val="22"/>
              </w:rPr>
              <w:t>Size</w:t>
            </w:r>
            <w:r>
              <w:rPr>
                <w:sz w:val="22"/>
                <w:szCs w:val="22"/>
              </w:rPr>
              <w:t xml:space="preserve"> </w:t>
            </w:r>
            <m:oMath>
              <m:r>
                <w:rPr>
                  <w:rFonts w:ascii="Cambria Math" w:eastAsiaTheme="minorHAnsi" w:hAnsi="Cambria Math"/>
                  <w:sz w:val="20"/>
                  <w:szCs w:val="20"/>
                  <w:lang w:eastAsia="en-US"/>
                </w:rPr>
                <m:t>i, t-1</m:t>
              </m:r>
            </m:oMath>
            <w:r w:rsidR="002733CA">
              <w:rPr>
                <w:sz w:val="20"/>
                <w:szCs w:val="20"/>
                <w:lang w:eastAsia="en-US"/>
              </w:rPr>
              <w:t xml:space="preserve"> </w:t>
            </w:r>
          </w:p>
        </w:tc>
        <w:tc>
          <w:tcPr>
            <w:tcW w:w="0" w:type="auto"/>
            <w:tcBorders>
              <w:top w:val="nil"/>
              <w:left w:val="nil"/>
              <w:bottom w:val="nil"/>
              <w:right w:val="nil"/>
            </w:tcBorders>
          </w:tcPr>
          <w:p w14:paraId="2C733DF8"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5C1D29EF" w14:textId="4E910C50" w:rsidR="00AF4F9F" w:rsidRPr="00AD55AA" w:rsidRDefault="00AF4F9F" w:rsidP="00AF4F9F">
            <w:pPr>
              <w:widowControl w:val="0"/>
              <w:autoSpaceDE w:val="0"/>
              <w:autoSpaceDN w:val="0"/>
              <w:adjustRightInd w:val="0"/>
              <w:jc w:val="center"/>
              <w:rPr>
                <w:sz w:val="22"/>
                <w:szCs w:val="22"/>
              </w:rPr>
            </w:pPr>
            <w:r w:rsidRPr="009E1D28">
              <w:rPr>
                <w:sz w:val="22"/>
                <w:szCs w:val="22"/>
              </w:rPr>
              <w:t>-0.130***</w:t>
            </w:r>
          </w:p>
        </w:tc>
        <w:tc>
          <w:tcPr>
            <w:tcW w:w="0" w:type="auto"/>
            <w:tcBorders>
              <w:top w:val="nil"/>
              <w:left w:val="nil"/>
              <w:bottom w:val="nil"/>
              <w:right w:val="nil"/>
            </w:tcBorders>
          </w:tcPr>
          <w:p w14:paraId="65DEA3AB" w14:textId="7A238D95"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2939BBE7" w14:textId="5D69DD09" w:rsidR="00AF4F9F" w:rsidRPr="00AD55AA" w:rsidRDefault="00AF4F9F" w:rsidP="00AF4F9F">
            <w:pPr>
              <w:widowControl w:val="0"/>
              <w:autoSpaceDE w:val="0"/>
              <w:autoSpaceDN w:val="0"/>
              <w:adjustRightInd w:val="0"/>
              <w:jc w:val="center"/>
              <w:rPr>
                <w:sz w:val="22"/>
                <w:szCs w:val="22"/>
              </w:rPr>
            </w:pPr>
            <w:r w:rsidRPr="009E1D28">
              <w:rPr>
                <w:sz w:val="22"/>
                <w:szCs w:val="22"/>
              </w:rPr>
              <w:t>-0.129***</w:t>
            </w:r>
          </w:p>
        </w:tc>
      </w:tr>
      <w:tr w:rsidR="00AF4F9F" w:rsidRPr="00AD55AA" w14:paraId="27818432" w14:textId="77777777" w:rsidTr="00233992">
        <w:trPr>
          <w:jc w:val="center"/>
        </w:trPr>
        <w:tc>
          <w:tcPr>
            <w:tcW w:w="0" w:type="auto"/>
            <w:tcBorders>
              <w:top w:val="nil"/>
              <w:left w:val="nil"/>
              <w:bottom w:val="nil"/>
              <w:right w:val="nil"/>
            </w:tcBorders>
          </w:tcPr>
          <w:p w14:paraId="05788010"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7AD59E01"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701B9568" w14:textId="415180AE" w:rsidR="00AF4F9F" w:rsidRPr="00AD55AA" w:rsidRDefault="00AF4F9F" w:rsidP="00AF4F9F">
            <w:pPr>
              <w:widowControl w:val="0"/>
              <w:autoSpaceDE w:val="0"/>
              <w:autoSpaceDN w:val="0"/>
              <w:adjustRightInd w:val="0"/>
              <w:jc w:val="center"/>
              <w:rPr>
                <w:sz w:val="22"/>
                <w:szCs w:val="22"/>
              </w:rPr>
            </w:pPr>
            <w:r w:rsidRPr="009E1D28">
              <w:rPr>
                <w:sz w:val="22"/>
                <w:szCs w:val="22"/>
              </w:rPr>
              <w:t>(-9.84)</w:t>
            </w:r>
          </w:p>
        </w:tc>
        <w:tc>
          <w:tcPr>
            <w:tcW w:w="0" w:type="auto"/>
            <w:tcBorders>
              <w:top w:val="nil"/>
              <w:left w:val="nil"/>
              <w:bottom w:val="nil"/>
              <w:right w:val="nil"/>
            </w:tcBorders>
          </w:tcPr>
          <w:p w14:paraId="6D3F9929" w14:textId="40FB858A"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3BE3A6C4" w14:textId="331AE631" w:rsidR="00AF4F9F" w:rsidRPr="00AD55AA" w:rsidRDefault="00AF4F9F" w:rsidP="00AF4F9F">
            <w:pPr>
              <w:widowControl w:val="0"/>
              <w:autoSpaceDE w:val="0"/>
              <w:autoSpaceDN w:val="0"/>
              <w:adjustRightInd w:val="0"/>
              <w:jc w:val="center"/>
              <w:rPr>
                <w:sz w:val="22"/>
                <w:szCs w:val="22"/>
              </w:rPr>
            </w:pPr>
            <w:r w:rsidRPr="009E1D28">
              <w:rPr>
                <w:sz w:val="22"/>
                <w:szCs w:val="22"/>
              </w:rPr>
              <w:t>(-9.75)</w:t>
            </w:r>
          </w:p>
        </w:tc>
      </w:tr>
      <w:tr w:rsidR="00AF4F9F" w:rsidRPr="00AD55AA" w14:paraId="6CD4A273" w14:textId="77777777" w:rsidTr="00233992">
        <w:trPr>
          <w:jc w:val="center"/>
        </w:trPr>
        <w:tc>
          <w:tcPr>
            <w:tcW w:w="0" w:type="auto"/>
            <w:tcBorders>
              <w:top w:val="nil"/>
              <w:left w:val="nil"/>
              <w:bottom w:val="nil"/>
              <w:right w:val="nil"/>
            </w:tcBorders>
          </w:tcPr>
          <w:p w14:paraId="2EB94795" w14:textId="2EC783A3" w:rsidR="00AF4F9F" w:rsidRPr="00AD55AA" w:rsidRDefault="00AF4F9F" w:rsidP="00AF4F9F">
            <w:pPr>
              <w:widowControl w:val="0"/>
              <w:autoSpaceDE w:val="0"/>
              <w:autoSpaceDN w:val="0"/>
              <w:adjustRightInd w:val="0"/>
              <w:rPr>
                <w:sz w:val="22"/>
                <w:szCs w:val="22"/>
              </w:rPr>
            </w:pPr>
            <w:r w:rsidRPr="00AD55AA">
              <w:rPr>
                <w:sz w:val="22"/>
                <w:szCs w:val="22"/>
              </w:rPr>
              <w:t>Tobin’s Q</w:t>
            </w:r>
            <w:r>
              <w:rPr>
                <w:sz w:val="22"/>
                <w:szCs w:val="22"/>
              </w:rPr>
              <w:t xml:space="preserve"> </w:t>
            </w:r>
            <m:oMath>
              <m:r>
                <w:rPr>
                  <w:rFonts w:ascii="Cambria Math" w:eastAsiaTheme="minorHAnsi" w:hAnsi="Cambria Math"/>
                  <w:sz w:val="20"/>
                  <w:szCs w:val="20"/>
                  <w:lang w:eastAsia="en-US"/>
                </w:rPr>
                <m:t>i, t-1</m:t>
              </m:r>
            </m:oMath>
            <w:r w:rsidR="002733CA">
              <w:rPr>
                <w:sz w:val="20"/>
                <w:szCs w:val="20"/>
                <w:lang w:eastAsia="en-US"/>
              </w:rPr>
              <w:t xml:space="preserve"> </w:t>
            </w:r>
          </w:p>
        </w:tc>
        <w:tc>
          <w:tcPr>
            <w:tcW w:w="0" w:type="auto"/>
            <w:tcBorders>
              <w:top w:val="nil"/>
              <w:left w:val="nil"/>
              <w:bottom w:val="nil"/>
              <w:right w:val="nil"/>
            </w:tcBorders>
          </w:tcPr>
          <w:p w14:paraId="14FBFBAB"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21F28F1D" w14:textId="29FDA4AB" w:rsidR="00AF4F9F" w:rsidRPr="00AD55AA" w:rsidRDefault="00AF4F9F" w:rsidP="00AF4F9F">
            <w:pPr>
              <w:widowControl w:val="0"/>
              <w:autoSpaceDE w:val="0"/>
              <w:autoSpaceDN w:val="0"/>
              <w:adjustRightInd w:val="0"/>
              <w:jc w:val="center"/>
              <w:rPr>
                <w:sz w:val="22"/>
                <w:szCs w:val="22"/>
              </w:rPr>
            </w:pPr>
            <w:r w:rsidRPr="009E1D28">
              <w:rPr>
                <w:sz w:val="22"/>
                <w:szCs w:val="22"/>
              </w:rPr>
              <w:t>0.007***</w:t>
            </w:r>
          </w:p>
        </w:tc>
        <w:tc>
          <w:tcPr>
            <w:tcW w:w="0" w:type="auto"/>
            <w:tcBorders>
              <w:top w:val="nil"/>
              <w:left w:val="nil"/>
              <w:bottom w:val="nil"/>
              <w:right w:val="nil"/>
            </w:tcBorders>
          </w:tcPr>
          <w:p w14:paraId="716903A7" w14:textId="0C3ED514"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64BE1FBE" w14:textId="40E33000" w:rsidR="00AF4F9F" w:rsidRPr="00AD55AA" w:rsidRDefault="00AF4F9F" w:rsidP="00AF4F9F">
            <w:pPr>
              <w:widowControl w:val="0"/>
              <w:autoSpaceDE w:val="0"/>
              <w:autoSpaceDN w:val="0"/>
              <w:adjustRightInd w:val="0"/>
              <w:jc w:val="center"/>
              <w:rPr>
                <w:sz w:val="22"/>
                <w:szCs w:val="22"/>
              </w:rPr>
            </w:pPr>
            <w:r w:rsidRPr="009E1D28">
              <w:rPr>
                <w:sz w:val="22"/>
                <w:szCs w:val="22"/>
              </w:rPr>
              <w:t>0.007***</w:t>
            </w:r>
          </w:p>
        </w:tc>
      </w:tr>
      <w:tr w:rsidR="00AF4F9F" w:rsidRPr="00AD55AA" w14:paraId="510A0383" w14:textId="77777777" w:rsidTr="00233992">
        <w:trPr>
          <w:jc w:val="center"/>
        </w:trPr>
        <w:tc>
          <w:tcPr>
            <w:tcW w:w="0" w:type="auto"/>
            <w:tcBorders>
              <w:top w:val="nil"/>
              <w:left w:val="nil"/>
              <w:bottom w:val="nil"/>
              <w:right w:val="nil"/>
            </w:tcBorders>
          </w:tcPr>
          <w:p w14:paraId="3468FB3B"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3A7ADE2D"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16AA32BA" w14:textId="66B550CF" w:rsidR="00AF4F9F" w:rsidRPr="00AD55AA" w:rsidRDefault="00AF4F9F" w:rsidP="00AF4F9F">
            <w:pPr>
              <w:widowControl w:val="0"/>
              <w:autoSpaceDE w:val="0"/>
              <w:autoSpaceDN w:val="0"/>
              <w:adjustRightInd w:val="0"/>
              <w:jc w:val="center"/>
              <w:rPr>
                <w:sz w:val="22"/>
                <w:szCs w:val="22"/>
              </w:rPr>
            </w:pPr>
            <w:r w:rsidRPr="009E1D28">
              <w:rPr>
                <w:sz w:val="22"/>
                <w:szCs w:val="22"/>
              </w:rPr>
              <w:t>(6.29)</w:t>
            </w:r>
          </w:p>
        </w:tc>
        <w:tc>
          <w:tcPr>
            <w:tcW w:w="0" w:type="auto"/>
            <w:tcBorders>
              <w:top w:val="nil"/>
              <w:left w:val="nil"/>
              <w:bottom w:val="nil"/>
              <w:right w:val="nil"/>
            </w:tcBorders>
          </w:tcPr>
          <w:p w14:paraId="1A68BCE6" w14:textId="618120DA"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3F23874A" w14:textId="2F1F31D0" w:rsidR="00AF4F9F" w:rsidRPr="00AD55AA" w:rsidRDefault="00AF4F9F" w:rsidP="00AF4F9F">
            <w:pPr>
              <w:widowControl w:val="0"/>
              <w:autoSpaceDE w:val="0"/>
              <w:autoSpaceDN w:val="0"/>
              <w:adjustRightInd w:val="0"/>
              <w:jc w:val="center"/>
              <w:rPr>
                <w:sz w:val="22"/>
                <w:szCs w:val="22"/>
              </w:rPr>
            </w:pPr>
            <w:r w:rsidRPr="009E1D28">
              <w:rPr>
                <w:sz w:val="22"/>
                <w:szCs w:val="22"/>
              </w:rPr>
              <w:t>(6.31)</w:t>
            </w:r>
          </w:p>
        </w:tc>
      </w:tr>
      <w:tr w:rsidR="00AF4F9F" w:rsidRPr="00AD55AA" w14:paraId="65DDFD60" w14:textId="77777777" w:rsidTr="00233992">
        <w:trPr>
          <w:jc w:val="center"/>
        </w:trPr>
        <w:tc>
          <w:tcPr>
            <w:tcW w:w="0" w:type="auto"/>
            <w:tcBorders>
              <w:top w:val="nil"/>
              <w:left w:val="nil"/>
              <w:bottom w:val="nil"/>
              <w:right w:val="nil"/>
            </w:tcBorders>
          </w:tcPr>
          <w:p w14:paraId="0835AC6F" w14:textId="77777777" w:rsidR="00AF4F9F" w:rsidRPr="00AD55AA" w:rsidRDefault="00AF4F9F" w:rsidP="00AF4F9F">
            <w:pPr>
              <w:widowControl w:val="0"/>
              <w:autoSpaceDE w:val="0"/>
              <w:autoSpaceDN w:val="0"/>
              <w:adjustRightInd w:val="0"/>
              <w:rPr>
                <w:sz w:val="22"/>
                <w:szCs w:val="22"/>
              </w:rPr>
            </w:pPr>
            <w:r w:rsidRPr="00AD55AA">
              <w:rPr>
                <w:sz w:val="22"/>
                <w:szCs w:val="22"/>
              </w:rPr>
              <w:t>Constant</w:t>
            </w:r>
          </w:p>
        </w:tc>
        <w:tc>
          <w:tcPr>
            <w:tcW w:w="0" w:type="auto"/>
            <w:tcBorders>
              <w:top w:val="nil"/>
              <w:left w:val="nil"/>
              <w:bottom w:val="nil"/>
              <w:right w:val="nil"/>
            </w:tcBorders>
          </w:tcPr>
          <w:p w14:paraId="0E24CAC3" w14:textId="6C442CFB"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3483434D" w14:textId="165D83CB" w:rsidR="00AF4F9F" w:rsidRPr="00AD55AA" w:rsidRDefault="00AF4F9F" w:rsidP="00AF4F9F">
            <w:pPr>
              <w:widowControl w:val="0"/>
              <w:autoSpaceDE w:val="0"/>
              <w:autoSpaceDN w:val="0"/>
              <w:adjustRightInd w:val="0"/>
              <w:jc w:val="center"/>
              <w:rPr>
                <w:sz w:val="22"/>
                <w:szCs w:val="22"/>
              </w:rPr>
            </w:pPr>
            <w:r w:rsidRPr="009E1D28">
              <w:rPr>
                <w:sz w:val="22"/>
                <w:szCs w:val="22"/>
              </w:rPr>
              <w:t>1.103***</w:t>
            </w:r>
          </w:p>
        </w:tc>
        <w:tc>
          <w:tcPr>
            <w:tcW w:w="0" w:type="auto"/>
            <w:tcBorders>
              <w:top w:val="nil"/>
              <w:left w:val="nil"/>
              <w:bottom w:val="nil"/>
              <w:right w:val="nil"/>
            </w:tcBorders>
          </w:tcPr>
          <w:p w14:paraId="2AB9BE1C" w14:textId="3964F8E2" w:rsidR="00AF4F9F" w:rsidRPr="00AD55AA" w:rsidRDefault="00AF4F9F" w:rsidP="00AF4F9F">
            <w:pPr>
              <w:widowControl w:val="0"/>
              <w:autoSpaceDE w:val="0"/>
              <w:autoSpaceDN w:val="0"/>
              <w:adjustRightInd w:val="0"/>
              <w:jc w:val="center"/>
              <w:rPr>
                <w:sz w:val="22"/>
                <w:szCs w:val="22"/>
              </w:rPr>
            </w:pPr>
            <w:r w:rsidRPr="009E1D28">
              <w:rPr>
                <w:sz w:val="22"/>
                <w:szCs w:val="22"/>
              </w:rPr>
              <w:t>0.372***</w:t>
            </w:r>
          </w:p>
        </w:tc>
        <w:tc>
          <w:tcPr>
            <w:tcW w:w="0" w:type="auto"/>
            <w:tcBorders>
              <w:top w:val="nil"/>
              <w:left w:val="nil"/>
              <w:bottom w:val="nil"/>
              <w:right w:val="nil"/>
            </w:tcBorders>
          </w:tcPr>
          <w:p w14:paraId="32BF098C" w14:textId="0EA6773C" w:rsidR="00AF4F9F" w:rsidRPr="00AD55AA" w:rsidRDefault="00AF4F9F" w:rsidP="00AF4F9F">
            <w:pPr>
              <w:widowControl w:val="0"/>
              <w:autoSpaceDE w:val="0"/>
              <w:autoSpaceDN w:val="0"/>
              <w:adjustRightInd w:val="0"/>
              <w:jc w:val="center"/>
              <w:rPr>
                <w:sz w:val="22"/>
                <w:szCs w:val="22"/>
              </w:rPr>
            </w:pPr>
            <w:r w:rsidRPr="009E1D28">
              <w:rPr>
                <w:sz w:val="22"/>
                <w:szCs w:val="22"/>
              </w:rPr>
              <w:t>1.103***</w:t>
            </w:r>
          </w:p>
        </w:tc>
      </w:tr>
      <w:tr w:rsidR="00AF4F9F" w:rsidRPr="00AD55AA" w14:paraId="54C04057" w14:textId="77777777" w:rsidTr="00233992">
        <w:trPr>
          <w:jc w:val="center"/>
        </w:trPr>
        <w:tc>
          <w:tcPr>
            <w:tcW w:w="0" w:type="auto"/>
            <w:tcBorders>
              <w:top w:val="nil"/>
              <w:left w:val="nil"/>
              <w:bottom w:val="nil"/>
              <w:right w:val="nil"/>
            </w:tcBorders>
          </w:tcPr>
          <w:p w14:paraId="104E2A96"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21C486C0" w14:textId="287C0BF9"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0B722774" w14:textId="58FE1469" w:rsidR="00AF4F9F" w:rsidRPr="00AD55AA" w:rsidRDefault="00AF4F9F" w:rsidP="00AF4F9F">
            <w:pPr>
              <w:widowControl w:val="0"/>
              <w:autoSpaceDE w:val="0"/>
              <w:autoSpaceDN w:val="0"/>
              <w:adjustRightInd w:val="0"/>
              <w:jc w:val="center"/>
              <w:rPr>
                <w:sz w:val="22"/>
                <w:szCs w:val="22"/>
              </w:rPr>
            </w:pPr>
            <w:r w:rsidRPr="009E1D28">
              <w:rPr>
                <w:sz w:val="22"/>
                <w:szCs w:val="22"/>
              </w:rPr>
              <w:t>(14.41)</w:t>
            </w:r>
          </w:p>
        </w:tc>
        <w:tc>
          <w:tcPr>
            <w:tcW w:w="0" w:type="auto"/>
            <w:tcBorders>
              <w:top w:val="nil"/>
              <w:left w:val="nil"/>
              <w:bottom w:val="nil"/>
              <w:right w:val="nil"/>
            </w:tcBorders>
          </w:tcPr>
          <w:p w14:paraId="35604D5B" w14:textId="171BFA5F" w:rsidR="00AF4F9F" w:rsidRPr="00AD55AA" w:rsidRDefault="00AF4F9F" w:rsidP="00AF4F9F">
            <w:pPr>
              <w:widowControl w:val="0"/>
              <w:autoSpaceDE w:val="0"/>
              <w:autoSpaceDN w:val="0"/>
              <w:adjustRightInd w:val="0"/>
              <w:jc w:val="center"/>
              <w:rPr>
                <w:sz w:val="22"/>
                <w:szCs w:val="22"/>
              </w:rPr>
            </w:pPr>
            <w:r w:rsidRPr="009E1D28">
              <w:rPr>
                <w:sz w:val="22"/>
                <w:szCs w:val="22"/>
              </w:rPr>
              <w:t>(251.68)</w:t>
            </w:r>
          </w:p>
        </w:tc>
        <w:tc>
          <w:tcPr>
            <w:tcW w:w="0" w:type="auto"/>
            <w:tcBorders>
              <w:top w:val="nil"/>
              <w:left w:val="nil"/>
              <w:bottom w:val="nil"/>
              <w:right w:val="nil"/>
            </w:tcBorders>
          </w:tcPr>
          <w:p w14:paraId="4A846916" w14:textId="4763488C" w:rsidR="00AF4F9F" w:rsidRPr="00AD55AA" w:rsidRDefault="00AF4F9F" w:rsidP="00AF4F9F">
            <w:pPr>
              <w:widowControl w:val="0"/>
              <w:autoSpaceDE w:val="0"/>
              <w:autoSpaceDN w:val="0"/>
              <w:adjustRightInd w:val="0"/>
              <w:jc w:val="center"/>
              <w:rPr>
                <w:sz w:val="22"/>
                <w:szCs w:val="22"/>
              </w:rPr>
            </w:pPr>
            <w:r w:rsidRPr="009E1D28">
              <w:rPr>
                <w:sz w:val="22"/>
                <w:szCs w:val="22"/>
              </w:rPr>
              <w:t>(14.34)</w:t>
            </w:r>
          </w:p>
        </w:tc>
      </w:tr>
      <w:tr w:rsidR="00AF4F9F" w:rsidRPr="00AD55AA" w14:paraId="0003A1A1" w14:textId="77777777" w:rsidTr="00233992">
        <w:trPr>
          <w:jc w:val="center"/>
        </w:trPr>
        <w:tc>
          <w:tcPr>
            <w:tcW w:w="0" w:type="auto"/>
            <w:tcBorders>
              <w:top w:val="nil"/>
              <w:left w:val="nil"/>
              <w:bottom w:val="nil"/>
              <w:right w:val="nil"/>
            </w:tcBorders>
          </w:tcPr>
          <w:p w14:paraId="6E713127"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0777A66C"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14383D73"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4C9A31CE"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52757B2F" w14:textId="77777777" w:rsidR="00AF4F9F" w:rsidRPr="00AD55AA" w:rsidRDefault="00AF4F9F" w:rsidP="00AF4F9F">
            <w:pPr>
              <w:widowControl w:val="0"/>
              <w:autoSpaceDE w:val="0"/>
              <w:autoSpaceDN w:val="0"/>
              <w:adjustRightInd w:val="0"/>
              <w:jc w:val="center"/>
              <w:rPr>
                <w:sz w:val="22"/>
                <w:szCs w:val="22"/>
              </w:rPr>
            </w:pPr>
          </w:p>
        </w:tc>
      </w:tr>
      <w:tr w:rsidR="00AF4F9F" w:rsidRPr="00AD55AA" w14:paraId="755BC961" w14:textId="77777777" w:rsidTr="00233992">
        <w:trPr>
          <w:jc w:val="center"/>
        </w:trPr>
        <w:tc>
          <w:tcPr>
            <w:tcW w:w="0" w:type="auto"/>
            <w:tcBorders>
              <w:top w:val="nil"/>
              <w:left w:val="nil"/>
              <w:bottom w:val="nil"/>
              <w:right w:val="nil"/>
            </w:tcBorders>
          </w:tcPr>
          <w:p w14:paraId="115A3203" w14:textId="47413462" w:rsidR="00AF4F9F" w:rsidRPr="00AD55AA" w:rsidRDefault="00AF4F9F" w:rsidP="00AF4F9F">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4C3D4C25" w14:textId="002E0481"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669F03FA" w14:textId="1292F3C9" w:rsidR="00AF4F9F" w:rsidRPr="00AD55AA" w:rsidRDefault="00AF4F9F" w:rsidP="00AF4F9F">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7D68742B" w14:textId="7E21428C" w:rsidR="00AF4F9F" w:rsidRPr="00AD55AA" w:rsidRDefault="00AF4F9F" w:rsidP="00AF4F9F">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2B3D9A78" w14:textId="5D02DF8E" w:rsidR="00AF4F9F" w:rsidRPr="00AD55AA" w:rsidRDefault="00AF4F9F" w:rsidP="00AF4F9F">
            <w:pPr>
              <w:widowControl w:val="0"/>
              <w:autoSpaceDE w:val="0"/>
              <w:autoSpaceDN w:val="0"/>
              <w:adjustRightInd w:val="0"/>
              <w:jc w:val="center"/>
              <w:rPr>
                <w:sz w:val="22"/>
                <w:szCs w:val="22"/>
              </w:rPr>
            </w:pPr>
            <w:r w:rsidRPr="00AD55AA">
              <w:rPr>
                <w:sz w:val="22"/>
                <w:szCs w:val="22"/>
              </w:rPr>
              <w:t>Yes</w:t>
            </w:r>
          </w:p>
        </w:tc>
      </w:tr>
      <w:tr w:rsidR="00AF4F9F" w:rsidRPr="00AD55AA" w14:paraId="449A361A" w14:textId="77777777" w:rsidTr="00233992">
        <w:trPr>
          <w:jc w:val="center"/>
        </w:trPr>
        <w:tc>
          <w:tcPr>
            <w:tcW w:w="0" w:type="auto"/>
            <w:tcBorders>
              <w:top w:val="nil"/>
              <w:left w:val="nil"/>
              <w:bottom w:val="nil"/>
              <w:right w:val="nil"/>
            </w:tcBorders>
          </w:tcPr>
          <w:p w14:paraId="5D497BA2" w14:textId="7C30578F" w:rsidR="00AF4F9F" w:rsidRPr="00AD55AA" w:rsidRDefault="00AF4F9F" w:rsidP="00AF4F9F">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bottom w:val="nil"/>
              <w:right w:val="nil"/>
            </w:tcBorders>
          </w:tcPr>
          <w:p w14:paraId="6718D72E" w14:textId="4CFCAA11"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3F03FE0A" w14:textId="2A9F2B2E" w:rsidR="00AF4F9F" w:rsidRPr="00AD55AA" w:rsidRDefault="00AF4F9F" w:rsidP="00AF4F9F">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1735A8EA" w14:textId="52473D9A" w:rsidR="00AF4F9F" w:rsidRPr="00AD55AA" w:rsidRDefault="00AF4F9F" w:rsidP="00AF4F9F">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009DE657" w14:textId="12130FD2" w:rsidR="00AF4F9F" w:rsidRPr="00AD55AA" w:rsidRDefault="00AF4F9F" w:rsidP="00AF4F9F">
            <w:pPr>
              <w:widowControl w:val="0"/>
              <w:autoSpaceDE w:val="0"/>
              <w:autoSpaceDN w:val="0"/>
              <w:adjustRightInd w:val="0"/>
              <w:jc w:val="center"/>
              <w:rPr>
                <w:sz w:val="22"/>
                <w:szCs w:val="22"/>
              </w:rPr>
            </w:pPr>
            <w:r w:rsidRPr="00AD55AA">
              <w:rPr>
                <w:sz w:val="22"/>
                <w:szCs w:val="22"/>
              </w:rPr>
              <w:t>Yes</w:t>
            </w:r>
          </w:p>
        </w:tc>
      </w:tr>
      <w:tr w:rsidR="00AF4F9F" w:rsidRPr="00AD55AA" w14:paraId="461EE3AC" w14:textId="77777777" w:rsidTr="00233992">
        <w:trPr>
          <w:jc w:val="center"/>
        </w:trPr>
        <w:tc>
          <w:tcPr>
            <w:tcW w:w="0" w:type="auto"/>
            <w:tcBorders>
              <w:top w:val="nil"/>
              <w:left w:val="nil"/>
              <w:right w:val="nil"/>
            </w:tcBorders>
          </w:tcPr>
          <w:p w14:paraId="6B1A5A83" w14:textId="77777777" w:rsidR="00AF4F9F" w:rsidRPr="00AD55AA" w:rsidRDefault="00AF4F9F" w:rsidP="00AF4F9F">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6D0F3B70" w14:textId="0C2AC373"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right w:val="nil"/>
            </w:tcBorders>
          </w:tcPr>
          <w:p w14:paraId="7C682E98" w14:textId="3748504A" w:rsidR="00AF4F9F" w:rsidRPr="00AD55AA" w:rsidRDefault="00AF4F9F" w:rsidP="00AF4F9F">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43D0879D" w14:textId="5C210CED" w:rsidR="00AF4F9F" w:rsidRPr="00AD55AA" w:rsidRDefault="00AF4F9F" w:rsidP="00AF4F9F">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31EF5865" w14:textId="5C97F8BE" w:rsidR="00AF4F9F" w:rsidRPr="00AD55AA" w:rsidRDefault="00AF4F9F" w:rsidP="00AF4F9F">
            <w:pPr>
              <w:widowControl w:val="0"/>
              <w:autoSpaceDE w:val="0"/>
              <w:autoSpaceDN w:val="0"/>
              <w:adjustRightInd w:val="0"/>
              <w:jc w:val="center"/>
              <w:rPr>
                <w:sz w:val="22"/>
                <w:szCs w:val="22"/>
              </w:rPr>
            </w:pPr>
            <w:r w:rsidRPr="00AD55AA">
              <w:rPr>
                <w:sz w:val="22"/>
                <w:szCs w:val="22"/>
              </w:rPr>
              <w:t>41,918</w:t>
            </w:r>
          </w:p>
        </w:tc>
      </w:tr>
      <w:tr w:rsidR="00AF4F9F" w:rsidRPr="00AD55AA" w14:paraId="5738F0AA" w14:textId="77777777" w:rsidTr="00233992">
        <w:tblPrEx>
          <w:tblBorders>
            <w:bottom w:val="single" w:sz="6" w:space="0" w:color="auto"/>
          </w:tblBorders>
        </w:tblPrEx>
        <w:trPr>
          <w:jc w:val="center"/>
        </w:trPr>
        <w:tc>
          <w:tcPr>
            <w:tcW w:w="0" w:type="auto"/>
            <w:tcBorders>
              <w:top w:val="nil"/>
              <w:left w:val="nil"/>
              <w:bottom w:val="single" w:sz="4" w:space="0" w:color="auto"/>
              <w:right w:val="nil"/>
            </w:tcBorders>
          </w:tcPr>
          <w:p w14:paraId="2A11142E" w14:textId="77777777" w:rsidR="00AF4F9F" w:rsidRPr="00AD55AA" w:rsidRDefault="00AF4F9F" w:rsidP="00AF4F9F">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6C3FE241" w14:textId="03819736"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69D7C4A2" w14:textId="1843B2E7" w:rsidR="00AF4F9F" w:rsidRPr="00AD55AA" w:rsidRDefault="00AF4F9F" w:rsidP="00AF4F9F">
            <w:pPr>
              <w:widowControl w:val="0"/>
              <w:autoSpaceDE w:val="0"/>
              <w:autoSpaceDN w:val="0"/>
              <w:adjustRightInd w:val="0"/>
              <w:jc w:val="center"/>
              <w:rPr>
                <w:sz w:val="22"/>
                <w:szCs w:val="22"/>
              </w:rPr>
            </w:pPr>
            <w:r w:rsidRPr="009E1D28">
              <w:rPr>
                <w:sz w:val="22"/>
                <w:szCs w:val="22"/>
              </w:rPr>
              <w:t>0.2097</w:t>
            </w:r>
          </w:p>
        </w:tc>
        <w:tc>
          <w:tcPr>
            <w:tcW w:w="0" w:type="auto"/>
            <w:tcBorders>
              <w:top w:val="nil"/>
              <w:left w:val="nil"/>
              <w:bottom w:val="single" w:sz="4" w:space="0" w:color="auto"/>
              <w:right w:val="nil"/>
            </w:tcBorders>
          </w:tcPr>
          <w:p w14:paraId="159F5FC8" w14:textId="5AD42178" w:rsidR="00AF4F9F" w:rsidRPr="00AD55AA" w:rsidRDefault="00AF4F9F" w:rsidP="00AF4F9F">
            <w:pPr>
              <w:widowControl w:val="0"/>
              <w:autoSpaceDE w:val="0"/>
              <w:autoSpaceDN w:val="0"/>
              <w:adjustRightInd w:val="0"/>
              <w:jc w:val="center"/>
              <w:rPr>
                <w:sz w:val="22"/>
                <w:szCs w:val="22"/>
              </w:rPr>
            </w:pPr>
            <w:r w:rsidRPr="009E1D28">
              <w:rPr>
                <w:sz w:val="22"/>
                <w:szCs w:val="22"/>
              </w:rPr>
              <w:t>0.1944</w:t>
            </w:r>
          </w:p>
        </w:tc>
        <w:tc>
          <w:tcPr>
            <w:tcW w:w="0" w:type="auto"/>
            <w:tcBorders>
              <w:top w:val="nil"/>
              <w:left w:val="nil"/>
              <w:bottom w:val="single" w:sz="4" w:space="0" w:color="auto"/>
              <w:right w:val="nil"/>
            </w:tcBorders>
          </w:tcPr>
          <w:p w14:paraId="1E2A48D6" w14:textId="18B0D1C5" w:rsidR="00AF4F9F" w:rsidRPr="00AD55AA" w:rsidRDefault="00AF4F9F" w:rsidP="00AF4F9F">
            <w:pPr>
              <w:widowControl w:val="0"/>
              <w:autoSpaceDE w:val="0"/>
              <w:autoSpaceDN w:val="0"/>
              <w:adjustRightInd w:val="0"/>
              <w:jc w:val="center"/>
              <w:rPr>
                <w:sz w:val="22"/>
                <w:szCs w:val="22"/>
              </w:rPr>
            </w:pPr>
            <w:r w:rsidRPr="009E1D28">
              <w:rPr>
                <w:sz w:val="22"/>
                <w:szCs w:val="22"/>
              </w:rPr>
              <w:t>0.2101</w:t>
            </w:r>
          </w:p>
        </w:tc>
      </w:tr>
      <w:tr w:rsidR="00AF4F9F" w:rsidRPr="00AD55AA" w14:paraId="6CF239D1" w14:textId="77777777" w:rsidTr="00377D86">
        <w:tblPrEx>
          <w:tblBorders>
            <w:bottom w:val="single" w:sz="6" w:space="0" w:color="auto"/>
          </w:tblBorders>
        </w:tblPrEx>
        <w:trPr>
          <w:jc w:val="center"/>
        </w:trPr>
        <w:tc>
          <w:tcPr>
            <w:tcW w:w="0" w:type="auto"/>
            <w:tcBorders>
              <w:top w:val="single" w:sz="4" w:space="0" w:color="auto"/>
              <w:left w:val="nil"/>
              <w:bottom w:val="nil"/>
              <w:right w:val="nil"/>
            </w:tcBorders>
          </w:tcPr>
          <w:p w14:paraId="3E758911" w14:textId="77777777" w:rsidR="00AF4F9F" w:rsidRPr="00AD55AA" w:rsidRDefault="00AF4F9F" w:rsidP="00AF4F9F">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3E182CD0"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407C0705"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71263463"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61B4B78B" w14:textId="77777777" w:rsidR="00AF4F9F" w:rsidRPr="00AD55AA" w:rsidRDefault="00AF4F9F" w:rsidP="00AF4F9F">
            <w:pPr>
              <w:widowControl w:val="0"/>
              <w:autoSpaceDE w:val="0"/>
              <w:autoSpaceDN w:val="0"/>
              <w:adjustRightInd w:val="0"/>
              <w:jc w:val="center"/>
              <w:rPr>
                <w:sz w:val="22"/>
                <w:szCs w:val="22"/>
              </w:rPr>
            </w:pPr>
          </w:p>
        </w:tc>
      </w:tr>
      <w:tr w:rsidR="00AF4F9F" w:rsidRPr="00AD55AA" w14:paraId="6F08129B" w14:textId="77777777" w:rsidTr="00377D86">
        <w:tblPrEx>
          <w:tblBorders>
            <w:bottom w:val="single" w:sz="6" w:space="0" w:color="auto"/>
          </w:tblBorders>
        </w:tblPrEx>
        <w:trPr>
          <w:jc w:val="center"/>
        </w:trPr>
        <w:tc>
          <w:tcPr>
            <w:tcW w:w="0" w:type="auto"/>
            <w:gridSpan w:val="5"/>
            <w:tcBorders>
              <w:top w:val="nil"/>
              <w:left w:val="nil"/>
              <w:bottom w:val="nil"/>
              <w:right w:val="nil"/>
            </w:tcBorders>
          </w:tcPr>
          <w:p w14:paraId="2F3DC054" w14:textId="4ADC38B5" w:rsidR="00AF4F9F" w:rsidRPr="00AD55AA" w:rsidRDefault="00AF4F9F" w:rsidP="00C254A5">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w:t>
            </w:r>
            <w:r w:rsidRPr="00AD55AA">
              <w:rPr>
                <w:sz w:val="22"/>
                <w:szCs w:val="22"/>
              </w:rPr>
              <w:t xml:space="preserve"> the results of the difference-and-differences analysis comparing investments of the treatment group to inv</w:t>
            </w:r>
            <w:r w:rsidR="00A01479">
              <w:rPr>
                <w:sz w:val="22"/>
                <w:szCs w:val="22"/>
              </w:rPr>
              <w:t xml:space="preserve">estments of the control group. </w:t>
            </w:r>
            <w:r w:rsidR="00C254A5">
              <w:rPr>
                <w:sz w:val="22"/>
                <w:szCs w:val="22"/>
              </w:rPr>
              <w:t>T</w:t>
            </w:r>
            <w:r w:rsidRPr="00AD55AA">
              <w:rPr>
                <w:sz w:val="22"/>
                <w:szCs w:val="22"/>
              </w:rPr>
              <w:t>he shock events are CFIUS interventions (CFIUS Block = post CFIUS intervention # treatment group).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r w:rsidR="00AF4F9F" w:rsidRPr="00AD55AA" w14:paraId="65FF9936" w14:textId="77777777" w:rsidTr="00377D86">
        <w:tblPrEx>
          <w:tblBorders>
            <w:bottom w:val="single" w:sz="6" w:space="0" w:color="auto"/>
          </w:tblBorders>
        </w:tblPrEx>
        <w:trPr>
          <w:jc w:val="center"/>
        </w:trPr>
        <w:tc>
          <w:tcPr>
            <w:tcW w:w="0" w:type="auto"/>
            <w:tcBorders>
              <w:top w:val="nil"/>
              <w:left w:val="nil"/>
              <w:bottom w:val="nil"/>
              <w:right w:val="nil"/>
            </w:tcBorders>
          </w:tcPr>
          <w:p w14:paraId="297FFA2C" w14:textId="77777777" w:rsidR="00AF4F9F" w:rsidRPr="00AD55AA" w:rsidRDefault="00AF4F9F" w:rsidP="00AF4F9F">
            <w:pPr>
              <w:widowControl w:val="0"/>
              <w:autoSpaceDE w:val="0"/>
              <w:autoSpaceDN w:val="0"/>
              <w:adjustRightInd w:val="0"/>
              <w:rPr>
                <w:sz w:val="22"/>
                <w:szCs w:val="22"/>
              </w:rPr>
            </w:pPr>
          </w:p>
        </w:tc>
        <w:tc>
          <w:tcPr>
            <w:tcW w:w="0" w:type="auto"/>
            <w:tcBorders>
              <w:top w:val="nil"/>
              <w:left w:val="nil"/>
              <w:bottom w:val="nil"/>
              <w:right w:val="nil"/>
            </w:tcBorders>
          </w:tcPr>
          <w:p w14:paraId="2DAD1FEF"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65AEE545"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019E72EB" w14:textId="77777777" w:rsidR="00AF4F9F" w:rsidRPr="00AD55AA" w:rsidRDefault="00AF4F9F" w:rsidP="00AF4F9F">
            <w:pPr>
              <w:widowControl w:val="0"/>
              <w:autoSpaceDE w:val="0"/>
              <w:autoSpaceDN w:val="0"/>
              <w:adjustRightInd w:val="0"/>
              <w:jc w:val="center"/>
              <w:rPr>
                <w:sz w:val="22"/>
                <w:szCs w:val="22"/>
              </w:rPr>
            </w:pPr>
          </w:p>
        </w:tc>
        <w:tc>
          <w:tcPr>
            <w:tcW w:w="0" w:type="auto"/>
            <w:tcBorders>
              <w:top w:val="nil"/>
              <w:left w:val="nil"/>
              <w:bottom w:val="nil"/>
              <w:right w:val="nil"/>
            </w:tcBorders>
          </w:tcPr>
          <w:p w14:paraId="36AB5599" w14:textId="77777777" w:rsidR="00AF4F9F" w:rsidRPr="00AD55AA" w:rsidRDefault="00AF4F9F" w:rsidP="00AF4F9F">
            <w:pPr>
              <w:widowControl w:val="0"/>
              <w:autoSpaceDE w:val="0"/>
              <w:autoSpaceDN w:val="0"/>
              <w:adjustRightInd w:val="0"/>
              <w:jc w:val="center"/>
              <w:rPr>
                <w:sz w:val="22"/>
                <w:szCs w:val="22"/>
              </w:rPr>
            </w:pPr>
          </w:p>
        </w:tc>
      </w:tr>
    </w:tbl>
    <w:p w14:paraId="1D341EBC" w14:textId="73A57D78" w:rsidR="00245A4A" w:rsidRPr="00AD55AA" w:rsidRDefault="00245A4A" w:rsidP="00245A4A">
      <w:pPr>
        <w:rPr>
          <w:sz w:val="22"/>
          <w:szCs w:val="22"/>
        </w:rPr>
      </w:pPr>
    </w:p>
    <w:p w14:paraId="738BD31B" w14:textId="4C4B1B2C" w:rsidR="00245A4A" w:rsidRDefault="00245A4A" w:rsidP="00245A4A">
      <w:pPr>
        <w:rPr>
          <w:sz w:val="22"/>
          <w:szCs w:val="22"/>
        </w:rPr>
      </w:pPr>
      <w:r w:rsidRPr="00AD55AA">
        <w:rPr>
          <w:sz w:val="22"/>
          <w:szCs w:val="22"/>
        </w:rPr>
        <w:br w:type="page"/>
      </w:r>
    </w:p>
    <w:p w14:paraId="4D334941" w14:textId="77777777" w:rsidR="002733CA" w:rsidRPr="00AD55AA" w:rsidRDefault="002733CA" w:rsidP="00245A4A">
      <w:pPr>
        <w:rPr>
          <w:sz w:val="22"/>
          <w:szCs w:val="22"/>
        </w:rPr>
      </w:pPr>
    </w:p>
    <w:tbl>
      <w:tblPr>
        <w:tblW w:w="0" w:type="auto"/>
        <w:jc w:val="center"/>
        <w:tblCellMar>
          <w:left w:w="75" w:type="dxa"/>
          <w:right w:w="75" w:type="dxa"/>
        </w:tblCellMar>
        <w:tblLook w:val="0000" w:firstRow="0" w:lastRow="0" w:firstColumn="0" w:lastColumn="0" w:noHBand="0" w:noVBand="0"/>
      </w:tblPr>
      <w:tblGrid>
        <w:gridCol w:w="4387"/>
        <w:gridCol w:w="311"/>
        <w:gridCol w:w="311"/>
        <w:gridCol w:w="2029"/>
        <w:gridCol w:w="2029"/>
      </w:tblGrid>
      <w:tr w:rsidR="00903067" w:rsidRPr="007C7221" w14:paraId="66C63FA4" w14:textId="77777777" w:rsidTr="00AB6C46">
        <w:trPr>
          <w:jc w:val="center"/>
        </w:trPr>
        <w:tc>
          <w:tcPr>
            <w:tcW w:w="0" w:type="auto"/>
            <w:tcBorders>
              <w:left w:val="nil"/>
              <w:right w:val="nil"/>
            </w:tcBorders>
          </w:tcPr>
          <w:p w14:paraId="42988939" w14:textId="17DD76E3" w:rsidR="00903067" w:rsidRPr="007C7221" w:rsidRDefault="00903067" w:rsidP="0067117A">
            <w:pPr>
              <w:widowControl w:val="0"/>
              <w:autoSpaceDE w:val="0"/>
              <w:autoSpaceDN w:val="0"/>
              <w:adjustRightInd w:val="0"/>
              <w:rPr>
                <w:sz w:val="22"/>
                <w:szCs w:val="22"/>
              </w:rPr>
            </w:pPr>
            <w:bookmarkStart w:id="11" w:name="_Hlk127788136"/>
            <w:r w:rsidRPr="007C7221">
              <w:rPr>
                <w:b/>
                <w:sz w:val="22"/>
                <w:szCs w:val="22"/>
              </w:rPr>
              <w:t xml:space="preserve">Table </w:t>
            </w:r>
            <w:r w:rsidR="00B84669" w:rsidRPr="007C7221">
              <w:rPr>
                <w:b/>
                <w:sz w:val="22"/>
                <w:szCs w:val="22"/>
              </w:rPr>
              <w:t>5</w:t>
            </w:r>
          </w:p>
        </w:tc>
        <w:tc>
          <w:tcPr>
            <w:tcW w:w="0" w:type="auto"/>
            <w:gridSpan w:val="2"/>
            <w:tcBorders>
              <w:left w:val="nil"/>
              <w:right w:val="nil"/>
            </w:tcBorders>
          </w:tcPr>
          <w:p w14:paraId="70D52C64" w14:textId="77777777" w:rsidR="00903067" w:rsidRPr="007C7221" w:rsidRDefault="00903067" w:rsidP="00AB6C46">
            <w:pPr>
              <w:widowControl w:val="0"/>
              <w:autoSpaceDE w:val="0"/>
              <w:autoSpaceDN w:val="0"/>
              <w:adjustRightInd w:val="0"/>
              <w:jc w:val="center"/>
              <w:rPr>
                <w:sz w:val="22"/>
                <w:szCs w:val="22"/>
              </w:rPr>
            </w:pPr>
          </w:p>
        </w:tc>
        <w:tc>
          <w:tcPr>
            <w:tcW w:w="0" w:type="auto"/>
            <w:gridSpan w:val="2"/>
            <w:tcBorders>
              <w:left w:val="nil"/>
              <w:right w:val="nil"/>
            </w:tcBorders>
          </w:tcPr>
          <w:p w14:paraId="3D14EC9E" w14:textId="77777777" w:rsidR="00903067" w:rsidRPr="007C7221" w:rsidRDefault="00903067" w:rsidP="00AB6C46">
            <w:pPr>
              <w:widowControl w:val="0"/>
              <w:autoSpaceDE w:val="0"/>
              <w:autoSpaceDN w:val="0"/>
              <w:adjustRightInd w:val="0"/>
              <w:jc w:val="center"/>
              <w:rPr>
                <w:sz w:val="22"/>
                <w:szCs w:val="22"/>
              </w:rPr>
            </w:pPr>
          </w:p>
        </w:tc>
      </w:tr>
      <w:tr w:rsidR="00903067" w:rsidRPr="007C7221" w14:paraId="15728605" w14:textId="77777777" w:rsidTr="00AB6C46">
        <w:trPr>
          <w:jc w:val="center"/>
        </w:trPr>
        <w:tc>
          <w:tcPr>
            <w:tcW w:w="0" w:type="auto"/>
            <w:gridSpan w:val="5"/>
            <w:tcBorders>
              <w:left w:val="nil"/>
              <w:right w:val="nil"/>
            </w:tcBorders>
          </w:tcPr>
          <w:p w14:paraId="5E84530A" w14:textId="435985C0" w:rsidR="00903067" w:rsidRPr="007C7221" w:rsidRDefault="00A65F31" w:rsidP="00AB6C46">
            <w:pPr>
              <w:widowControl w:val="0"/>
              <w:autoSpaceDE w:val="0"/>
              <w:autoSpaceDN w:val="0"/>
              <w:adjustRightInd w:val="0"/>
              <w:rPr>
                <w:sz w:val="22"/>
                <w:szCs w:val="22"/>
              </w:rPr>
            </w:pPr>
            <w:r w:rsidRPr="007C7221">
              <w:rPr>
                <w:b/>
                <w:sz w:val="22"/>
                <w:szCs w:val="22"/>
              </w:rPr>
              <w:t>Placebo</w:t>
            </w:r>
            <w:r w:rsidR="0067117A" w:rsidRPr="007C7221">
              <w:rPr>
                <w:b/>
                <w:sz w:val="22"/>
                <w:szCs w:val="22"/>
              </w:rPr>
              <w:t xml:space="preserve"> t</w:t>
            </w:r>
            <w:r w:rsidR="00903067" w:rsidRPr="007C7221">
              <w:rPr>
                <w:b/>
                <w:sz w:val="22"/>
                <w:szCs w:val="22"/>
              </w:rPr>
              <w:t>ests</w:t>
            </w:r>
          </w:p>
        </w:tc>
      </w:tr>
      <w:tr w:rsidR="00903067" w:rsidRPr="007C7221" w14:paraId="0B406F7F" w14:textId="77777777" w:rsidTr="00661E71">
        <w:trPr>
          <w:jc w:val="center"/>
        </w:trPr>
        <w:tc>
          <w:tcPr>
            <w:tcW w:w="0" w:type="auto"/>
            <w:tcBorders>
              <w:left w:val="nil"/>
              <w:bottom w:val="single" w:sz="4" w:space="0" w:color="auto"/>
              <w:right w:val="nil"/>
            </w:tcBorders>
          </w:tcPr>
          <w:p w14:paraId="399274F8" w14:textId="77777777" w:rsidR="00903067" w:rsidRPr="007C7221" w:rsidRDefault="00903067" w:rsidP="00AB6C46">
            <w:pPr>
              <w:widowControl w:val="0"/>
              <w:autoSpaceDE w:val="0"/>
              <w:autoSpaceDN w:val="0"/>
              <w:adjustRightInd w:val="0"/>
              <w:rPr>
                <w:sz w:val="22"/>
                <w:szCs w:val="22"/>
              </w:rPr>
            </w:pPr>
          </w:p>
        </w:tc>
        <w:tc>
          <w:tcPr>
            <w:tcW w:w="0" w:type="auto"/>
            <w:gridSpan w:val="2"/>
            <w:tcBorders>
              <w:left w:val="nil"/>
              <w:bottom w:val="single" w:sz="4" w:space="0" w:color="auto"/>
              <w:right w:val="nil"/>
            </w:tcBorders>
          </w:tcPr>
          <w:p w14:paraId="429E21CA" w14:textId="77777777" w:rsidR="00903067" w:rsidRPr="007C7221" w:rsidRDefault="00903067" w:rsidP="00AB6C46">
            <w:pPr>
              <w:widowControl w:val="0"/>
              <w:autoSpaceDE w:val="0"/>
              <w:autoSpaceDN w:val="0"/>
              <w:adjustRightInd w:val="0"/>
              <w:jc w:val="center"/>
              <w:rPr>
                <w:sz w:val="22"/>
                <w:szCs w:val="22"/>
              </w:rPr>
            </w:pPr>
          </w:p>
        </w:tc>
        <w:tc>
          <w:tcPr>
            <w:tcW w:w="0" w:type="auto"/>
            <w:gridSpan w:val="2"/>
            <w:tcBorders>
              <w:left w:val="nil"/>
              <w:bottom w:val="single" w:sz="4" w:space="0" w:color="auto"/>
              <w:right w:val="nil"/>
            </w:tcBorders>
          </w:tcPr>
          <w:p w14:paraId="4783181A" w14:textId="77777777" w:rsidR="00903067" w:rsidRPr="007C7221" w:rsidRDefault="00903067" w:rsidP="00AB6C46">
            <w:pPr>
              <w:widowControl w:val="0"/>
              <w:autoSpaceDE w:val="0"/>
              <w:autoSpaceDN w:val="0"/>
              <w:adjustRightInd w:val="0"/>
              <w:jc w:val="center"/>
              <w:rPr>
                <w:sz w:val="22"/>
                <w:szCs w:val="22"/>
              </w:rPr>
            </w:pPr>
          </w:p>
        </w:tc>
      </w:tr>
      <w:tr w:rsidR="00661E71" w:rsidRPr="007C7221" w14:paraId="26903E99" w14:textId="77777777" w:rsidTr="00661E71">
        <w:trPr>
          <w:jc w:val="center"/>
        </w:trPr>
        <w:tc>
          <w:tcPr>
            <w:tcW w:w="0" w:type="auto"/>
            <w:tcBorders>
              <w:top w:val="single" w:sz="4" w:space="0" w:color="auto"/>
              <w:left w:val="nil"/>
              <w:right w:val="nil"/>
            </w:tcBorders>
          </w:tcPr>
          <w:p w14:paraId="6D745F67" w14:textId="77777777" w:rsidR="00661E71" w:rsidRPr="007C7221" w:rsidRDefault="00661E71" w:rsidP="00233992">
            <w:pPr>
              <w:widowControl w:val="0"/>
              <w:autoSpaceDE w:val="0"/>
              <w:autoSpaceDN w:val="0"/>
              <w:adjustRightInd w:val="0"/>
              <w:rPr>
                <w:sz w:val="22"/>
                <w:szCs w:val="22"/>
              </w:rPr>
            </w:pPr>
          </w:p>
        </w:tc>
        <w:tc>
          <w:tcPr>
            <w:tcW w:w="0" w:type="auto"/>
            <w:tcBorders>
              <w:top w:val="single" w:sz="4" w:space="0" w:color="auto"/>
              <w:left w:val="nil"/>
              <w:right w:val="nil"/>
            </w:tcBorders>
          </w:tcPr>
          <w:p w14:paraId="247CE9B5" w14:textId="77777777" w:rsidR="00661E71" w:rsidRPr="007C7221" w:rsidRDefault="00661E71" w:rsidP="00233992">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671E7ED2" w14:textId="77777777" w:rsidR="00661E71" w:rsidRPr="007C7221" w:rsidRDefault="00661E71" w:rsidP="00233992">
            <w:pPr>
              <w:widowControl w:val="0"/>
              <w:autoSpaceDE w:val="0"/>
              <w:autoSpaceDN w:val="0"/>
              <w:adjustRightInd w:val="0"/>
              <w:jc w:val="center"/>
              <w:rPr>
                <w:sz w:val="22"/>
                <w:szCs w:val="22"/>
              </w:rPr>
            </w:pPr>
          </w:p>
        </w:tc>
        <w:tc>
          <w:tcPr>
            <w:tcW w:w="0" w:type="auto"/>
            <w:gridSpan w:val="2"/>
            <w:tcBorders>
              <w:top w:val="single" w:sz="4" w:space="0" w:color="auto"/>
              <w:left w:val="nil"/>
              <w:right w:val="nil"/>
            </w:tcBorders>
          </w:tcPr>
          <w:p w14:paraId="0EBDE894" w14:textId="188A03B0" w:rsidR="00661E71" w:rsidRPr="007C7221" w:rsidRDefault="00661E71" w:rsidP="00233992">
            <w:pPr>
              <w:widowControl w:val="0"/>
              <w:autoSpaceDE w:val="0"/>
              <w:autoSpaceDN w:val="0"/>
              <w:adjustRightInd w:val="0"/>
              <w:jc w:val="center"/>
              <w:rPr>
                <w:sz w:val="22"/>
                <w:szCs w:val="22"/>
              </w:rPr>
            </w:pPr>
            <w:r w:rsidRPr="007C7221">
              <w:rPr>
                <w:sz w:val="22"/>
                <w:szCs w:val="22"/>
              </w:rPr>
              <w:t>Capex</w:t>
            </w:r>
          </w:p>
        </w:tc>
      </w:tr>
      <w:tr w:rsidR="00233992" w:rsidRPr="007C7221" w14:paraId="409C7A49" w14:textId="77777777" w:rsidTr="00661E71">
        <w:trPr>
          <w:jc w:val="center"/>
        </w:trPr>
        <w:tc>
          <w:tcPr>
            <w:tcW w:w="0" w:type="auto"/>
            <w:tcBorders>
              <w:left w:val="nil"/>
              <w:bottom w:val="single" w:sz="6" w:space="0" w:color="auto"/>
              <w:right w:val="nil"/>
            </w:tcBorders>
          </w:tcPr>
          <w:p w14:paraId="743C91EB" w14:textId="62F8B9BC" w:rsidR="00233992" w:rsidRPr="007C7221" w:rsidRDefault="00233992" w:rsidP="00233992">
            <w:pPr>
              <w:widowControl w:val="0"/>
              <w:autoSpaceDE w:val="0"/>
              <w:autoSpaceDN w:val="0"/>
              <w:adjustRightInd w:val="0"/>
              <w:rPr>
                <w:sz w:val="22"/>
                <w:szCs w:val="22"/>
              </w:rPr>
            </w:pPr>
            <w:r w:rsidRPr="007C7221">
              <w:rPr>
                <w:sz w:val="22"/>
                <w:szCs w:val="22"/>
              </w:rPr>
              <w:t>Variable:</w:t>
            </w:r>
          </w:p>
        </w:tc>
        <w:tc>
          <w:tcPr>
            <w:tcW w:w="0" w:type="auto"/>
            <w:tcBorders>
              <w:left w:val="nil"/>
              <w:bottom w:val="single" w:sz="6" w:space="0" w:color="auto"/>
              <w:right w:val="nil"/>
            </w:tcBorders>
          </w:tcPr>
          <w:p w14:paraId="52B6D151" w14:textId="409D3B6F" w:rsidR="00233992" w:rsidRPr="007C7221" w:rsidRDefault="00233992" w:rsidP="00233992">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4A88EE76" w14:textId="2A2DF859" w:rsidR="00233992" w:rsidRPr="007C7221" w:rsidRDefault="00233992" w:rsidP="00233992">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0230FD23" w14:textId="395F1DBB" w:rsidR="00233992" w:rsidRPr="007C7221" w:rsidRDefault="00233992" w:rsidP="00233992">
            <w:pPr>
              <w:widowControl w:val="0"/>
              <w:autoSpaceDE w:val="0"/>
              <w:autoSpaceDN w:val="0"/>
              <w:adjustRightInd w:val="0"/>
              <w:jc w:val="center"/>
              <w:rPr>
                <w:sz w:val="22"/>
                <w:szCs w:val="22"/>
              </w:rPr>
            </w:pPr>
            <w:r w:rsidRPr="007C7221">
              <w:rPr>
                <w:sz w:val="22"/>
                <w:szCs w:val="22"/>
              </w:rPr>
              <w:t>(1)</w:t>
            </w:r>
          </w:p>
        </w:tc>
        <w:tc>
          <w:tcPr>
            <w:tcW w:w="0" w:type="auto"/>
            <w:tcBorders>
              <w:left w:val="nil"/>
              <w:bottom w:val="single" w:sz="6" w:space="0" w:color="auto"/>
              <w:right w:val="nil"/>
            </w:tcBorders>
          </w:tcPr>
          <w:p w14:paraId="2C6BDA25" w14:textId="70AD2BAD" w:rsidR="00233992" w:rsidRPr="007C7221" w:rsidRDefault="00233992" w:rsidP="00233992">
            <w:pPr>
              <w:widowControl w:val="0"/>
              <w:autoSpaceDE w:val="0"/>
              <w:autoSpaceDN w:val="0"/>
              <w:adjustRightInd w:val="0"/>
              <w:jc w:val="center"/>
              <w:rPr>
                <w:sz w:val="22"/>
                <w:szCs w:val="22"/>
              </w:rPr>
            </w:pPr>
            <w:r w:rsidRPr="007C7221">
              <w:rPr>
                <w:sz w:val="22"/>
                <w:szCs w:val="22"/>
              </w:rPr>
              <w:t>(2)</w:t>
            </w:r>
          </w:p>
        </w:tc>
      </w:tr>
      <w:tr w:rsidR="00251AD6" w:rsidRPr="007C7221" w14:paraId="5835AE8F" w14:textId="77777777" w:rsidTr="00AB6C46">
        <w:trPr>
          <w:jc w:val="center"/>
        </w:trPr>
        <w:tc>
          <w:tcPr>
            <w:tcW w:w="0" w:type="auto"/>
            <w:tcBorders>
              <w:top w:val="nil"/>
              <w:left w:val="nil"/>
              <w:bottom w:val="nil"/>
              <w:right w:val="nil"/>
            </w:tcBorders>
          </w:tcPr>
          <w:p w14:paraId="46A7D47D" w14:textId="0D6AE798" w:rsidR="00251AD6" w:rsidRPr="007C7221" w:rsidRDefault="00251AD6" w:rsidP="00251AD6">
            <w:pPr>
              <w:widowControl w:val="0"/>
              <w:autoSpaceDE w:val="0"/>
              <w:autoSpaceDN w:val="0"/>
              <w:adjustRightInd w:val="0"/>
              <w:rPr>
                <w:sz w:val="22"/>
                <w:szCs w:val="22"/>
              </w:rPr>
            </w:pPr>
          </w:p>
        </w:tc>
        <w:tc>
          <w:tcPr>
            <w:tcW w:w="0" w:type="auto"/>
            <w:tcBorders>
              <w:top w:val="nil"/>
              <w:left w:val="nil"/>
              <w:bottom w:val="nil"/>
              <w:right w:val="nil"/>
            </w:tcBorders>
          </w:tcPr>
          <w:p w14:paraId="2F8FA457" w14:textId="77777777" w:rsidR="00251AD6" w:rsidRPr="007C7221" w:rsidRDefault="00251AD6" w:rsidP="00251AD6">
            <w:pPr>
              <w:widowControl w:val="0"/>
              <w:autoSpaceDE w:val="0"/>
              <w:autoSpaceDN w:val="0"/>
              <w:adjustRightInd w:val="0"/>
              <w:jc w:val="center"/>
              <w:rPr>
                <w:sz w:val="22"/>
                <w:szCs w:val="22"/>
              </w:rPr>
            </w:pPr>
          </w:p>
        </w:tc>
        <w:tc>
          <w:tcPr>
            <w:tcW w:w="0" w:type="auto"/>
            <w:tcBorders>
              <w:top w:val="nil"/>
              <w:left w:val="nil"/>
              <w:bottom w:val="nil"/>
              <w:right w:val="nil"/>
            </w:tcBorders>
          </w:tcPr>
          <w:p w14:paraId="34A06AC8" w14:textId="14F17039" w:rsidR="00251AD6" w:rsidRPr="007C7221" w:rsidRDefault="00251AD6" w:rsidP="00251AD6">
            <w:pPr>
              <w:widowControl w:val="0"/>
              <w:autoSpaceDE w:val="0"/>
              <w:autoSpaceDN w:val="0"/>
              <w:adjustRightInd w:val="0"/>
              <w:jc w:val="center"/>
              <w:rPr>
                <w:sz w:val="22"/>
                <w:szCs w:val="22"/>
              </w:rPr>
            </w:pPr>
          </w:p>
        </w:tc>
        <w:tc>
          <w:tcPr>
            <w:tcW w:w="0" w:type="auto"/>
            <w:tcBorders>
              <w:top w:val="nil"/>
              <w:left w:val="nil"/>
              <w:bottom w:val="nil"/>
              <w:right w:val="nil"/>
            </w:tcBorders>
          </w:tcPr>
          <w:p w14:paraId="092D57F2" w14:textId="77777777" w:rsidR="00251AD6" w:rsidRPr="007C7221" w:rsidRDefault="00251AD6" w:rsidP="00251AD6">
            <w:pPr>
              <w:widowControl w:val="0"/>
              <w:autoSpaceDE w:val="0"/>
              <w:autoSpaceDN w:val="0"/>
              <w:adjustRightInd w:val="0"/>
              <w:jc w:val="center"/>
              <w:rPr>
                <w:sz w:val="22"/>
                <w:szCs w:val="22"/>
              </w:rPr>
            </w:pPr>
          </w:p>
        </w:tc>
        <w:tc>
          <w:tcPr>
            <w:tcW w:w="0" w:type="auto"/>
            <w:tcBorders>
              <w:top w:val="nil"/>
              <w:left w:val="nil"/>
              <w:bottom w:val="nil"/>
              <w:right w:val="nil"/>
            </w:tcBorders>
          </w:tcPr>
          <w:p w14:paraId="2B9397DC" w14:textId="7E476B6F" w:rsidR="00251AD6" w:rsidRPr="007C7221" w:rsidRDefault="00251AD6" w:rsidP="00251AD6">
            <w:pPr>
              <w:widowControl w:val="0"/>
              <w:autoSpaceDE w:val="0"/>
              <w:autoSpaceDN w:val="0"/>
              <w:adjustRightInd w:val="0"/>
              <w:jc w:val="center"/>
              <w:rPr>
                <w:sz w:val="22"/>
                <w:szCs w:val="22"/>
              </w:rPr>
            </w:pPr>
          </w:p>
        </w:tc>
      </w:tr>
      <w:tr w:rsidR="00760C46" w:rsidRPr="007C7221" w14:paraId="14B05B00" w14:textId="77777777" w:rsidTr="00AB6C46">
        <w:trPr>
          <w:jc w:val="center"/>
        </w:trPr>
        <w:tc>
          <w:tcPr>
            <w:tcW w:w="0" w:type="auto"/>
            <w:tcBorders>
              <w:top w:val="nil"/>
              <w:left w:val="nil"/>
              <w:bottom w:val="nil"/>
              <w:right w:val="nil"/>
            </w:tcBorders>
          </w:tcPr>
          <w:p w14:paraId="1E768369" w14:textId="05CDEE44" w:rsidR="00760C46" w:rsidRPr="007C7221" w:rsidRDefault="00760C46" w:rsidP="00760C46">
            <w:pPr>
              <w:widowControl w:val="0"/>
              <w:autoSpaceDE w:val="0"/>
              <w:autoSpaceDN w:val="0"/>
              <w:adjustRightInd w:val="0"/>
              <w:rPr>
                <w:sz w:val="22"/>
                <w:szCs w:val="22"/>
              </w:rPr>
            </w:pPr>
            <w:r w:rsidRPr="007C7221">
              <w:rPr>
                <w:sz w:val="22"/>
                <w:szCs w:val="22"/>
              </w:rPr>
              <w:t xml:space="preserve">CFIUS Block two-year before </w:t>
            </w:r>
          </w:p>
        </w:tc>
        <w:tc>
          <w:tcPr>
            <w:tcW w:w="0" w:type="auto"/>
            <w:tcBorders>
              <w:top w:val="nil"/>
              <w:left w:val="nil"/>
              <w:bottom w:val="nil"/>
              <w:right w:val="nil"/>
            </w:tcBorders>
          </w:tcPr>
          <w:p w14:paraId="439C165B"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56127846" w14:textId="1B3DD93A"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1D9CFFC1" w14:textId="131A3139" w:rsidR="00760C46" w:rsidRPr="007C7221" w:rsidRDefault="00760C46" w:rsidP="00760C46">
            <w:pPr>
              <w:widowControl w:val="0"/>
              <w:autoSpaceDE w:val="0"/>
              <w:autoSpaceDN w:val="0"/>
              <w:adjustRightInd w:val="0"/>
              <w:jc w:val="center"/>
              <w:rPr>
                <w:sz w:val="22"/>
                <w:szCs w:val="22"/>
              </w:rPr>
            </w:pPr>
            <w:r w:rsidRPr="007C7221">
              <w:rPr>
                <w:sz w:val="22"/>
                <w:szCs w:val="22"/>
              </w:rPr>
              <w:t>0.017</w:t>
            </w:r>
          </w:p>
        </w:tc>
        <w:tc>
          <w:tcPr>
            <w:tcW w:w="0" w:type="auto"/>
            <w:tcBorders>
              <w:top w:val="nil"/>
              <w:left w:val="nil"/>
              <w:bottom w:val="nil"/>
              <w:right w:val="nil"/>
            </w:tcBorders>
          </w:tcPr>
          <w:p w14:paraId="2B0C5F4A" w14:textId="1E76FEDA" w:rsidR="00760C46" w:rsidRPr="007C7221" w:rsidRDefault="00760C46" w:rsidP="00760C46">
            <w:pPr>
              <w:widowControl w:val="0"/>
              <w:autoSpaceDE w:val="0"/>
              <w:autoSpaceDN w:val="0"/>
              <w:adjustRightInd w:val="0"/>
              <w:jc w:val="center"/>
              <w:rPr>
                <w:sz w:val="22"/>
                <w:szCs w:val="22"/>
              </w:rPr>
            </w:pPr>
          </w:p>
        </w:tc>
      </w:tr>
      <w:tr w:rsidR="00760C46" w:rsidRPr="007C7221" w14:paraId="1CEFE088" w14:textId="77777777" w:rsidTr="00AB6C46">
        <w:trPr>
          <w:jc w:val="center"/>
        </w:trPr>
        <w:tc>
          <w:tcPr>
            <w:tcW w:w="0" w:type="auto"/>
            <w:tcBorders>
              <w:top w:val="nil"/>
              <w:left w:val="nil"/>
              <w:bottom w:val="nil"/>
              <w:right w:val="nil"/>
            </w:tcBorders>
          </w:tcPr>
          <w:p w14:paraId="7437C3DE" w14:textId="77777777" w:rsidR="00760C46" w:rsidRPr="007C7221" w:rsidRDefault="00760C46" w:rsidP="00760C46">
            <w:pPr>
              <w:widowControl w:val="0"/>
              <w:autoSpaceDE w:val="0"/>
              <w:autoSpaceDN w:val="0"/>
              <w:adjustRightInd w:val="0"/>
              <w:rPr>
                <w:sz w:val="22"/>
                <w:szCs w:val="22"/>
              </w:rPr>
            </w:pPr>
          </w:p>
        </w:tc>
        <w:tc>
          <w:tcPr>
            <w:tcW w:w="0" w:type="auto"/>
            <w:tcBorders>
              <w:top w:val="nil"/>
              <w:left w:val="nil"/>
              <w:bottom w:val="nil"/>
              <w:right w:val="nil"/>
            </w:tcBorders>
          </w:tcPr>
          <w:p w14:paraId="1A62109D"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3F241F57"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67D3314F" w14:textId="00C7D8B4" w:rsidR="00760C46" w:rsidRPr="007C7221" w:rsidRDefault="00760C46" w:rsidP="00760C46">
            <w:pPr>
              <w:widowControl w:val="0"/>
              <w:autoSpaceDE w:val="0"/>
              <w:autoSpaceDN w:val="0"/>
              <w:adjustRightInd w:val="0"/>
              <w:jc w:val="center"/>
              <w:rPr>
                <w:sz w:val="22"/>
                <w:szCs w:val="22"/>
              </w:rPr>
            </w:pPr>
            <w:r w:rsidRPr="007C7221">
              <w:rPr>
                <w:sz w:val="22"/>
                <w:szCs w:val="22"/>
              </w:rPr>
              <w:t>(0.49)</w:t>
            </w:r>
          </w:p>
        </w:tc>
        <w:tc>
          <w:tcPr>
            <w:tcW w:w="0" w:type="auto"/>
            <w:tcBorders>
              <w:top w:val="nil"/>
              <w:left w:val="nil"/>
              <w:bottom w:val="nil"/>
              <w:right w:val="nil"/>
            </w:tcBorders>
          </w:tcPr>
          <w:p w14:paraId="2C178256" w14:textId="561BBAEC" w:rsidR="00760C46" w:rsidRPr="007C7221" w:rsidRDefault="00760C46" w:rsidP="00760C46">
            <w:pPr>
              <w:widowControl w:val="0"/>
              <w:autoSpaceDE w:val="0"/>
              <w:autoSpaceDN w:val="0"/>
              <w:adjustRightInd w:val="0"/>
              <w:jc w:val="center"/>
              <w:rPr>
                <w:sz w:val="22"/>
                <w:szCs w:val="22"/>
              </w:rPr>
            </w:pPr>
          </w:p>
        </w:tc>
      </w:tr>
      <w:tr w:rsidR="00760C46" w:rsidRPr="007C7221" w14:paraId="1BFE746B" w14:textId="77777777" w:rsidTr="00AB6C46">
        <w:trPr>
          <w:jc w:val="center"/>
        </w:trPr>
        <w:tc>
          <w:tcPr>
            <w:tcW w:w="0" w:type="auto"/>
            <w:tcBorders>
              <w:top w:val="nil"/>
              <w:left w:val="nil"/>
              <w:bottom w:val="nil"/>
              <w:right w:val="nil"/>
            </w:tcBorders>
          </w:tcPr>
          <w:p w14:paraId="2D4B7175" w14:textId="70340DDB" w:rsidR="00760C46" w:rsidRPr="007C7221" w:rsidRDefault="00760C46" w:rsidP="00760C46">
            <w:pPr>
              <w:widowControl w:val="0"/>
              <w:autoSpaceDE w:val="0"/>
              <w:autoSpaceDN w:val="0"/>
              <w:adjustRightInd w:val="0"/>
              <w:rPr>
                <w:sz w:val="22"/>
                <w:szCs w:val="22"/>
              </w:rPr>
            </w:pPr>
            <w:r w:rsidRPr="007C7221">
              <w:rPr>
                <w:sz w:val="22"/>
                <w:szCs w:val="22"/>
              </w:rPr>
              <w:t xml:space="preserve">CFIUS Block one-year before </w:t>
            </w:r>
          </w:p>
        </w:tc>
        <w:tc>
          <w:tcPr>
            <w:tcW w:w="0" w:type="auto"/>
            <w:tcBorders>
              <w:top w:val="nil"/>
              <w:left w:val="nil"/>
              <w:bottom w:val="nil"/>
              <w:right w:val="nil"/>
            </w:tcBorders>
          </w:tcPr>
          <w:p w14:paraId="424C65FA"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07F104CF"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44523CA2"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21ECFEFA" w14:textId="2ACDF257" w:rsidR="00760C46" w:rsidRPr="007C7221" w:rsidRDefault="00760C46" w:rsidP="00760C46">
            <w:pPr>
              <w:widowControl w:val="0"/>
              <w:autoSpaceDE w:val="0"/>
              <w:autoSpaceDN w:val="0"/>
              <w:adjustRightInd w:val="0"/>
              <w:jc w:val="center"/>
              <w:rPr>
                <w:sz w:val="22"/>
                <w:szCs w:val="22"/>
              </w:rPr>
            </w:pPr>
            <w:r w:rsidRPr="007C7221">
              <w:rPr>
                <w:sz w:val="22"/>
                <w:szCs w:val="22"/>
              </w:rPr>
              <w:t>-0.021</w:t>
            </w:r>
          </w:p>
        </w:tc>
      </w:tr>
      <w:tr w:rsidR="00760C46" w:rsidRPr="007C7221" w14:paraId="46147E64" w14:textId="77777777" w:rsidTr="00AB6C46">
        <w:trPr>
          <w:jc w:val="center"/>
        </w:trPr>
        <w:tc>
          <w:tcPr>
            <w:tcW w:w="0" w:type="auto"/>
            <w:tcBorders>
              <w:top w:val="nil"/>
              <w:left w:val="nil"/>
              <w:bottom w:val="nil"/>
              <w:right w:val="nil"/>
            </w:tcBorders>
          </w:tcPr>
          <w:p w14:paraId="07B5D1C5" w14:textId="77777777" w:rsidR="00760C46" w:rsidRPr="007C7221" w:rsidRDefault="00760C46" w:rsidP="00760C46">
            <w:pPr>
              <w:widowControl w:val="0"/>
              <w:autoSpaceDE w:val="0"/>
              <w:autoSpaceDN w:val="0"/>
              <w:adjustRightInd w:val="0"/>
              <w:rPr>
                <w:sz w:val="22"/>
                <w:szCs w:val="22"/>
              </w:rPr>
            </w:pPr>
          </w:p>
        </w:tc>
        <w:tc>
          <w:tcPr>
            <w:tcW w:w="0" w:type="auto"/>
            <w:tcBorders>
              <w:top w:val="nil"/>
              <w:left w:val="nil"/>
              <w:bottom w:val="nil"/>
              <w:right w:val="nil"/>
            </w:tcBorders>
          </w:tcPr>
          <w:p w14:paraId="653D37A6"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788CC746"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4BC5BED1" w14:textId="7777777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7C363176" w14:textId="00483384" w:rsidR="00760C46" w:rsidRPr="007C7221" w:rsidRDefault="00760C46" w:rsidP="00760C46">
            <w:pPr>
              <w:widowControl w:val="0"/>
              <w:autoSpaceDE w:val="0"/>
              <w:autoSpaceDN w:val="0"/>
              <w:adjustRightInd w:val="0"/>
              <w:jc w:val="center"/>
              <w:rPr>
                <w:sz w:val="22"/>
                <w:szCs w:val="22"/>
              </w:rPr>
            </w:pPr>
            <w:r w:rsidRPr="007C7221">
              <w:rPr>
                <w:sz w:val="22"/>
                <w:szCs w:val="22"/>
              </w:rPr>
              <w:t>(-0.95)</w:t>
            </w:r>
          </w:p>
        </w:tc>
      </w:tr>
      <w:tr w:rsidR="00760C46" w:rsidRPr="007C7221" w14:paraId="7171F257" w14:textId="77777777" w:rsidTr="00AB6C46">
        <w:trPr>
          <w:jc w:val="center"/>
        </w:trPr>
        <w:tc>
          <w:tcPr>
            <w:tcW w:w="0" w:type="auto"/>
            <w:tcBorders>
              <w:top w:val="nil"/>
              <w:left w:val="nil"/>
              <w:bottom w:val="nil"/>
              <w:right w:val="nil"/>
            </w:tcBorders>
          </w:tcPr>
          <w:p w14:paraId="4C9FBC8E" w14:textId="0A663347" w:rsidR="00760C46" w:rsidRPr="007C7221" w:rsidRDefault="00760C46" w:rsidP="00760C46">
            <w:pPr>
              <w:widowControl w:val="0"/>
              <w:autoSpaceDE w:val="0"/>
              <w:autoSpaceDN w:val="0"/>
              <w:adjustRightInd w:val="0"/>
              <w:rPr>
                <w:sz w:val="22"/>
                <w:szCs w:val="22"/>
              </w:rPr>
            </w:pPr>
            <w:r w:rsidRPr="007C7221">
              <w:rPr>
                <w:sz w:val="22"/>
                <w:szCs w:val="22"/>
              </w:rPr>
              <w:t xml:space="preserve">Cash flow </w:t>
            </w:r>
          </w:p>
        </w:tc>
        <w:tc>
          <w:tcPr>
            <w:tcW w:w="0" w:type="auto"/>
            <w:tcBorders>
              <w:top w:val="nil"/>
              <w:left w:val="nil"/>
              <w:bottom w:val="nil"/>
              <w:right w:val="nil"/>
            </w:tcBorders>
          </w:tcPr>
          <w:p w14:paraId="27117E36" w14:textId="29AC6202"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6523A34C" w14:textId="6AFDE7A4"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233C97F7" w14:textId="5D6E9185" w:rsidR="00760C46" w:rsidRPr="007C7221" w:rsidRDefault="00760C46" w:rsidP="00760C46">
            <w:pPr>
              <w:widowControl w:val="0"/>
              <w:autoSpaceDE w:val="0"/>
              <w:autoSpaceDN w:val="0"/>
              <w:adjustRightInd w:val="0"/>
              <w:jc w:val="center"/>
              <w:rPr>
                <w:sz w:val="22"/>
                <w:szCs w:val="22"/>
              </w:rPr>
            </w:pPr>
            <w:r w:rsidRPr="007C7221">
              <w:rPr>
                <w:sz w:val="22"/>
                <w:szCs w:val="22"/>
              </w:rPr>
              <w:t>0.160***</w:t>
            </w:r>
          </w:p>
        </w:tc>
        <w:tc>
          <w:tcPr>
            <w:tcW w:w="0" w:type="auto"/>
            <w:tcBorders>
              <w:top w:val="nil"/>
              <w:left w:val="nil"/>
              <w:bottom w:val="nil"/>
              <w:right w:val="nil"/>
            </w:tcBorders>
          </w:tcPr>
          <w:p w14:paraId="669EB426" w14:textId="7F829175" w:rsidR="00760C46" w:rsidRPr="007C7221" w:rsidRDefault="00760C46" w:rsidP="00760C46">
            <w:pPr>
              <w:widowControl w:val="0"/>
              <w:autoSpaceDE w:val="0"/>
              <w:autoSpaceDN w:val="0"/>
              <w:adjustRightInd w:val="0"/>
              <w:jc w:val="center"/>
              <w:rPr>
                <w:sz w:val="22"/>
                <w:szCs w:val="22"/>
              </w:rPr>
            </w:pPr>
            <w:r w:rsidRPr="007C7221">
              <w:rPr>
                <w:sz w:val="22"/>
                <w:szCs w:val="22"/>
              </w:rPr>
              <w:t>0.160***</w:t>
            </w:r>
          </w:p>
        </w:tc>
      </w:tr>
      <w:tr w:rsidR="00760C46" w:rsidRPr="007C7221" w14:paraId="2B8F33A9" w14:textId="77777777" w:rsidTr="00AB6C46">
        <w:trPr>
          <w:jc w:val="center"/>
        </w:trPr>
        <w:tc>
          <w:tcPr>
            <w:tcW w:w="0" w:type="auto"/>
            <w:tcBorders>
              <w:top w:val="nil"/>
              <w:left w:val="nil"/>
              <w:bottom w:val="nil"/>
              <w:right w:val="nil"/>
            </w:tcBorders>
          </w:tcPr>
          <w:p w14:paraId="3B6AD9F5" w14:textId="77777777" w:rsidR="00760C46" w:rsidRPr="007C7221" w:rsidRDefault="00760C46" w:rsidP="00760C46">
            <w:pPr>
              <w:widowControl w:val="0"/>
              <w:autoSpaceDE w:val="0"/>
              <w:autoSpaceDN w:val="0"/>
              <w:adjustRightInd w:val="0"/>
              <w:rPr>
                <w:sz w:val="22"/>
                <w:szCs w:val="22"/>
              </w:rPr>
            </w:pPr>
          </w:p>
        </w:tc>
        <w:tc>
          <w:tcPr>
            <w:tcW w:w="0" w:type="auto"/>
            <w:tcBorders>
              <w:top w:val="nil"/>
              <w:left w:val="nil"/>
              <w:bottom w:val="nil"/>
              <w:right w:val="nil"/>
            </w:tcBorders>
          </w:tcPr>
          <w:p w14:paraId="0D386AA4" w14:textId="7D79C9C2"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485FD8DD" w14:textId="5538C210"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200F7479" w14:textId="302B250D" w:rsidR="00760C46" w:rsidRPr="007C7221" w:rsidRDefault="00760C46" w:rsidP="00760C46">
            <w:pPr>
              <w:widowControl w:val="0"/>
              <w:autoSpaceDE w:val="0"/>
              <w:autoSpaceDN w:val="0"/>
              <w:adjustRightInd w:val="0"/>
              <w:jc w:val="center"/>
              <w:rPr>
                <w:sz w:val="22"/>
                <w:szCs w:val="22"/>
              </w:rPr>
            </w:pPr>
            <w:r w:rsidRPr="007C7221">
              <w:rPr>
                <w:sz w:val="22"/>
                <w:szCs w:val="22"/>
              </w:rPr>
              <w:t>(4.62)</w:t>
            </w:r>
          </w:p>
        </w:tc>
        <w:tc>
          <w:tcPr>
            <w:tcW w:w="0" w:type="auto"/>
            <w:tcBorders>
              <w:top w:val="nil"/>
              <w:left w:val="nil"/>
              <w:bottom w:val="nil"/>
              <w:right w:val="nil"/>
            </w:tcBorders>
          </w:tcPr>
          <w:p w14:paraId="0BF405CD" w14:textId="68F8AF1D" w:rsidR="00760C46" w:rsidRPr="007C7221" w:rsidRDefault="00760C46" w:rsidP="00760C46">
            <w:pPr>
              <w:widowControl w:val="0"/>
              <w:autoSpaceDE w:val="0"/>
              <w:autoSpaceDN w:val="0"/>
              <w:adjustRightInd w:val="0"/>
              <w:jc w:val="center"/>
              <w:rPr>
                <w:sz w:val="22"/>
                <w:szCs w:val="22"/>
              </w:rPr>
            </w:pPr>
            <w:r w:rsidRPr="007C7221">
              <w:rPr>
                <w:sz w:val="22"/>
                <w:szCs w:val="22"/>
              </w:rPr>
              <w:t>(4.62)</w:t>
            </w:r>
          </w:p>
        </w:tc>
      </w:tr>
      <w:tr w:rsidR="00760C46" w:rsidRPr="007C7221" w14:paraId="7E8758F8" w14:textId="77777777" w:rsidTr="00AB6C46">
        <w:trPr>
          <w:jc w:val="center"/>
        </w:trPr>
        <w:tc>
          <w:tcPr>
            <w:tcW w:w="0" w:type="auto"/>
            <w:tcBorders>
              <w:top w:val="nil"/>
              <w:left w:val="nil"/>
              <w:bottom w:val="nil"/>
              <w:right w:val="nil"/>
            </w:tcBorders>
          </w:tcPr>
          <w:p w14:paraId="2FBD97FD" w14:textId="12AEC245" w:rsidR="00760C46" w:rsidRPr="007C7221" w:rsidRDefault="00760C46" w:rsidP="00760C46">
            <w:pPr>
              <w:widowControl w:val="0"/>
              <w:autoSpaceDE w:val="0"/>
              <w:autoSpaceDN w:val="0"/>
              <w:adjustRightInd w:val="0"/>
              <w:rPr>
                <w:sz w:val="22"/>
                <w:szCs w:val="22"/>
              </w:rPr>
            </w:pPr>
            <w:r w:rsidRPr="007C7221">
              <w:rPr>
                <w:sz w:val="22"/>
                <w:szCs w:val="22"/>
              </w:rPr>
              <w:t xml:space="preserve">Leverage </w:t>
            </w:r>
          </w:p>
        </w:tc>
        <w:tc>
          <w:tcPr>
            <w:tcW w:w="0" w:type="auto"/>
            <w:tcBorders>
              <w:top w:val="nil"/>
              <w:left w:val="nil"/>
              <w:bottom w:val="nil"/>
              <w:right w:val="nil"/>
            </w:tcBorders>
          </w:tcPr>
          <w:p w14:paraId="177C843A" w14:textId="1C338A91"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1EE96B35" w14:textId="443E1189"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7BC28453" w14:textId="13C7B637" w:rsidR="00760C46" w:rsidRPr="007C7221" w:rsidRDefault="00760C46" w:rsidP="00760C46">
            <w:pPr>
              <w:widowControl w:val="0"/>
              <w:autoSpaceDE w:val="0"/>
              <w:autoSpaceDN w:val="0"/>
              <w:adjustRightInd w:val="0"/>
              <w:jc w:val="center"/>
              <w:rPr>
                <w:sz w:val="22"/>
                <w:szCs w:val="22"/>
              </w:rPr>
            </w:pPr>
            <w:r w:rsidRPr="007C7221">
              <w:rPr>
                <w:sz w:val="22"/>
                <w:szCs w:val="22"/>
              </w:rPr>
              <w:t>-0.066***</w:t>
            </w:r>
          </w:p>
        </w:tc>
        <w:tc>
          <w:tcPr>
            <w:tcW w:w="0" w:type="auto"/>
            <w:tcBorders>
              <w:top w:val="nil"/>
              <w:left w:val="nil"/>
              <w:bottom w:val="nil"/>
              <w:right w:val="nil"/>
            </w:tcBorders>
          </w:tcPr>
          <w:p w14:paraId="705B6D91" w14:textId="537A6CD8" w:rsidR="00760C46" w:rsidRPr="007C7221" w:rsidRDefault="00760C46" w:rsidP="00760C46">
            <w:pPr>
              <w:widowControl w:val="0"/>
              <w:autoSpaceDE w:val="0"/>
              <w:autoSpaceDN w:val="0"/>
              <w:adjustRightInd w:val="0"/>
              <w:jc w:val="center"/>
              <w:rPr>
                <w:sz w:val="22"/>
                <w:szCs w:val="22"/>
              </w:rPr>
            </w:pPr>
            <w:r w:rsidRPr="007C7221">
              <w:rPr>
                <w:sz w:val="22"/>
                <w:szCs w:val="22"/>
              </w:rPr>
              <w:t>-0.066***</w:t>
            </w:r>
          </w:p>
        </w:tc>
      </w:tr>
      <w:tr w:rsidR="00760C46" w:rsidRPr="007C7221" w14:paraId="5BA02DFF" w14:textId="77777777" w:rsidTr="00AB6C46">
        <w:trPr>
          <w:jc w:val="center"/>
        </w:trPr>
        <w:tc>
          <w:tcPr>
            <w:tcW w:w="0" w:type="auto"/>
            <w:tcBorders>
              <w:top w:val="nil"/>
              <w:left w:val="nil"/>
              <w:bottom w:val="nil"/>
              <w:right w:val="nil"/>
            </w:tcBorders>
          </w:tcPr>
          <w:p w14:paraId="296D27B1" w14:textId="77777777" w:rsidR="00760C46" w:rsidRPr="007C7221" w:rsidRDefault="00760C46" w:rsidP="00760C46">
            <w:pPr>
              <w:widowControl w:val="0"/>
              <w:autoSpaceDE w:val="0"/>
              <w:autoSpaceDN w:val="0"/>
              <w:adjustRightInd w:val="0"/>
              <w:rPr>
                <w:sz w:val="22"/>
                <w:szCs w:val="22"/>
              </w:rPr>
            </w:pPr>
          </w:p>
        </w:tc>
        <w:tc>
          <w:tcPr>
            <w:tcW w:w="0" w:type="auto"/>
            <w:tcBorders>
              <w:top w:val="nil"/>
              <w:left w:val="nil"/>
              <w:bottom w:val="nil"/>
              <w:right w:val="nil"/>
            </w:tcBorders>
          </w:tcPr>
          <w:p w14:paraId="5B98860B" w14:textId="3A225B43"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055B3E8C" w14:textId="00578F55"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187B3F94" w14:textId="32744394" w:rsidR="00760C46" w:rsidRPr="007C7221" w:rsidRDefault="00760C46" w:rsidP="00760C46">
            <w:pPr>
              <w:widowControl w:val="0"/>
              <w:autoSpaceDE w:val="0"/>
              <w:autoSpaceDN w:val="0"/>
              <w:adjustRightInd w:val="0"/>
              <w:jc w:val="center"/>
              <w:rPr>
                <w:sz w:val="22"/>
                <w:szCs w:val="22"/>
              </w:rPr>
            </w:pPr>
            <w:r w:rsidRPr="007C7221">
              <w:rPr>
                <w:sz w:val="22"/>
                <w:szCs w:val="22"/>
              </w:rPr>
              <w:t>(-5.32)</w:t>
            </w:r>
          </w:p>
        </w:tc>
        <w:tc>
          <w:tcPr>
            <w:tcW w:w="0" w:type="auto"/>
            <w:tcBorders>
              <w:top w:val="nil"/>
              <w:left w:val="nil"/>
              <w:bottom w:val="nil"/>
              <w:right w:val="nil"/>
            </w:tcBorders>
          </w:tcPr>
          <w:p w14:paraId="4B42C584" w14:textId="17D586EF" w:rsidR="00760C46" w:rsidRPr="007C7221" w:rsidRDefault="00760C46" w:rsidP="00760C46">
            <w:pPr>
              <w:widowControl w:val="0"/>
              <w:autoSpaceDE w:val="0"/>
              <w:autoSpaceDN w:val="0"/>
              <w:adjustRightInd w:val="0"/>
              <w:jc w:val="center"/>
              <w:rPr>
                <w:sz w:val="22"/>
                <w:szCs w:val="22"/>
              </w:rPr>
            </w:pPr>
            <w:r w:rsidRPr="007C7221">
              <w:rPr>
                <w:sz w:val="22"/>
                <w:szCs w:val="22"/>
              </w:rPr>
              <w:t>(-5.32)</w:t>
            </w:r>
          </w:p>
        </w:tc>
      </w:tr>
      <w:tr w:rsidR="00760C46" w:rsidRPr="007C7221" w14:paraId="2A03E430" w14:textId="77777777" w:rsidTr="00AB6C46">
        <w:trPr>
          <w:jc w:val="center"/>
        </w:trPr>
        <w:tc>
          <w:tcPr>
            <w:tcW w:w="0" w:type="auto"/>
            <w:tcBorders>
              <w:top w:val="nil"/>
              <w:left w:val="nil"/>
              <w:bottom w:val="nil"/>
              <w:right w:val="nil"/>
            </w:tcBorders>
          </w:tcPr>
          <w:p w14:paraId="2B116FB2" w14:textId="4DA02C54" w:rsidR="00760C46" w:rsidRPr="007C7221" w:rsidRDefault="00760C46" w:rsidP="00760C46">
            <w:pPr>
              <w:widowControl w:val="0"/>
              <w:autoSpaceDE w:val="0"/>
              <w:autoSpaceDN w:val="0"/>
              <w:adjustRightInd w:val="0"/>
              <w:rPr>
                <w:sz w:val="22"/>
                <w:szCs w:val="22"/>
              </w:rPr>
            </w:pPr>
            <w:r w:rsidRPr="007C7221">
              <w:rPr>
                <w:sz w:val="22"/>
                <w:szCs w:val="22"/>
              </w:rPr>
              <w:t xml:space="preserve">Size </w:t>
            </w:r>
          </w:p>
        </w:tc>
        <w:tc>
          <w:tcPr>
            <w:tcW w:w="0" w:type="auto"/>
            <w:tcBorders>
              <w:top w:val="nil"/>
              <w:left w:val="nil"/>
              <w:bottom w:val="nil"/>
              <w:right w:val="nil"/>
            </w:tcBorders>
          </w:tcPr>
          <w:p w14:paraId="56F6D442" w14:textId="405F2085"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5639C496" w14:textId="5313F9B3"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01379BD1" w14:textId="06236BC8" w:rsidR="00760C46" w:rsidRPr="007C7221" w:rsidRDefault="00760C46" w:rsidP="00760C46">
            <w:pPr>
              <w:widowControl w:val="0"/>
              <w:autoSpaceDE w:val="0"/>
              <w:autoSpaceDN w:val="0"/>
              <w:adjustRightInd w:val="0"/>
              <w:jc w:val="center"/>
              <w:rPr>
                <w:sz w:val="22"/>
                <w:szCs w:val="22"/>
              </w:rPr>
            </w:pPr>
            <w:r w:rsidRPr="007C7221">
              <w:rPr>
                <w:sz w:val="22"/>
                <w:szCs w:val="22"/>
              </w:rPr>
              <w:t>-0.130***</w:t>
            </w:r>
          </w:p>
        </w:tc>
        <w:tc>
          <w:tcPr>
            <w:tcW w:w="0" w:type="auto"/>
            <w:tcBorders>
              <w:top w:val="nil"/>
              <w:left w:val="nil"/>
              <w:bottom w:val="nil"/>
              <w:right w:val="nil"/>
            </w:tcBorders>
          </w:tcPr>
          <w:p w14:paraId="4D6154ED" w14:textId="1ED3C767" w:rsidR="00760C46" w:rsidRPr="007C7221" w:rsidRDefault="00760C46" w:rsidP="00760C46">
            <w:pPr>
              <w:widowControl w:val="0"/>
              <w:autoSpaceDE w:val="0"/>
              <w:autoSpaceDN w:val="0"/>
              <w:adjustRightInd w:val="0"/>
              <w:jc w:val="center"/>
              <w:rPr>
                <w:sz w:val="22"/>
                <w:szCs w:val="22"/>
              </w:rPr>
            </w:pPr>
            <w:r w:rsidRPr="007C7221">
              <w:rPr>
                <w:sz w:val="22"/>
                <w:szCs w:val="22"/>
              </w:rPr>
              <w:t>-0.130***</w:t>
            </w:r>
          </w:p>
        </w:tc>
      </w:tr>
      <w:tr w:rsidR="00760C46" w:rsidRPr="007C7221" w14:paraId="410959D2" w14:textId="77777777" w:rsidTr="00AB6C46">
        <w:trPr>
          <w:jc w:val="center"/>
        </w:trPr>
        <w:tc>
          <w:tcPr>
            <w:tcW w:w="0" w:type="auto"/>
            <w:tcBorders>
              <w:top w:val="nil"/>
              <w:left w:val="nil"/>
              <w:bottom w:val="nil"/>
              <w:right w:val="nil"/>
            </w:tcBorders>
          </w:tcPr>
          <w:p w14:paraId="7255CD71" w14:textId="77777777" w:rsidR="00760C46" w:rsidRPr="007C7221" w:rsidRDefault="00760C46" w:rsidP="00760C46">
            <w:pPr>
              <w:widowControl w:val="0"/>
              <w:autoSpaceDE w:val="0"/>
              <w:autoSpaceDN w:val="0"/>
              <w:adjustRightInd w:val="0"/>
              <w:rPr>
                <w:sz w:val="22"/>
                <w:szCs w:val="22"/>
              </w:rPr>
            </w:pPr>
          </w:p>
        </w:tc>
        <w:tc>
          <w:tcPr>
            <w:tcW w:w="0" w:type="auto"/>
            <w:tcBorders>
              <w:top w:val="nil"/>
              <w:left w:val="nil"/>
              <w:bottom w:val="nil"/>
              <w:right w:val="nil"/>
            </w:tcBorders>
          </w:tcPr>
          <w:p w14:paraId="60B7573E" w14:textId="76359825"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749AD4A4" w14:textId="1C6F55A7"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72DC7FBA" w14:textId="28FBF7FC" w:rsidR="00760C46" w:rsidRPr="007C7221" w:rsidRDefault="00760C46" w:rsidP="00760C46">
            <w:pPr>
              <w:widowControl w:val="0"/>
              <w:autoSpaceDE w:val="0"/>
              <w:autoSpaceDN w:val="0"/>
              <w:adjustRightInd w:val="0"/>
              <w:jc w:val="center"/>
              <w:rPr>
                <w:sz w:val="22"/>
                <w:szCs w:val="22"/>
              </w:rPr>
            </w:pPr>
            <w:r w:rsidRPr="007C7221">
              <w:rPr>
                <w:sz w:val="22"/>
                <w:szCs w:val="22"/>
              </w:rPr>
              <w:t>(-9.90)</w:t>
            </w:r>
          </w:p>
        </w:tc>
        <w:tc>
          <w:tcPr>
            <w:tcW w:w="0" w:type="auto"/>
            <w:tcBorders>
              <w:top w:val="nil"/>
              <w:left w:val="nil"/>
              <w:bottom w:val="nil"/>
              <w:right w:val="nil"/>
            </w:tcBorders>
          </w:tcPr>
          <w:p w14:paraId="101CEEFF" w14:textId="7AA3AF27" w:rsidR="00760C46" w:rsidRPr="007C7221" w:rsidRDefault="00760C46" w:rsidP="00760C46">
            <w:pPr>
              <w:widowControl w:val="0"/>
              <w:autoSpaceDE w:val="0"/>
              <w:autoSpaceDN w:val="0"/>
              <w:adjustRightInd w:val="0"/>
              <w:jc w:val="center"/>
              <w:rPr>
                <w:sz w:val="22"/>
                <w:szCs w:val="22"/>
              </w:rPr>
            </w:pPr>
            <w:r w:rsidRPr="007C7221">
              <w:rPr>
                <w:sz w:val="22"/>
                <w:szCs w:val="22"/>
              </w:rPr>
              <w:t>(-9.89)</w:t>
            </w:r>
          </w:p>
        </w:tc>
      </w:tr>
      <w:tr w:rsidR="00760C46" w:rsidRPr="007C7221" w14:paraId="4C19CDF9" w14:textId="77777777" w:rsidTr="00AB6C46">
        <w:trPr>
          <w:jc w:val="center"/>
        </w:trPr>
        <w:tc>
          <w:tcPr>
            <w:tcW w:w="0" w:type="auto"/>
            <w:tcBorders>
              <w:top w:val="nil"/>
              <w:left w:val="nil"/>
              <w:bottom w:val="nil"/>
              <w:right w:val="nil"/>
            </w:tcBorders>
          </w:tcPr>
          <w:p w14:paraId="1EC79513" w14:textId="7B868ED8" w:rsidR="00760C46" w:rsidRPr="007C7221" w:rsidRDefault="00760C46" w:rsidP="00760C46">
            <w:pPr>
              <w:widowControl w:val="0"/>
              <w:autoSpaceDE w:val="0"/>
              <w:autoSpaceDN w:val="0"/>
              <w:adjustRightInd w:val="0"/>
              <w:rPr>
                <w:sz w:val="22"/>
                <w:szCs w:val="22"/>
              </w:rPr>
            </w:pPr>
            <w:r w:rsidRPr="007C7221">
              <w:rPr>
                <w:sz w:val="22"/>
                <w:szCs w:val="22"/>
              </w:rPr>
              <w:t xml:space="preserve">Tobin’s Q </w:t>
            </w:r>
          </w:p>
        </w:tc>
        <w:tc>
          <w:tcPr>
            <w:tcW w:w="0" w:type="auto"/>
            <w:tcBorders>
              <w:top w:val="nil"/>
              <w:left w:val="nil"/>
              <w:bottom w:val="nil"/>
              <w:right w:val="nil"/>
            </w:tcBorders>
          </w:tcPr>
          <w:p w14:paraId="69AEADD3" w14:textId="78102272"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6D4F7322" w14:textId="011AB14A"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1C00C661" w14:textId="7008B546" w:rsidR="00760C46" w:rsidRPr="007C7221" w:rsidRDefault="00760C46" w:rsidP="00760C46">
            <w:pPr>
              <w:widowControl w:val="0"/>
              <w:autoSpaceDE w:val="0"/>
              <w:autoSpaceDN w:val="0"/>
              <w:adjustRightInd w:val="0"/>
              <w:jc w:val="center"/>
              <w:rPr>
                <w:sz w:val="22"/>
                <w:szCs w:val="22"/>
              </w:rPr>
            </w:pPr>
            <w:r w:rsidRPr="007C7221">
              <w:rPr>
                <w:sz w:val="22"/>
                <w:szCs w:val="22"/>
              </w:rPr>
              <w:t>0.007***</w:t>
            </w:r>
          </w:p>
        </w:tc>
        <w:tc>
          <w:tcPr>
            <w:tcW w:w="0" w:type="auto"/>
            <w:tcBorders>
              <w:top w:val="nil"/>
              <w:left w:val="nil"/>
              <w:bottom w:val="nil"/>
              <w:right w:val="nil"/>
            </w:tcBorders>
          </w:tcPr>
          <w:p w14:paraId="64C747C9" w14:textId="5DBB69B8" w:rsidR="00760C46" w:rsidRPr="007C7221" w:rsidRDefault="00760C46" w:rsidP="00760C46">
            <w:pPr>
              <w:widowControl w:val="0"/>
              <w:autoSpaceDE w:val="0"/>
              <w:autoSpaceDN w:val="0"/>
              <w:adjustRightInd w:val="0"/>
              <w:jc w:val="center"/>
              <w:rPr>
                <w:sz w:val="22"/>
                <w:szCs w:val="22"/>
              </w:rPr>
            </w:pPr>
            <w:r w:rsidRPr="007C7221">
              <w:rPr>
                <w:sz w:val="22"/>
                <w:szCs w:val="22"/>
              </w:rPr>
              <w:t>0.007***</w:t>
            </w:r>
          </w:p>
        </w:tc>
      </w:tr>
      <w:tr w:rsidR="00760C46" w:rsidRPr="007C7221" w14:paraId="02BCFD54" w14:textId="77777777" w:rsidTr="00AB6C46">
        <w:trPr>
          <w:jc w:val="center"/>
        </w:trPr>
        <w:tc>
          <w:tcPr>
            <w:tcW w:w="0" w:type="auto"/>
            <w:tcBorders>
              <w:top w:val="nil"/>
              <w:left w:val="nil"/>
              <w:bottom w:val="nil"/>
              <w:right w:val="nil"/>
            </w:tcBorders>
          </w:tcPr>
          <w:p w14:paraId="14FFAF23" w14:textId="77777777" w:rsidR="00760C46" w:rsidRPr="007C7221" w:rsidRDefault="00760C46" w:rsidP="00760C46">
            <w:pPr>
              <w:widowControl w:val="0"/>
              <w:autoSpaceDE w:val="0"/>
              <w:autoSpaceDN w:val="0"/>
              <w:adjustRightInd w:val="0"/>
              <w:rPr>
                <w:sz w:val="22"/>
                <w:szCs w:val="22"/>
              </w:rPr>
            </w:pPr>
          </w:p>
        </w:tc>
        <w:tc>
          <w:tcPr>
            <w:tcW w:w="0" w:type="auto"/>
            <w:tcBorders>
              <w:top w:val="nil"/>
              <w:left w:val="nil"/>
              <w:bottom w:val="nil"/>
              <w:right w:val="nil"/>
            </w:tcBorders>
          </w:tcPr>
          <w:p w14:paraId="2FEE97D9" w14:textId="760F1376"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6F443A45" w14:textId="1E0662F5"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277C4C20" w14:textId="46E17D38" w:rsidR="00760C46" w:rsidRPr="007C7221" w:rsidRDefault="00760C46" w:rsidP="00760C46">
            <w:pPr>
              <w:widowControl w:val="0"/>
              <w:autoSpaceDE w:val="0"/>
              <w:autoSpaceDN w:val="0"/>
              <w:adjustRightInd w:val="0"/>
              <w:jc w:val="center"/>
              <w:rPr>
                <w:sz w:val="22"/>
                <w:szCs w:val="22"/>
              </w:rPr>
            </w:pPr>
            <w:r w:rsidRPr="007C7221">
              <w:rPr>
                <w:sz w:val="22"/>
                <w:szCs w:val="22"/>
              </w:rPr>
              <w:t>(6.30)</w:t>
            </w:r>
          </w:p>
        </w:tc>
        <w:tc>
          <w:tcPr>
            <w:tcW w:w="0" w:type="auto"/>
            <w:tcBorders>
              <w:top w:val="nil"/>
              <w:left w:val="nil"/>
              <w:bottom w:val="nil"/>
              <w:right w:val="nil"/>
            </w:tcBorders>
          </w:tcPr>
          <w:p w14:paraId="66812032" w14:textId="79AD2644" w:rsidR="00760C46" w:rsidRPr="007C7221" w:rsidRDefault="00760C46" w:rsidP="00760C46">
            <w:pPr>
              <w:widowControl w:val="0"/>
              <w:autoSpaceDE w:val="0"/>
              <w:autoSpaceDN w:val="0"/>
              <w:adjustRightInd w:val="0"/>
              <w:jc w:val="center"/>
              <w:rPr>
                <w:sz w:val="22"/>
                <w:szCs w:val="22"/>
              </w:rPr>
            </w:pPr>
            <w:r w:rsidRPr="007C7221">
              <w:rPr>
                <w:sz w:val="22"/>
                <w:szCs w:val="22"/>
              </w:rPr>
              <w:t>(6.29)</w:t>
            </w:r>
          </w:p>
        </w:tc>
      </w:tr>
      <w:tr w:rsidR="00760C46" w:rsidRPr="007C7221" w14:paraId="3592898F" w14:textId="77777777" w:rsidTr="00AB6C46">
        <w:trPr>
          <w:jc w:val="center"/>
        </w:trPr>
        <w:tc>
          <w:tcPr>
            <w:tcW w:w="0" w:type="auto"/>
            <w:tcBorders>
              <w:top w:val="nil"/>
              <w:left w:val="nil"/>
              <w:bottom w:val="nil"/>
              <w:right w:val="nil"/>
            </w:tcBorders>
          </w:tcPr>
          <w:p w14:paraId="274F26DB" w14:textId="23A04A53" w:rsidR="00760C46" w:rsidRPr="007C7221" w:rsidRDefault="00760C46" w:rsidP="00760C46">
            <w:pPr>
              <w:widowControl w:val="0"/>
              <w:autoSpaceDE w:val="0"/>
              <w:autoSpaceDN w:val="0"/>
              <w:adjustRightInd w:val="0"/>
              <w:rPr>
                <w:sz w:val="22"/>
                <w:szCs w:val="22"/>
              </w:rPr>
            </w:pPr>
            <w:r w:rsidRPr="007C7221">
              <w:rPr>
                <w:sz w:val="22"/>
                <w:szCs w:val="22"/>
              </w:rPr>
              <w:t>Constant</w:t>
            </w:r>
          </w:p>
        </w:tc>
        <w:tc>
          <w:tcPr>
            <w:tcW w:w="0" w:type="auto"/>
            <w:tcBorders>
              <w:top w:val="nil"/>
              <w:left w:val="nil"/>
              <w:bottom w:val="nil"/>
              <w:right w:val="nil"/>
            </w:tcBorders>
          </w:tcPr>
          <w:p w14:paraId="229260E7" w14:textId="03B59ABC"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649C3104" w14:textId="3B6A9A7E"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57116202" w14:textId="17F147BE" w:rsidR="00760C46" w:rsidRPr="007C7221" w:rsidRDefault="00760C46" w:rsidP="00760C46">
            <w:pPr>
              <w:widowControl w:val="0"/>
              <w:autoSpaceDE w:val="0"/>
              <w:autoSpaceDN w:val="0"/>
              <w:adjustRightInd w:val="0"/>
              <w:jc w:val="center"/>
              <w:rPr>
                <w:sz w:val="22"/>
                <w:szCs w:val="22"/>
              </w:rPr>
            </w:pPr>
            <w:r w:rsidRPr="007C7221">
              <w:rPr>
                <w:sz w:val="22"/>
                <w:szCs w:val="22"/>
              </w:rPr>
              <w:t>1.104***</w:t>
            </w:r>
          </w:p>
        </w:tc>
        <w:tc>
          <w:tcPr>
            <w:tcW w:w="0" w:type="auto"/>
            <w:tcBorders>
              <w:top w:val="nil"/>
              <w:left w:val="nil"/>
              <w:bottom w:val="nil"/>
              <w:right w:val="nil"/>
            </w:tcBorders>
          </w:tcPr>
          <w:p w14:paraId="50E9D4B8" w14:textId="7F39127D" w:rsidR="00760C46" w:rsidRPr="007C7221" w:rsidRDefault="00760C46" w:rsidP="00760C46">
            <w:pPr>
              <w:widowControl w:val="0"/>
              <w:autoSpaceDE w:val="0"/>
              <w:autoSpaceDN w:val="0"/>
              <w:adjustRightInd w:val="0"/>
              <w:jc w:val="center"/>
              <w:rPr>
                <w:sz w:val="22"/>
                <w:szCs w:val="22"/>
              </w:rPr>
            </w:pPr>
            <w:r w:rsidRPr="007C7221">
              <w:rPr>
                <w:sz w:val="22"/>
                <w:szCs w:val="22"/>
              </w:rPr>
              <w:t>1.103***</w:t>
            </w:r>
          </w:p>
        </w:tc>
      </w:tr>
      <w:tr w:rsidR="00760C46" w:rsidRPr="007C7221" w14:paraId="00826C9F" w14:textId="77777777" w:rsidTr="00AB6C46">
        <w:trPr>
          <w:jc w:val="center"/>
        </w:trPr>
        <w:tc>
          <w:tcPr>
            <w:tcW w:w="0" w:type="auto"/>
            <w:tcBorders>
              <w:top w:val="nil"/>
              <w:left w:val="nil"/>
              <w:bottom w:val="nil"/>
              <w:right w:val="nil"/>
            </w:tcBorders>
          </w:tcPr>
          <w:p w14:paraId="51B4104F" w14:textId="77777777" w:rsidR="00760C46" w:rsidRPr="007C7221" w:rsidRDefault="00760C46" w:rsidP="00760C46">
            <w:pPr>
              <w:widowControl w:val="0"/>
              <w:autoSpaceDE w:val="0"/>
              <w:autoSpaceDN w:val="0"/>
              <w:adjustRightInd w:val="0"/>
              <w:rPr>
                <w:sz w:val="22"/>
                <w:szCs w:val="22"/>
              </w:rPr>
            </w:pPr>
          </w:p>
        </w:tc>
        <w:tc>
          <w:tcPr>
            <w:tcW w:w="0" w:type="auto"/>
            <w:tcBorders>
              <w:top w:val="nil"/>
              <w:left w:val="nil"/>
              <w:bottom w:val="nil"/>
              <w:right w:val="nil"/>
            </w:tcBorders>
          </w:tcPr>
          <w:p w14:paraId="03E28CFB" w14:textId="6C7989B2"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25472A57" w14:textId="68FDD24C"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bottom w:val="nil"/>
              <w:right w:val="nil"/>
            </w:tcBorders>
          </w:tcPr>
          <w:p w14:paraId="36300514" w14:textId="1C44CF4A" w:rsidR="00760C46" w:rsidRPr="007C7221" w:rsidRDefault="00760C46" w:rsidP="00760C46">
            <w:pPr>
              <w:widowControl w:val="0"/>
              <w:autoSpaceDE w:val="0"/>
              <w:autoSpaceDN w:val="0"/>
              <w:adjustRightInd w:val="0"/>
              <w:jc w:val="center"/>
              <w:rPr>
                <w:sz w:val="22"/>
                <w:szCs w:val="22"/>
              </w:rPr>
            </w:pPr>
            <w:r w:rsidRPr="007C7221">
              <w:rPr>
                <w:sz w:val="22"/>
                <w:szCs w:val="22"/>
              </w:rPr>
              <w:t>(14.46)</w:t>
            </w:r>
          </w:p>
        </w:tc>
        <w:tc>
          <w:tcPr>
            <w:tcW w:w="0" w:type="auto"/>
            <w:tcBorders>
              <w:top w:val="nil"/>
              <w:left w:val="nil"/>
              <w:bottom w:val="nil"/>
              <w:right w:val="nil"/>
            </w:tcBorders>
          </w:tcPr>
          <w:p w14:paraId="6B3F8FF4" w14:textId="6C6ECEC1" w:rsidR="00760C46" w:rsidRPr="007C7221" w:rsidRDefault="00760C46" w:rsidP="00760C46">
            <w:pPr>
              <w:widowControl w:val="0"/>
              <w:autoSpaceDE w:val="0"/>
              <w:autoSpaceDN w:val="0"/>
              <w:adjustRightInd w:val="0"/>
              <w:jc w:val="center"/>
              <w:rPr>
                <w:sz w:val="22"/>
                <w:szCs w:val="22"/>
              </w:rPr>
            </w:pPr>
            <w:r w:rsidRPr="007C7221">
              <w:rPr>
                <w:sz w:val="22"/>
                <w:szCs w:val="22"/>
              </w:rPr>
              <w:t>(14.45)</w:t>
            </w:r>
          </w:p>
        </w:tc>
      </w:tr>
      <w:tr w:rsidR="00114E3E" w:rsidRPr="007C7221" w14:paraId="5A71127D" w14:textId="77777777" w:rsidTr="00AB6C46">
        <w:trPr>
          <w:jc w:val="center"/>
        </w:trPr>
        <w:tc>
          <w:tcPr>
            <w:tcW w:w="0" w:type="auto"/>
            <w:tcBorders>
              <w:top w:val="nil"/>
              <w:left w:val="nil"/>
              <w:bottom w:val="nil"/>
              <w:right w:val="nil"/>
            </w:tcBorders>
          </w:tcPr>
          <w:p w14:paraId="268DAF4F" w14:textId="77777777" w:rsidR="00114E3E" w:rsidRPr="007C7221" w:rsidRDefault="00114E3E" w:rsidP="00114E3E">
            <w:pPr>
              <w:widowControl w:val="0"/>
              <w:autoSpaceDE w:val="0"/>
              <w:autoSpaceDN w:val="0"/>
              <w:adjustRightInd w:val="0"/>
              <w:rPr>
                <w:sz w:val="22"/>
                <w:szCs w:val="22"/>
              </w:rPr>
            </w:pPr>
          </w:p>
        </w:tc>
        <w:tc>
          <w:tcPr>
            <w:tcW w:w="0" w:type="auto"/>
            <w:tcBorders>
              <w:top w:val="nil"/>
              <w:left w:val="nil"/>
              <w:bottom w:val="nil"/>
              <w:right w:val="nil"/>
            </w:tcBorders>
          </w:tcPr>
          <w:p w14:paraId="248B2F3C" w14:textId="77777777"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bottom w:val="nil"/>
              <w:right w:val="nil"/>
            </w:tcBorders>
          </w:tcPr>
          <w:p w14:paraId="0A9FE55B" w14:textId="77777777"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bottom w:val="nil"/>
              <w:right w:val="nil"/>
            </w:tcBorders>
          </w:tcPr>
          <w:p w14:paraId="332E9A01" w14:textId="77777777"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bottom w:val="nil"/>
              <w:right w:val="nil"/>
            </w:tcBorders>
          </w:tcPr>
          <w:p w14:paraId="1DD6F491" w14:textId="77777777" w:rsidR="00114E3E" w:rsidRPr="007C7221" w:rsidRDefault="00114E3E" w:rsidP="00114E3E">
            <w:pPr>
              <w:widowControl w:val="0"/>
              <w:autoSpaceDE w:val="0"/>
              <w:autoSpaceDN w:val="0"/>
              <w:adjustRightInd w:val="0"/>
              <w:jc w:val="center"/>
              <w:rPr>
                <w:sz w:val="22"/>
                <w:szCs w:val="22"/>
              </w:rPr>
            </w:pPr>
          </w:p>
        </w:tc>
      </w:tr>
      <w:tr w:rsidR="00114E3E" w:rsidRPr="007C7221" w14:paraId="0F0E4A70" w14:textId="77777777" w:rsidTr="00AB6C46">
        <w:trPr>
          <w:jc w:val="center"/>
        </w:trPr>
        <w:tc>
          <w:tcPr>
            <w:tcW w:w="0" w:type="auto"/>
            <w:tcBorders>
              <w:top w:val="nil"/>
              <w:left w:val="nil"/>
              <w:bottom w:val="nil"/>
              <w:right w:val="nil"/>
            </w:tcBorders>
          </w:tcPr>
          <w:p w14:paraId="3EDF2342" w14:textId="0E8F68A5" w:rsidR="00114E3E" w:rsidRPr="007C7221" w:rsidRDefault="00114E3E" w:rsidP="00114E3E">
            <w:pPr>
              <w:widowControl w:val="0"/>
              <w:autoSpaceDE w:val="0"/>
              <w:autoSpaceDN w:val="0"/>
              <w:adjustRightInd w:val="0"/>
              <w:rPr>
                <w:sz w:val="22"/>
                <w:szCs w:val="22"/>
              </w:rPr>
            </w:pPr>
            <w:r w:rsidRPr="007C7221">
              <w:rPr>
                <w:sz w:val="22"/>
                <w:szCs w:val="22"/>
              </w:rPr>
              <w:t>Firm fixed effects</w:t>
            </w:r>
          </w:p>
        </w:tc>
        <w:tc>
          <w:tcPr>
            <w:tcW w:w="0" w:type="auto"/>
            <w:tcBorders>
              <w:top w:val="nil"/>
              <w:left w:val="nil"/>
              <w:bottom w:val="nil"/>
              <w:right w:val="nil"/>
            </w:tcBorders>
          </w:tcPr>
          <w:p w14:paraId="1158750B" w14:textId="744D35E2"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bottom w:val="nil"/>
              <w:right w:val="nil"/>
            </w:tcBorders>
          </w:tcPr>
          <w:p w14:paraId="098EE737" w14:textId="0DA45493"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bottom w:val="nil"/>
              <w:right w:val="nil"/>
            </w:tcBorders>
          </w:tcPr>
          <w:p w14:paraId="4A48CFA5" w14:textId="31A0E9E1" w:rsidR="00114E3E" w:rsidRPr="007C7221" w:rsidRDefault="00114E3E" w:rsidP="00114E3E">
            <w:pPr>
              <w:widowControl w:val="0"/>
              <w:autoSpaceDE w:val="0"/>
              <w:autoSpaceDN w:val="0"/>
              <w:adjustRightInd w:val="0"/>
              <w:jc w:val="center"/>
              <w:rPr>
                <w:sz w:val="22"/>
                <w:szCs w:val="22"/>
              </w:rPr>
            </w:pPr>
            <w:r w:rsidRPr="007C7221">
              <w:rPr>
                <w:sz w:val="22"/>
                <w:szCs w:val="22"/>
              </w:rPr>
              <w:t>Yes</w:t>
            </w:r>
          </w:p>
        </w:tc>
        <w:tc>
          <w:tcPr>
            <w:tcW w:w="0" w:type="auto"/>
            <w:tcBorders>
              <w:top w:val="nil"/>
              <w:left w:val="nil"/>
              <w:bottom w:val="nil"/>
              <w:right w:val="nil"/>
            </w:tcBorders>
          </w:tcPr>
          <w:p w14:paraId="6652BC4A" w14:textId="57EDA0A6" w:rsidR="00114E3E" w:rsidRPr="007C7221" w:rsidRDefault="00114E3E" w:rsidP="00114E3E">
            <w:pPr>
              <w:widowControl w:val="0"/>
              <w:autoSpaceDE w:val="0"/>
              <w:autoSpaceDN w:val="0"/>
              <w:adjustRightInd w:val="0"/>
              <w:jc w:val="center"/>
              <w:rPr>
                <w:sz w:val="22"/>
                <w:szCs w:val="22"/>
              </w:rPr>
            </w:pPr>
            <w:r w:rsidRPr="007C7221">
              <w:rPr>
                <w:sz w:val="22"/>
                <w:szCs w:val="22"/>
              </w:rPr>
              <w:t>Yes</w:t>
            </w:r>
          </w:p>
        </w:tc>
      </w:tr>
      <w:tr w:rsidR="00114E3E" w:rsidRPr="007C7221" w14:paraId="297FA294" w14:textId="77777777" w:rsidTr="00AB6C46">
        <w:trPr>
          <w:jc w:val="center"/>
        </w:trPr>
        <w:tc>
          <w:tcPr>
            <w:tcW w:w="0" w:type="auto"/>
            <w:tcBorders>
              <w:top w:val="nil"/>
              <w:left w:val="nil"/>
              <w:bottom w:val="nil"/>
              <w:right w:val="nil"/>
            </w:tcBorders>
          </w:tcPr>
          <w:p w14:paraId="324A5F37" w14:textId="7128682E" w:rsidR="00114E3E" w:rsidRPr="007C7221" w:rsidRDefault="00114E3E" w:rsidP="00114E3E">
            <w:pPr>
              <w:widowControl w:val="0"/>
              <w:autoSpaceDE w:val="0"/>
              <w:autoSpaceDN w:val="0"/>
              <w:adjustRightInd w:val="0"/>
              <w:rPr>
                <w:sz w:val="22"/>
                <w:szCs w:val="22"/>
              </w:rPr>
            </w:pPr>
            <w:r w:rsidRPr="007C7221">
              <w:rPr>
                <w:sz w:val="22"/>
                <w:szCs w:val="22"/>
              </w:rPr>
              <w:t>Year fixed effects</w:t>
            </w:r>
          </w:p>
        </w:tc>
        <w:tc>
          <w:tcPr>
            <w:tcW w:w="0" w:type="auto"/>
            <w:tcBorders>
              <w:top w:val="nil"/>
              <w:left w:val="nil"/>
              <w:bottom w:val="nil"/>
              <w:right w:val="nil"/>
            </w:tcBorders>
          </w:tcPr>
          <w:p w14:paraId="6A33811E" w14:textId="4BC465CE"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bottom w:val="nil"/>
              <w:right w:val="nil"/>
            </w:tcBorders>
          </w:tcPr>
          <w:p w14:paraId="54ED4852" w14:textId="51191EEE"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bottom w:val="nil"/>
              <w:right w:val="nil"/>
            </w:tcBorders>
          </w:tcPr>
          <w:p w14:paraId="2DFC4543" w14:textId="05393409" w:rsidR="00114E3E" w:rsidRPr="007C7221" w:rsidRDefault="00114E3E" w:rsidP="00114E3E">
            <w:pPr>
              <w:widowControl w:val="0"/>
              <w:autoSpaceDE w:val="0"/>
              <w:autoSpaceDN w:val="0"/>
              <w:adjustRightInd w:val="0"/>
              <w:jc w:val="center"/>
              <w:rPr>
                <w:sz w:val="22"/>
                <w:szCs w:val="22"/>
              </w:rPr>
            </w:pPr>
            <w:r w:rsidRPr="007C7221">
              <w:rPr>
                <w:sz w:val="22"/>
                <w:szCs w:val="22"/>
              </w:rPr>
              <w:t>Yes</w:t>
            </w:r>
          </w:p>
        </w:tc>
        <w:tc>
          <w:tcPr>
            <w:tcW w:w="0" w:type="auto"/>
            <w:tcBorders>
              <w:top w:val="nil"/>
              <w:left w:val="nil"/>
              <w:bottom w:val="nil"/>
              <w:right w:val="nil"/>
            </w:tcBorders>
          </w:tcPr>
          <w:p w14:paraId="41F9DC27" w14:textId="5238D5A6" w:rsidR="00114E3E" w:rsidRPr="007C7221" w:rsidRDefault="00114E3E" w:rsidP="00114E3E">
            <w:pPr>
              <w:widowControl w:val="0"/>
              <w:autoSpaceDE w:val="0"/>
              <w:autoSpaceDN w:val="0"/>
              <w:adjustRightInd w:val="0"/>
              <w:jc w:val="center"/>
              <w:rPr>
                <w:sz w:val="22"/>
                <w:szCs w:val="22"/>
              </w:rPr>
            </w:pPr>
            <w:r w:rsidRPr="007C7221">
              <w:rPr>
                <w:sz w:val="22"/>
                <w:szCs w:val="22"/>
              </w:rPr>
              <w:t>Yes</w:t>
            </w:r>
          </w:p>
        </w:tc>
      </w:tr>
      <w:tr w:rsidR="00114E3E" w:rsidRPr="007C7221" w14:paraId="6CA6DFDC" w14:textId="77777777" w:rsidTr="00AB6C46">
        <w:trPr>
          <w:jc w:val="center"/>
        </w:trPr>
        <w:tc>
          <w:tcPr>
            <w:tcW w:w="0" w:type="auto"/>
            <w:tcBorders>
              <w:top w:val="nil"/>
              <w:left w:val="nil"/>
              <w:right w:val="nil"/>
            </w:tcBorders>
          </w:tcPr>
          <w:p w14:paraId="208CDC83" w14:textId="499C28DF" w:rsidR="00114E3E" w:rsidRPr="007C7221" w:rsidRDefault="00114E3E" w:rsidP="00114E3E">
            <w:pPr>
              <w:widowControl w:val="0"/>
              <w:autoSpaceDE w:val="0"/>
              <w:autoSpaceDN w:val="0"/>
              <w:adjustRightInd w:val="0"/>
              <w:rPr>
                <w:sz w:val="22"/>
                <w:szCs w:val="22"/>
              </w:rPr>
            </w:pPr>
            <w:r w:rsidRPr="007C7221">
              <w:rPr>
                <w:sz w:val="22"/>
                <w:szCs w:val="22"/>
              </w:rPr>
              <w:t>Observations</w:t>
            </w:r>
          </w:p>
        </w:tc>
        <w:tc>
          <w:tcPr>
            <w:tcW w:w="0" w:type="auto"/>
            <w:tcBorders>
              <w:top w:val="nil"/>
              <w:left w:val="nil"/>
              <w:right w:val="nil"/>
            </w:tcBorders>
          </w:tcPr>
          <w:p w14:paraId="56F451C6" w14:textId="4D790AE4"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right w:val="nil"/>
            </w:tcBorders>
          </w:tcPr>
          <w:p w14:paraId="75F1FE01" w14:textId="48826567" w:rsidR="00114E3E" w:rsidRPr="007C7221" w:rsidRDefault="00114E3E" w:rsidP="00114E3E">
            <w:pPr>
              <w:widowControl w:val="0"/>
              <w:autoSpaceDE w:val="0"/>
              <w:autoSpaceDN w:val="0"/>
              <w:adjustRightInd w:val="0"/>
              <w:jc w:val="center"/>
              <w:rPr>
                <w:sz w:val="22"/>
                <w:szCs w:val="22"/>
              </w:rPr>
            </w:pPr>
          </w:p>
        </w:tc>
        <w:tc>
          <w:tcPr>
            <w:tcW w:w="0" w:type="auto"/>
            <w:tcBorders>
              <w:top w:val="nil"/>
              <w:left w:val="nil"/>
              <w:right w:val="nil"/>
            </w:tcBorders>
          </w:tcPr>
          <w:p w14:paraId="5FAA6DD6" w14:textId="7E8DE1D5" w:rsidR="00114E3E" w:rsidRPr="007C7221" w:rsidRDefault="00114E3E" w:rsidP="00114E3E">
            <w:pPr>
              <w:widowControl w:val="0"/>
              <w:autoSpaceDE w:val="0"/>
              <w:autoSpaceDN w:val="0"/>
              <w:adjustRightInd w:val="0"/>
              <w:jc w:val="center"/>
              <w:rPr>
                <w:sz w:val="22"/>
                <w:szCs w:val="22"/>
              </w:rPr>
            </w:pPr>
            <w:r w:rsidRPr="007C7221">
              <w:rPr>
                <w:sz w:val="22"/>
                <w:szCs w:val="22"/>
              </w:rPr>
              <w:t>41,918</w:t>
            </w:r>
          </w:p>
        </w:tc>
        <w:tc>
          <w:tcPr>
            <w:tcW w:w="0" w:type="auto"/>
            <w:tcBorders>
              <w:top w:val="nil"/>
              <w:left w:val="nil"/>
              <w:right w:val="nil"/>
            </w:tcBorders>
          </w:tcPr>
          <w:p w14:paraId="2844A627" w14:textId="696916DF" w:rsidR="00114E3E" w:rsidRPr="007C7221" w:rsidRDefault="00114E3E" w:rsidP="00114E3E">
            <w:pPr>
              <w:widowControl w:val="0"/>
              <w:autoSpaceDE w:val="0"/>
              <w:autoSpaceDN w:val="0"/>
              <w:adjustRightInd w:val="0"/>
              <w:jc w:val="center"/>
              <w:rPr>
                <w:sz w:val="22"/>
                <w:szCs w:val="22"/>
              </w:rPr>
            </w:pPr>
            <w:r w:rsidRPr="007C7221">
              <w:rPr>
                <w:sz w:val="22"/>
                <w:szCs w:val="22"/>
              </w:rPr>
              <w:t>41,918</w:t>
            </w:r>
          </w:p>
        </w:tc>
      </w:tr>
      <w:tr w:rsidR="00760C46" w:rsidRPr="007C7221" w14:paraId="7611A68F" w14:textId="77777777" w:rsidTr="00AB6C46">
        <w:trPr>
          <w:jc w:val="center"/>
        </w:trPr>
        <w:tc>
          <w:tcPr>
            <w:tcW w:w="0" w:type="auto"/>
            <w:tcBorders>
              <w:top w:val="nil"/>
              <w:left w:val="nil"/>
              <w:right w:val="nil"/>
            </w:tcBorders>
          </w:tcPr>
          <w:p w14:paraId="443F5E51" w14:textId="3FDBA145" w:rsidR="00760C46" w:rsidRPr="007C7221" w:rsidRDefault="00760C46" w:rsidP="00760C46">
            <w:pPr>
              <w:widowControl w:val="0"/>
              <w:autoSpaceDE w:val="0"/>
              <w:autoSpaceDN w:val="0"/>
              <w:adjustRightInd w:val="0"/>
              <w:rPr>
                <w:sz w:val="22"/>
                <w:szCs w:val="22"/>
              </w:rPr>
            </w:pPr>
            <w:r w:rsidRPr="007C7221">
              <w:rPr>
                <w:sz w:val="22"/>
                <w:szCs w:val="22"/>
              </w:rPr>
              <w:t>Adjusted R-squared</w:t>
            </w:r>
          </w:p>
        </w:tc>
        <w:tc>
          <w:tcPr>
            <w:tcW w:w="0" w:type="auto"/>
            <w:tcBorders>
              <w:top w:val="nil"/>
              <w:left w:val="nil"/>
              <w:right w:val="nil"/>
            </w:tcBorders>
          </w:tcPr>
          <w:p w14:paraId="4E122E81" w14:textId="1CE1986C"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right w:val="nil"/>
            </w:tcBorders>
          </w:tcPr>
          <w:p w14:paraId="2A8EE5FA" w14:textId="37A3AAF0" w:rsidR="00760C46" w:rsidRPr="007C7221" w:rsidRDefault="00760C46" w:rsidP="00760C46">
            <w:pPr>
              <w:widowControl w:val="0"/>
              <w:autoSpaceDE w:val="0"/>
              <w:autoSpaceDN w:val="0"/>
              <w:adjustRightInd w:val="0"/>
              <w:jc w:val="center"/>
              <w:rPr>
                <w:sz w:val="22"/>
                <w:szCs w:val="22"/>
              </w:rPr>
            </w:pPr>
          </w:p>
        </w:tc>
        <w:tc>
          <w:tcPr>
            <w:tcW w:w="0" w:type="auto"/>
            <w:tcBorders>
              <w:top w:val="nil"/>
              <w:left w:val="nil"/>
              <w:right w:val="nil"/>
            </w:tcBorders>
          </w:tcPr>
          <w:p w14:paraId="47197CDD" w14:textId="183D3FF2" w:rsidR="00760C46" w:rsidRPr="007C7221" w:rsidRDefault="00760C46" w:rsidP="00760C46">
            <w:pPr>
              <w:widowControl w:val="0"/>
              <w:autoSpaceDE w:val="0"/>
              <w:autoSpaceDN w:val="0"/>
              <w:adjustRightInd w:val="0"/>
              <w:jc w:val="center"/>
              <w:rPr>
                <w:sz w:val="22"/>
                <w:szCs w:val="22"/>
              </w:rPr>
            </w:pPr>
            <w:r w:rsidRPr="007C7221">
              <w:rPr>
                <w:sz w:val="22"/>
                <w:szCs w:val="22"/>
              </w:rPr>
              <w:t>0.2097</w:t>
            </w:r>
          </w:p>
        </w:tc>
        <w:tc>
          <w:tcPr>
            <w:tcW w:w="0" w:type="auto"/>
            <w:tcBorders>
              <w:top w:val="nil"/>
              <w:left w:val="nil"/>
              <w:right w:val="nil"/>
            </w:tcBorders>
          </w:tcPr>
          <w:p w14:paraId="37D80A58" w14:textId="05229239" w:rsidR="00760C46" w:rsidRPr="007C7221" w:rsidRDefault="00760C46" w:rsidP="00760C46">
            <w:pPr>
              <w:widowControl w:val="0"/>
              <w:autoSpaceDE w:val="0"/>
              <w:autoSpaceDN w:val="0"/>
              <w:adjustRightInd w:val="0"/>
              <w:jc w:val="center"/>
              <w:rPr>
                <w:sz w:val="22"/>
                <w:szCs w:val="22"/>
              </w:rPr>
            </w:pPr>
            <w:r w:rsidRPr="007C7221">
              <w:rPr>
                <w:sz w:val="22"/>
                <w:szCs w:val="22"/>
              </w:rPr>
              <w:t>0.2097</w:t>
            </w:r>
          </w:p>
        </w:tc>
      </w:tr>
      <w:tr w:rsidR="00114E3E" w:rsidRPr="007C7221" w14:paraId="31B34852" w14:textId="77777777" w:rsidTr="00661E71">
        <w:tblPrEx>
          <w:tblBorders>
            <w:bottom w:val="single" w:sz="6" w:space="0" w:color="auto"/>
          </w:tblBorders>
        </w:tblPrEx>
        <w:trPr>
          <w:jc w:val="center"/>
        </w:trPr>
        <w:tc>
          <w:tcPr>
            <w:tcW w:w="0" w:type="auto"/>
            <w:tcBorders>
              <w:top w:val="single" w:sz="4" w:space="0" w:color="auto"/>
              <w:left w:val="nil"/>
              <w:bottom w:val="nil"/>
              <w:right w:val="nil"/>
            </w:tcBorders>
          </w:tcPr>
          <w:p w14:paraId="20ECD1A0" w14:textId="77777777" w:rsidR="00114E3E" w:rsidRPr="007C7221" w:rsidRDefault="00114E3E" w:rsidP="00114E3E">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3832A863" w14:textId="77777777" w:rsidR="00114E3E" w:rsidRPr="007C7221" w:rsidRDefault="00114E3E" w:rsidP="00114E3E">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0A72BFD3" w14:textId="77777777" w:rsidR="00114E3E" w:rsidRPr="007C7221" w:rsidRDefault="00114E3E" w:rsidP="00114E3E">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6F35BDAB" w14:textId="77777777" w:rsidR="00114E3E" w:rsidRPr="007C7221" w:rsidRDefault="00114E3E" w:rsidP="00114E3E">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7BBA35EA" w14:textId="77777777" w:rsidR="00114E3E" w:rsidRPr="007C7221" w:rsidRDefault="00114E3E" w:rsidP="00114E3E">
            <w:pPr>
              <w:widowControl w:val="0"/>
              <w:autoSpaceDE w:val="0"/>
              <w:autoSpaceDN w:val="0"/>
              <w:adjustRightInd w:val="0"/>
              <w:jc w:val="center"/>
              <w:rPr>
                <w:sz w:val="22"/>
                <w:szCs w:val="22"/>
              </w:rPr>
            </w:pPr>
          </w:p>
        </w:tc>
      </w:tr>
      <w:tr w:rsidR="00661E71" w:rsidRPr="007C7221" w14:paraId="243F5BD5" w14:textId="77777777" w:rsidTr="00DE31B8">
        <w:tblPrEx>
          <w:tblBorders>
            <w:bottom w:val="single" w:sz="6" w:space="0" w:color="auto"/>
          </w:tblBorders>
        </w:tblPrEx>
        <w:trPr>
          <w:jc w:val="center"/>
        </w:trPr>
        <w:tc>
          <w:tcPr>
            <w:tcW w:w="0" w:type="auto"/>
            <w:gridSpan w:val="5"/>
            <w:tcBorders>
              <w:top w:val="nil"/>
              <w:left w:val="nil"/>
              <w:bottom w:val="nil"/>
              <w:right w:val="nil"/>
            </w:tcBorders>
          </w:tcPr>
          <w:p w14:paraId="509FF9CF" w14:textId="0FEDB68A" w:rsidR="00661E71" w:rsidRPr="007C7221" w:rsidRDefault="00661E71" w:rsidP="00DE31B8">
            <w:pPr>
              <w:widowControl w:val="0"/>
              <w:autoSpaceDE w:val="0"/>
              <w:autoSpaceDN w:val="0"/>
              <w:adjustRightInd w:val="0"/>
              <w:jc w:val="both"/>
              <w:rPr>
                <w:sz w:val="22"/>
                <w:szCs w:val="22"/>
              </w:rPr>
            </w:pPr>
            <w:r w:rsidRPr="007C7221">
              <w:rPr>
                <w:bCs/>
                <w:sz w:val="22"/>
                <w:szCs w:val="22"/>
              </w:rPr>
              <w:t xml:space="preserve">This table presents </w:t>
            </w:r>
            <w:r w:rsidRPr="007C7221">
              <w:rPr>
                <w:sz w:val="22"/>
                <w:szCs w:val="22"/>
              </w:rPr>
              <w:t>the results of the difference-and-differences analysis comparing investments of the treatment group to investments of the control group in the period before the shock. The shock events are CFIUS interventions.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bookmarkEnd w:id="11"/>
    </w:tbl>
    <w:p w14:paraId="4DB95F3A" w14:textId="46741C13" w:rsidR="00AA3551" w:rsidRPr="00AD55AA" w:rsidRDefault="00903067">
      <w:pPr>
        <w:spacing w:after="160" w:line="259" w:lineRule="auto"/>
        <w:rPr>
          <w:sz w:val="22"/>
          <w:szCs w:val="22"/>
        </w:rPr>
      </w:pPr>
      <w:r w:rsidRPr="00AD55AA">
        <w:rPr>
          <w:sz w:val="22"/>
          <w:szCs w:val="22"/>
        </w:rPr>
        <w:br w:type="page"/>
      </w:r>
    </w:p>
    <w:p w14:paraId="6F65D91F" w14:textId="2FAC3CB0" w:rsidR="00800A0F" w:rsidRPr="00AD55AA" w:rsidRDefault="00800A0F">
      <w:pPr>
        <w:spacing w:after="160" w:line="259" w:lineRule="auto"/>
        <w:rPr>
          <w:sz w:val="22"/>
          <w:szCs w:val="22"/>
        </w:rPr>
      </w:pPr>
      <w:bookmarkStart w:id="12" w:name="_Hlk141118928"/>
    </w:p>
    <w:tbl>
      <w:tblPr>
        <w:tblW w:w="0" w:type="auto"/>
        <w:jc w:val="center"/>
        <w:tblBorders>
          <w:bottom w:val="single" w:sz="6" w:space="0" w:color="auto"/>
        </w:tblBorders>
        <w:tblCellMar>
          <w:left w:w="75" w:type="dxa"/>
          <w:right w:w="75" w:type="dxa"/>
        </w:tblCellMar>
        <w:tblLook w:val="0000" w:firstRow="0" w:lastRow="0" w:firstColumn="0" w:lastColumn="0" w:noHBand="0" w:noVBand="0"/>
      </w:tblPr>
      <w:tblGrid>
        <w:gridCol w:w="4123"/>
        <w:gridCol w:w="2472"/>
        <w:gridCol w:w="2472"/>
      </w:tblGrid>
      <w:tr w:rsidR="004E77FC" w:rsidRPr="00AD55AA" w14:paraId="1760E99C" w14:textId="77777777" w:rsidTr="00DD777B">
        <w:trPr>
          <w:jc w:val="center"/>
        </w:trPr>
        <w:tc>
          <w:tcPr>
            <w:tcW w:w="0" w:type="auto"/>
            <w:gridSpan w:val="2"/>
            <w:tcBorders>
              <w:top w:val="nil"/>
              <w:left w:val="nil"/>
              <w:bottom w:val="nil"/>
              <w:right w:val="nil"/>
            </w:tcBorders>
          </w:tcPr>
          <w:p w14:paraId="07FB7CED" w14:textId="13C38A71" w:rsidR="004E77FC" w:rsidRPr="00AD55AA" w:rsidRDefault="004E77FC" w:rsidP="00233992">
            <w:pPr>
              <w:widowControl w:val="0"/>
              <w:autoSpaceDE w:val="0"/>
              <w:autoSpaceDN w:val="0"/>
              <w:adjustRightInd w:val="0"/>
              <w:rPr>
                <w:b/>
                <w:bCs/>
                <w:sz w:val="22"/>
                <w:szCs w:val="22"/>
              </w:rPr>
            </w:pPr>
            <w:r w:rsidRPr="00AD55AA">
              <w:rPr>
                <w:b/>
                <w:sz w:val="22"/>
                <w:szCs w:val="22"/>
              </w:rPr>
              <w:t xml:space="preserve">Table </w:t>
            </w:r>
            <w:r w:rsidR="00681A7B">
              <w:rPr>
                <w:b/>
                <w:sz w:val="22"/>
                <w:szCs w:val="22"/>
              </w:rPr>
              <w:t>6</w:t>
            </w:r>
          </w:p>
        </w:tc>
        <w:tc>
          <w:tcPr>
            <w:tcW w:w="0" w:type="auto"/>
            <w:tcBorders>
              <w:top w:val="nil"/>
              <w:left w:val="nil"/>
              <w:bottom w:val="nil"/>
              <w:right w:val="nil"/>
            </w:tcBorders>
          </w:tcPr>
          <w:p w14:paraId="55F44752" w14:textId="77777777" w:rsidR="004E77FC" w:rsidRPr="00AD55AA" w:rsidRDefault="004E77FC" w:rsidP="00AB6C46">
            <w:pPr>
              <w:widowControl w:val="0"/>
              <w:autoSpaceDE w:val="0"/>
              <w:autoSpaceDN w:val="0"/>
              <w:adjustRightInd w:val="0"/>
              <w:jc w:val="center"/>
              <w:rPr>
                <w:sz w:val="22"/>
                <w:szCs w:val="22"/>
              </w:rPr>
            </w:pPr>
          </w:p>
        </w:tc>
      </w:tr>
      <w:tr w:rsidR="004E77FC" w:rsidRPr="00AD55AA" w14:paraId="6339AF4F" w14:textId="77777777" w:rsidTr="00DD777B">
        <w:trPr>
          <w:jc w:val="center"/>
        </w:trPr>
        <w:tc>
          <w:tcPr>
            <w:tcW w:w="0" w:type="auto"/>
            <w:gridSpan w:val="2"/>
            <w:tcBorders>
              <w:top w:val="nil"/>
              <w:left w:val="nil"/>
              <w:bottom w:val="nil"/>
              <w:right w:val="nil"/>
            </w:tcBorders>
          </w:tcPr>
          <w:p w14:paraId="7BEED0D2" w14:textId="75E5D775" w:rsidR="004E77FC" w:rsidRPr="00AD55AA" w:rsidRDefault="0067117A" w:rsidP="00AB6C46">
            <w:pPr>
              <w:widowControl w:val="0"/>
              <w:autoSpaceDE w:val="0"/>
              <w:autoSpaceDN w:val="0"/>
              <w:adjustRightInd w:val="0"/>
              <w:rPr>
                <w:b/>
                <w:bCs/>
                <w:sz w:val="22"/>
                <w:szCs w:val="22"/>
              </w:rPr>
            </w:pPr>
            <w:r>
              <w:rPr>
                <w:b/>
                <w:bCs/>
                <w:sz w:val="22"/>
                <w:szCs w:val="22"/>
              </w:rPr>
              <w:t>Parallel trends a</w:t>
            </w:r>
            <w:r w:rsidR="004E77FC" w:rsidRPr="00AD55AA">
              <w:rPr>
                <w:b/>
                <w:bCs/>
                <w:sz w:val="22"/>
                <w:szCs w:val="22"/>
              </w:rPr>
              <w:t>ssumption</w:t>
            </w:r>
          </w:p>
        </w:tc>
        <w:tc>
          <w:tcPr>
            <w:tcW w:w="0" w:type="auto"/>
            <w:tcBorders>
              <w:top w:val="nil"/>
              <w:left w:val="nil"/>
              <w:bottom w:val="nil"/>
              <w:right w:val="nil"/>
            </w:tcBorders>
          </w:tcPr>
          <w:p w14:paraId="13CE0F9D" w14:textId="77777777" w:rsidR="004E77FC" w:rsidRPr="00AD55AA" w:rsidRDefault="004E77FC" w:rsidP="00AB6C46">
            <w:pPr>
              <w:widowControl w:val="0"/>
              <w:autoSpaceDE w:val="0"/>
              <w:autoSpaceDN w:val="0"/>
              <w:adjustRightInd w:val="0"/>
              <w:jc w:val="center"/>
              <w:rPr>
                <w:sz w:val="22"/>
                <w:szCs w:val="22"/>
              </w:rPr>
            </w:pPr>
          </w:p>
        </w:tc>
      </w:tr>
      <w:tr w:rsidR="004E77FC" w:rsidRPr="00AD55AA" w14:paraId="4C706DBF" w14:textId="77777777" w:rsidTr="00DD777B">
        <w:trPr>
          <w:jc w:val="center"/>
        </w:trPr>
        <w:tc>
          <w:tcPr>
            <w:tcW w:w="0" w:type="auto"/>
            <w:tcBorders>
              <w:top w:val="nil"/>
              <w:left w:val="nil"/>
              <w:bottom w:val="single" w:sz="4" w:space="0" w:color="auto"/>
              <w:right w:val="nil"/>
            </w:tcBorders>
          </w:tcPr>
          <w:p w14:paraId="4BFC7C06" w14:textId="77777777" w:rsidR="004E77FC" w:rsidRPr="00AD55AA" w:rsidRDefault="004E77FC" w:rsidP="00AB6C46">
            <w:pPr>
              <w:widowControl w:val="0"/>
              <w:autoSpaceDE w:val="0"/>
              <w:autoSpaceDN w:val="0"/>
              <w:adjustRightInd w:val="0"/>
              <w:rPr>
                <w:sz w:val="22"/>
                <w:szCs w:val="22"/>
              </w:rPr>
            </w:pPr>
          </w:p>
        </w:tc>
        <w:tc>
          <w:tcPr>
            <w:tcW w:w="0" w:type="auto"/>
            <w:tcBorders>
              <w:top w:val="nil"/>
              <w:left w:val="nil"/>
              <w:bottom w:val="single" w:sz="4" w:space="0" w:color="auto"/>
              <w:right w:val="nil"/>
            </w:tcBorders>
          </w:tcPr>
          <w:p w14:paraId="302EDC81" w14:textId="77777777" w:rsidR="004E77FC" w:rsidRPr="00AD55AA" w:rsidRDefault="004E77FC" w:rsidP="00AB6C46">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10CE110A" w14:textId="77777777" w:rsidR="004E77FC" w:rsidRPr="00AD55AA" w:rsidRDefault="004E77FC" w:rsidP="00AB6C46">
            <w:pPr>
              <w:widowControl w:val="0"/>
              <w:autoSpaceDE w:val="0"/>
              <w:autoSpaceDN w:val="0"/>
              <w:adjustRightInd w:val="0"/>
              <w:jc w:val="center"/>
              <w:rPr>
                <w:sz w:val="22"/>
                <w:szCs w:val="22"/>
              </w:rPr>
            </w:pPr>
          </w:p>
        </w:tc>
      </w:tr>
      <w:tr w:rsidR="00481399" w:rsidRPr="00AD55AA" w14:paraId="7ECA010C" w14:textId="77777777" w:rsidTr="00DD777B">
        <w:trPr>
          <w:jc w:val="center"/>
        </w:trPr>
        <w:tc>
          <w:tcPr>
            <w:tcW w:w="0" w:type="auto"/>
            <w:tcBorders>
              <w:top w:val="single" w:sz="4" w:space="0" w:color="auto"/>
              <w:left w:val="nil"/>
              <w:bottom w:val="nil"/>
              <w:right w:val="nil"/>
            </w:tcBorders>
          </w:tcPr>
          <w:p w14:paraId="102F0C4F" w14:textId="77777777" w:rsidR="00481399" w:rsidRPr="00AD55AA" w:rsidRDefault="00481399" w:rsidP="00AB6C46">
            <w:pPr>
              <w:widowControl w:val="0"/>
              <w:autoSpaceDE w:val="0"/>
              <w:autoSpaceDN w:val="0"/>
              <w:adjustRightInd w:val="0"/>
              <w:rPr>
                <w:sz w:val="22"/>
                <w:szCs w:val="22"/>
              </w:rPr>
            </w:pPr>
          </w:p>
        </w:tc>
        <w:tc>
          <w:tcPr>
            <w:tcW w:w="0" w:type="auto"/>
            <w:gridSpan w:val="2"/>
            <w:tcBorders>
              <w:top w:val="single" w:sz="4" w:space="0" w:color="auto"/>
              <w:left w:val="nil"/>
              <w:bottom w:val="nil"/>
              <w:right w:val="nil"/>
            </w:tcBorders>
          </w:tcPr>
          <w:p w14:paraId="77F7F6F5" w14:textId="23E9092D" w:rsidR="00481399" w:rsidRPr="00AD55AA" w:rsidRDefault="00481399" w:rsidP="00AB6C46">
            <w:pPr>
              <w:widowControl w:val="0"/>
              <w:autoSpaceDE w:val="0"/>
              <w:autoSpaceDN w:val="0"/>
              <w:adjustRightInd w:val="0"/>
              <w:jc w:val="center"/>
              <w:rPr>
                <w:sz w:val="22"/>
                <w:szCs w:val="22"/>
              </w:rPr>
            </w:pPr>
            <w:r w:rsidRPr="00AD55AA">
              <w:rPr>
                <w:sz w:val="22"/>
                <w:szCs w:val="22"/>
              </w:rPr>
              <w:t>Capex</w:t>
            </w:r>
          </w:p>
        </w:tc>
      </w:tr>
      <w:tr w:rsidR="00233992" w:rsidRPr="00AD55AA" w14:paraId="28D4AE01" w14:textId="77777777" w:rsidTr="00DD777B">
        <w:trPr>
          <w:jc w:val="center"/>
        </w:trPr>
        <w:tc>
          <w:tcPr>
            <w:tcW w:w="0" w:type="auto"/>
            <w:tcBorders>
              <w:top w:val="nil"/>
              <w:left w:val="nil"/>
              <w:bottom w:val="single" w:sz="4" w:space="0" w:color="auto"/>
              <w:right w:val="nil"/>
            </w:tcBorders>
          </w:tcPr>
          <w:p w14:paraId="269726DE" w14:textId="77777777" w:rsidR="00233992" w:rsidRPr="00AD55AA" w:rsidRDefault="00233992" w:rsidP="00233992">
            <w:pPr>
              <w:widowControl w:val="0"/>
              <w:autoSpaceDE w:val="0"/>
              <w:autoSpaceDN w:val="0"/>
              <w:adjustRightInd w:val="0"/>
              <w:rPr>
                <w:sz w:val="22"/>
                <w:szCs w:val="22"/>
              </w:rPr>
            </w:pPr>
            <w:r w:rsidRPr="00AD55AA">
              <w:rPr>
                <w:sz w:val="22"/>
                <w:szCs w:val="22"/>
              </w:rPr>
              <w:t>Variable</w:t>
            </w:r>
          </w:p>
        </w:tc>
        <w:tc>
          <w:tcPr>
            <w:tcW w:w="0" w:type="auto"/>
            <w:tcBorders>
              <w:top w:val="nil"/>
              <w:left w:val="nil"/>
              <w:bottom w:val="single" w:sz="4" w:space="0" w:color="auto"/>
              <w:right w:val="nil"/>
            </w:tcBorders>
          </w:tcPr>
          <w:p w14:paraId="0FBACFB8" w14:textId="57126789" w:rsidR="00233992" w:rsidRPr="00AD55AA" w:rsidRDefault="00233992" w:rsidP="00233992">
            <w:pPr>
              <w:widowControl w:val="0"/>
              <w:autoSpaceDE w:val="0"/>
              <w:autoSpaceDN w:val="0"/>
              <w:adjustRightInd w:val="0"/>
              <w:jc w:val="center"/>
              <w:rPr>
                <w:sz w:val="22"/>
                <w:szCs w:val="22"/>
              </w:rPr>
            </w:pPr>
            <w:r w:rsidRPr="00AD55AA">
              <w:rPr>
                <w:sz w:val="22"/>
                <w:szCs w:val="22"/>
              </w:rPr>
              <w:t>(</w:t>
            </w:r>
            <w:r>
              <w:rPr>
                <w:sz w:val="22"/>
                <w:szCs w:val="22"/>
              </w:rPr>
              <w:t>1</w:t>
            </w:r>
            <w:r w:rsidRPr="00AD55AA">
              <w:rPr>
                <w:sz w:val="22"/>
                <w:szCs w:val="22"/>
              </w:rPr>
              <w:t>)</w:t>
            </w:r>
          </w:p>
        </w:tc>
        <w:tc>
          <w:tcPr>
            <w:tcW w:w="0" w:type="auto"/>
            <w:tcBorders>
              <w:top w:val="nil"/>
              <w:left w:val="nil"/>
              <w:bottom w:val="single" w:sz="4" w:space="0" w:color="auto"/>
              <w:right w:val="nil"/>
            </w:tcBorders>
          </w:tcPr>
          <w:p w14:paraId="0CBF7ABF" w14:textId="41695432" w:rsidR="00233992" w:rsidRPr="00AD55AA" w:rsidRDefault="001916FA" w:rsidP="00233992">
            <w:pPr>
              <w:widowControl w:val="0"/>
              <w:autoSpaceDE w:val="0"/>
              <w:autoSpaceDN w:val="0"/>
              <w:adjustRightInd w:val="0"/>
              <w:jc w:val="center"/>
              <w:rPr>
                <w:sz w:val="22"/>
                <w:szCs w:val="22"/>
              </w:rPr>
            </w:pPr>
            <w:r>
              <w:rPr>
                <w:sz w:val="22"/>
                <w:szCs w:val="22"/>
              </w:rPr>
              <w:t>(2</w:t>
            </w:r>
            <w:r w:rsidR="00233992" w:rsidRPr="00AD55AA">
              <w:rPr>
                <w:sz w:val="22"/>
                <w:szCs w:val="22"/>
              </w:rPr>
              <w:t>)</w:t>
            </w:r>
          </w:p>
        </w:tc>
      </w:tr>
      <w:tr w:rsidR="00233992" w:rsidRPr="00AD55AA" w14:paraId="6F0A8C24" w14:textId="77777777" w:rsidTr="00DD777B">
        <w:trPr>
          <w:jc w:val="center"/>
        </w:trPr>
        <w:tc>
          <w:tcPr>
            <w:tcW w:w="0" w:type="auto"/>
            <w:tcBorders>
              <w:top w:val="single" w:sz="4" w:space="0" w:color="auto"/>
              <w:left w:val="nil"/>
              <w:bottom w:val="nil"/>
              <w:right w:val="nil"/>
            </w:tcBorders>
          </w:tcPr>
          <w:p w14:paraId="0224342F" w14:textId="77777777" w:rsidR="00233992" w:rsidRPr="00AD55AA" w:rsidRDefault="00233992" w:rsidP="00233992">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41F29E0E" w14:textId="77777777" w:rsidR="00233992" w:rsidRPr="00AD55AA" w:rsidRDefault="00233992" w:rsidP="00233992">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13A654A9" w14:textId="77777777" w:rsidR="00233992" w:rsidRPr="00AD55AA" w:rsidRDefault="00233992" w:rsidP="00233992">
            <w:pPr>
              <w:widowControl w:val="0"/>
              <w:autoSpaceDE w:val="0"/>
              <w:autoSpaceDN w:val="0"/>
              <w:adjustRightInd w:val="0"/>
              <w:jc w:val="center"/>
              <w:rPr>
                <w:sz w:val="22"/>
                <w:szCs w:val="22"/>
              </w:rPr>
            </w:pPr>
          </w:p>
        </w:tc>
      </w:tr>
      <w:tr w:rsidR="00DA49A4" w:rsidRPr="00AD55AA" w14:paraId="182435ED" w14:textId="77777777" w:rsidTr="00DD777B">
        <w:trPr>
          <w:jc w:val="center"/>
        </w:trPr>
        <w:tc>
          <w:tcPr>
            <w:tcW w:w="0" w:type="auto"/>
            <w:tcBorders>
              <w:top w:val="nil"/>
              <w:left w:val="nil"/>
              <w:bottom w:val="nil"/>
              <w:right w:val="nil"/>
            </w:tcBorders>
          </w:tcPr>
          <w:p w14:paraId="02AF3C7D" w14:textId="50E8089C" w:rsidR="00DA49A4" w:rsidRPr="00AD55AA" w:rsidRDefault="00DA49A4" w:rsidP="00DA49A4">
            <w:pPr>
              <w:widowControl w:val="0"/>
              <w:autoSpaceDE w:val="0"/>
              <w:autoSpaceDN w:val="0"/>
              <w:adjustRightInd w:val="0"/>
              <w:rPr>
                <w:sz w:val="22"/>
                <w:szCs w:val="22"/>
              </w:rPr>
            </w:pPr>
            <w:r w:rsidRPr="00AD55AA">
              <w:rPr>
                <w:sz w:val="22"/>
                <w:szCs w:val="22"/>
              </w:rPr>
              <w:t>t-3</w:t>
            </w:r>
            <w:r>
              <w:rPr>
                <w:sz w:val="22"/>
                <w:szCs w:val="22"/>
              </w:rPr>
              <w:t xml:space="preserve"> </w:t>
            </w:r>
          </w:p>
        </w:tc>
        <w:tc>
          <w:tcPr>
            <w:tcW w:w="0" w:type="auto"/>
            <w:tcBorders>
              <w:top w:val="nil"/>
              <w:left w:val="nil"/>
              <w:bottom w:val="nil"/>
              <w:right w:val="nil"/>
            </w:tcBorders>
          </w:tcPr>
          <w:p w14:paraId="17B0412F" w14:textId="58AB9342" w:rsidR="00DA49A4" w:rsidRPr="00AD55AA" w:rsidRDefault="00DA49A4" w:rsidP="00DA49A4">
            <w:pPr>
              <w:widowControl w:val="0"/>
              <w:autoSpaceDE w:val="0"/>
              <w:autoSpaceDN w:val="0"/>
              <w:adjustRightInd w:val="0"/>
              <w:jc w:val="center"/>
              <w:rPr>
                <w:sz w:val="22"/>
                <w:szCs w:val="22"/>
              </w:rPr>
            </w:pPr>
            <w:r w:rsidRPr="00F573BE">
              <w:rPr>
                <w:sz w:val="22"/>
                <w:szCs w:val="22"/>
              </w:rPr>
              <w:t>0.025</w:t>
            </w:r>
          </w:p>
        </w:tc>
        <w:tc>
          <w:tcPr>
            <w:tcW w:w="0" w:type="auto"/>
            <w:tcBorders>
              <w:top w:val="nil"/>
              <w:left w:val="nil"/>
              <w:bottom w:val="nil"/>
              <w:right w:val="nil"/>
            </w:tcBorders>
          </w:tcPr>
          <w:p w14:paraId="5FC15D46" w14:textId="2EACA085" w:rsidR="00DA49A4" w:rsidRPr="00AD55AA" w:rsidRDefault="00DA49A4" w:rsidP="00DA49A4">
            <w:pPr>
              <w:widowControl w:val="0"/>
              <w:autoSpaceDE w:val="0"/>
              <w:autoSpaceDN w:val="0"/>
              <w:adjustRightInd w:val="0"/>
              <w:jc w:val="center"/>
              <w:rPr>
                <w:sz w:val="22"/>
                <w:szCs w:val="22"/>
              </w:rPr>
            </w:pPr>
            <w:r w:rsidRPr="00AD55AA">
              <w:rPr>
                <w:sz w:val="22"/>
                <w:szCs w:val="22"/>
              </w:rPr>
              <w:t>0</w:t>
            </w:r>
            <w:r w:rsidR="0048031F">
              <w:rPr>
                <w:sz w:val="22"/>
                <w:szCs w:val="22"/>
              </w:rPr>
              <w:t>.009</w:t>
            </w:r>
          </w:p>
        </w:tc>
      </w:tr>
      <w:tr w:rsidR="00DA49A4" w:rsidRPr="00AD55AA" w14:paraId="7D818BAB" w14:textId="77777777" w:rsidTr="00DD777B">
        <w:trPr>
          <w:jc w:val="center"/>
        </w:trPr>
        <w:tc>
          <w:tcPr>
            <w:tcW w:w="0" w:type="auto"/>
            <w:tcBorders>
              <w:top w:val="nil"/>
              <w:left w:val="nil"/>
              <w:bottom w:val="nil"/>
              <w:right w:val="nil"/>
            </w:tcBorders>
          </w:tcPr>
          <w:p w14:paraId="4035835D" w14:textId="77777777" w:rsidR="00DA49A4" w:rsidRPr="00AD55AA" w:rsidRDefault="00DA49A4" w:rsidP="00DA49A4">
            <w:pPr>
              <w:widowControl w:val="0"/>
              <w:autoSpaceDE w:val="0"/>
              <w:autoSpaceDN w:val="0"/>
              <w:adjustRightInd w:val="0"/>
              <w:rPr>
                <w:sz w:val="22"/>
                <w:szCs w:val="22"/>
              </w:rPr>
            </w:pPr>
          </w:p>
        </w:tc>
        <w:tc>
          <w:tcPr>
            <w:tcW w:w="0" w:type="auto"/>
            <w:tcBorders>
              <w:top w:val="nil"/>
              <w:left w:val="nil"/>
              <w:bottom w:val="nil"/>
              <w:right w:val="nil"/>
            </w:tcBorders>
          </w:tcPr>
          <w:p w14:paraId="5FFD5E73" w14:textId="4C2FBB46" w:rsidR="00DA49A4" w:rsidRPr="00AD55AA" w:rsidRDefault="00DA49A4" w:rsidP="00DA49A4">
            <w:pPr>
              <w:widowControl w:val="0"/>
              <w:autoSpaceDE w:val="0"/>
              <w:autoSpaceDN w:val="0"/>
              <w:adjustRightInd w:val="0"/>
              <w:jc w:val="center"/>
              <w:rPr>
                <w:sz w:val="22"/>
                <w:szCs w:val="22"/>
              </w:rPr>
            </w:pPr>
            <w:r w:rsidRPr="00F573BE">
              <w:rPr>
                <w:sz w:val="22"/>
                <w:szCs w:val="22"/>
              </w:rPr>
              <w:t>(1.31)</w:t>
            </w:r>
          </w:p>
        </w:tc>
        <w:tc>
          <w:tcPr>
            <w:tcW w:w="0" w:type="auto"/>
            <w:tcBorders>
              <w:top w:val="nil"/>
              <w:left w:val="nil"/>
              <w:bottom w:val="nil"/>
              <w:right w:val="nil"/>
            </w:tcBorders>
          </w:tcPr>
          <w:p w14:paraId="161D4F8D" w14:textId="1F45C8F3" w:rsidR="00DA49A4" w:rsidRPr="00AD55AA" w:rsidRDefault="0048031F" w:rsidP="00DA49A4">
            <w:pPr>
              <w:widowControl w:val="0"/>
              <w:autoSpaceDE w:val="0"/>
              <w:autoSpaceDN w:val="0"/>
              <w:adjustRightInd w:val="0"/>
              <w:jc w:val="center"/>
              <w:rPr>
                <w:sz w:val="22"/>
                <w:szCs w:val="22"/>
              </w:rPr>
            </w:pPr>
            <w:r>
              <w:rPr>
                <w:sz w:val="22"/>
                <w:szCs w:val="22"/>
              </w:rPr>
              <w:t>(0.24</w:t>
            </w:r>
            <w:r w:rsidR="00DA49A4" w:rsidRPr="00AD55AA">
              <w:rPr>
                <w:sz w:val="22"/>
                <w:szCs w:val="22"/>
              </w:rPr>
              <w:t>)</w:t>
            </w:r>
          </w:p>
        </w:tc>
      </w:tr>
      <w:tr w:rsidR="00DA49A4" w:rsidRPr="00AD55AA" w14:paraId="1A22FD28" w14:textId="77777777" w:rsidTr="00DD777B">
        <w:trPr>
          <w:jc w:val="center"/>
        </w:trPr>
        <w:tc>
          <w:tcPr>
            <w:tcW w:w="0" w:type="auto"/>
            <w:tcBorders>
              <w:top w:val="nil"/>
              <w:left w:val="nil"/>
              <w:bottom w:val="nil"/>
              <w:right w:val="nil"/>
            </w:tcBorders>
          </w:tcPr>
          <w:p w14:paraId="6DD808D8" w14:textId="78E7FB55" w:rsidR="00DA49A4" w:rsidRPr="00AD55AA" w:rsidRDefault="00DA49A4" w:rsidP="00DA49A4">
            <w:pPr>
              <w:widowControl w:val="0"/>
              <w:autoSpaceDE w:val="0"/>
              <w:autoSpaceDN w:val="0"/>
              <w:adjustRightInd w:val="0"/>
              <w:rPr>
                <w:sz w:val="22"/>
                <w:szCs w:val="22"/>
              </w:rPr>
            </w:pPr>
            <w:r w:rsidRPr="00AD55AA">
              <w:rPr>
                <w:sz w:val="22"/>
                <w:szCs w:val="22"/>
              </w:rPr>
              <w:t>t-2</w:t>
            </w:r>
            <w:r>
              <w:rPr>
                <w:sz w:val="22"/>
                <w:szCs w:val="22"/>
              </w:rPr>
              <w:t xml:space="preserve"> </w:t>
            </w:r>
          </w:p>
        </w:tc>
        <w:tc>
          <w:tcPr>
            <w:tcW w:w="0" w:type="auto"/>
            <w:tcBorders>
              <w:top w:val="nil"/>
              <w:left w:val="nil"/>
              <w:bottom w:val="nil"/>
              <w:right w:val="nil"/>
            </w:tcBorders>
          </w:tcPr>
          <w:p w14:paraId="13D82BB3" w14:textId="7FADD816" w:rsidR="00DA49A4" w:rsidRPr="00AD55AA" w:rsidRDefault="00DA49A4" w:rsidP="00DA49A4">
            <w:pPr>
              <w:widowControl w:val="0"/>
              <w:autoSpaceDE w:val="0"/>
              <w:autoSpaceDN w:val="0"/>
              <w:adjustRightInd w:val="0"/>
              <w:jc w:val="center"/>
              <w:rPr>
                <w:sz w:val="22"/>
                <w:szCs w:val="22"/>
              </w:rPr>
            </w:pPr>
            <w:r w:rsidRPr="00F573BE">
              <w:rPr>
                <w:sz w:val="22"/>
                <w:szCs w:val="22"/>
              </w:rPr>
              <w:t>-0.015</w:t>
            </w:r>
          </w:p>
        </w:tc>
        <w:tc>
          <w:tcPr>
            <w:tcW w:w="0" w:type="auto"/>
            <w:tcBorders>
              <w:top w:val="nil"/>
              <w:left w:val="nil"/>
              <w:bottom w:val="nil"/>
              <w:right w:val="nil"/>
            </w:tcBorders>
          </w:tcPr>
          <w:p w14:paraId="671134C9" w14:textId="7D641BBC" w:rsidR="00DA49A4" w:rsidRPr="00AD55AA" w:rsidRDefault="0048031F" w:rsidP="00DA49A4">
            <w:pPr>
              <w:widowControl w:val="0"/>
              <w:autoSpaceDE w:val="0"/>
              <w:autoSpaceDN w:val="0"/>
              <w:adjustRightInd w:val="0"/>
              <w:jc w:val="center"/>
              <w:rPr>
                <w:sz w:val="22"/>
                <w:szCs w:val="22"/>
              </w:rPr>
            </w:pPr>
            <w:r>
              <w:rPr>
                <w:sz w:val="22"/>
                <w:szCs w:val="22"/>
              </w:rPr>
              <w:t>-0.023</w:t>
            </w:r>
          </w:p>
        </w:tc>
      </w:tr>
      <w:tr w:rsidR="00DA49A4" w:rsidRPr="00AD55AA" w14:paraId="4FF1BA58" w14:textId="77777777" w:rsidTr="00DD777B">
        <w:trPr>
          <w:jc w:val="center"/>
        </w:trPr>
        <w:tc>
          <w:tcPr>
            <w:tcW w:w="0" w:type="auto"/>
            <w:tcBorders>
              <w:top w:val="nil"/>
              <w:left w:val="nil"/>
              <w:bottom w:val="nil"/>
              <w:right w:val="nil"/>
            </w:tcBorders>
          </w:tcPr>
          <w:p w14:paraId="4B569DDB" w14:textId="77777777" w:rsidR="00DA49A4" w:rsidRPr="00AD55AA" w:rsidRDefault="00DA49A4" w:rsidP="00DA49A4">
            <w:pPr>
              <w:widowControl w:val="0"/>
              <w:autoSpaceDE w:val="0"/>
              <w:autoSpaceDN w:val="0"/>
              <w:adjustRightInd w:val="0"/>
              <w:rPr>
                <w:sz w:val="22"/>
                <w:szCs w:val="22"/>
              </w:rPr>
            </w:pPr>
          </w:p>
        </w:tc>
        <w:tc>
          <w:tcPr>
            <w:tcW w:w="0" w:type="auto"/>
            <w:tcBorders>
              <w:top w:val="nil"/>
              <w:left w:val="nil"/>
              <w:bottom w:val="nil"/>
              <w:right w:val="nil"/>
            </w:tcBorders>
          </w:tcPr>
          <w:p w14:paraId="54F2A87C" w14:textId="1889C328" w:rsidR="00DA49A4" w:rsidRPr="00AD55AA" w:rsidRDefault="00DA49A4" w:rsidP="00DA49A4">
            <w:pPr>
              <w:widowControl w:val="0"/>
              <w:autoSpaceDE w:val="0"/>
              <w:autoSpaceDN w:val="0"/>
              <w:adjustRightInd w:val="0"/>
              <w:jc w:val="center"/>
              <w:rPr>
                <w:sz w:val="22"/>
                <w:szCs w:val="22"/>
              </w:rPr>
            </w:pPr>
            <w:r w:rsidRPr="00F573BE">
              <w:rPr>
                <w:sz w:val="22"/>
                <w:szCs w:val="22"/>
              </w:rPr>
              <w:t>(-0.44)</w:t>
            </w:r>
          </w:p>
        </w:tc>
        <w:tc>
          <w:tcPr>
            <w:tcW w:w="0" w:type="auto"/>
            <w:tcBorders>
              <w:top w:val="nil"/>
              <w:left w:val="nil"/>
              <w:bottom w:val="nil"/>
              <w:right w:val="nil"/>
            </w:tcBorders>
          </w:tcPr>
          <w:p w14:paraId="7C367349" w14:textId="5BA1BC92" w:rsidR="00DA49A4" w:rsidRPr="00AD55AA" w:rsidRDefault="0048031F" w:rsidP="00DA49A4">
            <w:pPr>
              <w:widowControl w:val="0"/>
              <w:autoSpaceDE w:val="0"/>
              <w:autoSpaceDN w:val="0"/>
              <w:adjustRightInd w:val="0"/>
              <w:jc w:val="center"/>
              <w:rPr>
                <w:sz w:val="22"/>
                <w:szCs w:val="22"/>
              </w:rPr>
            </w:pPr>
            <w:r>
              <w:rPr>
                <w:sz w:val="22"/>
                <w:szCs w:val="22"/>
              </w:rPr>
              <w:t>(-0.7</w:t>
            </w:r>
            <w:r w:rsidR="00DA49A4" w:rsidRPr="00AD55AA">
              <w:rPr>
                <w:sz w:val="22"/>
                <w:szCs w:val="22"/>
              </w:rPr>
              <w:t>4)</w:t>
            </w:r>
          </w:p>
        </w:tc>
      </w:tr>
      <w:tr w:rsidR="00DA49A4" w:rsidRPr="00AD55AA" w14:paraId="3FCCCE0E" w14:textId="77777777" w:rsidTr="00DD777B">
        <w:trPr>
          <w:jc w:val="center"/>
        </w:trPr>
        <w:tc>
          <w:tcPr>
            <w:tcW w:w="0" w:type="auto"/>
            <w:tcBorders>
              <w:top w:val="nil"/>
              <w:left w:val="nil"/>
              <w:bottom w:val="nil"/>
              <w:right w:val="nil"/>
            </w:tcBorders>
          </w:tcPr>
          <w:p w14:paraId="0786A182" w14:textId="79E04CED" w:rsidR="00DA49A4" w:rsidRPr="00AD55AA" w:rsidRDefault="00DA49A4" w:rsidP="00DA49A4">
            <w:pPr>
              <w:widowControl w:val="0"/>
              <w:autoSpaceDE w:val="0"/>
              <w:autoSpaceDN w:val="0"/>
              <w:adjustRightInd w:val="0"/>
              <w:rPr>
                <w:sz w:val="22"/>
                <w:szCs w:val="22"/>
              </w:rPr>
            </w:pPr>
            <w:r w:rsidRPr="00AD55AA">
              <w:rPr>
                <w:sz w:val="22"/>
                <w:szCs w:val="22"/>
              </w:rPr>
              <w:t>t-1</w:t>
            </w:r>
            <w:r>
              <w:rPr>
                <w:sz w:val="22"/>
                <w:szCs w:val="22"/>
              </w:rPr>
              <w:t xml:space="preserve"> </w:t>
            </w:r>
          </w:p>
        </w:tc>
        <w:tc>
          <w:tcPr>
            <w:tcW w:w="0" w:type="auto"/>
            <w:tcBorders>
              <w:top w:val="nil"/>
              <w:left w:val="nil"/>
              <w:bottom w:val="nil"/>
              <w:right w:val="nil"/>
            </w:tcBorders>
          </w:tcPr>
          <w:p w14:paraId="52EE9C0B" w14:textId="2EC6737E" w:rsidR="00DA49A4" w:rsidRPr="00AD55AA" w:rsidRDefault="00DA49A4" w:rsidP="00DA49A4">
            <w:pPr>
              <w:widowControl w:val="0"/>
              <w:autoSpaceDE w:val="0"/>
              <w:autoSpaceDN w:val="0"/>
              <w:adjustRightInd w:val="0"/>
              <w:jc w:val="center"/>
              <w:rPr>
                <w:sz w:val="22"/>
                <w:szCs w:val="22"/>
              </w:rPr>
            </w:pPr>
            <w:r w:rsidRPr="00F573BE">
              <w:rPr>
                <w:sz w:val="22"/>
                <w:szCs w:val="22"/>
              </w:rPr>
              <w:t>-0.054</w:t>
            </w:r>
          </w:p>
        </w:tc>
        <w:tc>
          <w:tcPr>
            <w:tcW w:w="0" w:type="auto"/>
            <w:tcBorders>
              <w:top w:val="nil"/>
              <w:left w:val="nil"/>
              <w:bottom w:val="nil"/>
              <w:right w:val="nil"/>
            </w:tcBorders>
          </w:tcPr>
          <w:p w14:paraId="26E52518" w14:textId="353E6B90" w:rsidR="00DA49A4" w:rsidRPr="00AD55AA" w:rsidRDefault="0048031F" w:rsidP="00DA49A4">
            <w:pPr>
              <w:widowControl w:val="0"/>
              <w:autoSpaceDE w:val="0"/>
              <w:autoSpaceDN w:val="0"/>
              <w:adjustRightInd w:val="0"/>
              <w:jc w:val="center"/>
              <w:rPr>
                <w:sz w:val="22"/>
                <w:szCs w:val="22"/>
              </w:rPr>
            </w:pPr>
            <w:r>
              <w:rPr>
                <w:sz w:val="22"/>
                <w:szCs w:val="22"/>
              </w:rPr>
              <w:t>-0.052</w:t>
            </w:r>
          </w:p>
        </w:tc>
      </w:tr>
      <w:tr w:rsidR="00DA49A4" w:rsidRPr="00AD55AA" w14:paraId="59372C8A" w14:textId="77777777" w:rsidTr="00DD777B">
        <w:trPr>
          <w:jc w:val="center"/>
        </w:trPr>
        <w:tc>
          <w:tcPr>
            <w:tcW w:w="0" w:type="auto"/>
            <w:tcBorders>
              <w:top w:val="nil"/>
              <w:left w:val="nil"/>
              <w:bottom w:val="nil"/>
              <w:right w:val="nil"/>
            </w:tcBorders>
          </w:tcPr>
          <w:p w14:paraId="2F09BBBD" w14:textId="77777777" w:rsidR="00DA49A4" w:rsidRPr="00AD55AA" w:rsidRDefault="00DA49A4" w:rsidP="00DA49A4">
            <w:pPr>
              <w:widowControl w:val="0"/>
              <w:autoSpaceDE w:val="0"/>
              <w:autoSpaceDN w:val="0"/>
              <w:adjustRightInd w:val="0"/>
              <w:rPr>
                <w:sz w:val="22"/>
                <w:szCs w:val="22"/>
              </w:rPr>
            </w:pPr>
          </w:p>
        </w:tc>
        <w:tc>
          <w:tcPr>
            <w:tcW w:w="0" w:type="auto"/>
            <w:tcBorders>
              <w:top w:val="nil"/>
              <w:left w:val="nil"/>
              <w:bottom w:val="nil"/>
              <w:right w:val="nil"/>
            </w:tcBorders>
          </w:tcPr>
          <w:p w14:paraId="23741488" w14:textId="33DCE174" w:rsidR="00DA49A4" w:rsidRPr="00AD55AA" w:rsidRDefault="00DA49A4" w:rsidP="00DA49A4">
            <w:pPr>
              <w:widowControl w:val="0"/>
              <w:autoSpaceDE w:val="0"/>
              <w:autoSpaceDN w:val="0"/>
              <w:adjustRightInd w:val="0"/>
              <w:jc w:val="center"/>
              <w:rPr>
                <w:sz w:val="22"/>
                <w:szCs w:val="22"/>
              </w:rPr>
            </w:pPr>
            <w:r w:rsidRPr="00F573BE">
              <w:rPr>
                <w:sz w:val="22"/>
                <w:szCs w:val="22"/>
              </w:rPr>
              <w:t>(-1.54)</w:t>
            </w:r>
          </w:p>
        </w:tc>
        <w:tc>
          <w:tcPr>
            <w:tcW w:w="0" w:type="auto"/>
            <w:tcBorders>
              <w:top w:val="nil"/>
              <w:left w:val="nil"/>
              <w:bottom w:val="nil"/>
              <w:right w:val="nil"/>
            </w:tcBorders>
          </w:tcPr>
          <w:p w14:paraId="37447B33" w14:textId="5406B0FE" w:rsidR="00DA49A4" w:rsidRPr="00AD55AA" w:rsidRDefault="0048031F" w:rsidP="00DA49A4">
            <w:pPr>
              <w:widowControl w:val="0"/>
              <w:autoSpaceDE w:val="0"/>
              <w:autoSpaceDN w:val="0"/>
              <w:adjustRightInd w:val="0"/>
              <w:jc w:val="center"/>
              <w:rPr>
                <w:sz w:val="22"/>
                <w:szCs w:val="22"/>
              </w:rPr>
            </w:pPr>
            <w:r>
              <w:rPr>
                <w:sz w:val="22"/>
                <w:szCs w:val="22"/>
              </w:rPr>
              <w:t>(-1.49</w:t>
            </w:r>
            <w:r w:rsidR="00DA49A4" w:rsidRPr="00AD55AA">
              <w:rPr>
                <w:sz w:val="22"/>
                <w:szCs w:val="22"/>
              </w:rPr>
              <w:t>)</w:t>
            </w:r>
          </w:p>
        </w:tc>
      </w:tr>
      <w:tr w:rsidR="00DA49A4" w:rsidRPr="00AD55AA" w14:paraId="0B77E962" w14:textId="77777777" w:rsidTr="00DD777B">
        <w:trPr>
          <w:jc w:val="center"/>
        </w:trPr>
        <w:tc>
          <w:tcPr>
            <w:tcW w:w="0" w:type="auto"/>
            <w:tcBorders>
              <w:top w:val="nil"/>
              <w:left w:val="nil"/>
              <w:bottom w:val="nil"/>
              <w:right w:val="nil"/>
            </w:tcBorders>
          </w:tcPr>
          <w:p w14:paraId="34B4A23E" w14:textId="662560A7" w:rsidR="00DA49A4" w:rsidRPr="00AD55AA" w:rsidRDefault="00DA49A4" w:rsidP="00DA49A4">
            <w:pPr>
              <w:widowControl w:val="0"/>
              <w:autoSpaceDE w:val="0"/>
              <w:autoSpaceDN w:val="0"/>
              <w:adjustRightInd w:val="0"/>
              <w:rPr>
                <w:sz w:val="22"/>
                <w:szCs w:val="22"/>
              </w:rPr>
            </w:pPr>
            <w:r w:rsidRPr="00AD55AA">
              <w:rPr>
                <w:sz w:val="22"/>
                <w:szCs w:val="22"/>
              </w:rPr>
              <w:t>t+1</w:t>
            </w:r>
            <w:r>
              <w:rPr>
                <w:sz w:val="22"/>
                <w:szCs w:val="22"/>
              </w:rPr>
              <w:t xml:space="preserve"> </w:t>
            </w:r>
          </w:p>
        </w:tc>
        <w:tc>
          <w:tcPr>
            <w:tcW w:w="0" w:type="auto"/>
            <w:tcBorders>
              <w:top w:val="nil"/>
              <w:left w:val="nil"/>
              <w:bottom w:val="nil"/>
              <w:right w:val="nil"/>
            </w:tcBorders>
          </w:tcPr>
          <w:p w14:paraId="10C104E2" w14:textId="1712B98E" w:rsidR="00DA49A4" w:rsidRPr="00AD55AA" w:rsidRDefault="00DA49A4" w:rsidP="00DA49A4">
            <w:pPr>
              <w:widowControl w:val="0"/>
              <w:autoSpaceDE w:val="0"/>
              <w:autoSpaceDN w:val="0"/>
              <w:adjustRightInd w:val="0"/>
              <w:jc w:val="center"/>
              <w:rPr>
                <w:sz w:val="22"/>
                <w:szCs w:val="22"/>
              </w:rPr>
            </w:pPr>
            <w:r w:rsidRPr="00F573BE">
              <w:rPr>
                <w:sz w:val="22"/>
                <w:szCs w:val="22"/>
              </w:rPr>
              <w:t>-0.080**</w:t>
            </w:r>
          </w:p>
        </w:tc>
        <w:tc>
          <w:tcPr>
            <w:tcW w:w="0" w:type="auto"/>
            <w:tcBorders>
              <w:top w:val="nil"/>
              <w:left w:val="nil"/>
              <w:bottom w:val="nil"/>
              <w:right w:val="nil"/>
            </w:tcBorders>
          </w:tcPr>
          <w:p w14:paraId="57E51C34" w14:textId="42E17072" w:rsidR="00DA49A4" w:rsidRPr="00AD55AA" w:rsidRDefault="0048031F" w:rsidP="00DA49A4">
            <w:pPr>
              <w:widowControl w:val="0"/>
              <w:autoSpaceDE w:val="0"/>
              <w:autoSpaceDN w:val="0"/>
              <w:adjustRightInd w:val="0"/>
              <w:jc w:val="center"/>
              <w:rPr>
                <w:sz w:val="22"/>
                <w:szCs w:val="22"/>
              </w:rPr>
            </w:pPr>
            <w:r>
              <w:rPr>
                <w:sz w:val="22"/>
                <w:szCs w:val="22"/>
              </w:rPr>
              <w:t>-0.097</w:t>
            </w:r>
            <w:r w:rsidR="00DA49A4" w:rsidRPr="00AD55AA">
              <w:rPr>
                <w:sz w:val="22"/>
                <w:szCs w:val="22"/>
              </w:rPr>
              <w:t>***</w:t>
            </w:r>
          </w:p>
        </w:tc>
      </w:tr>
      <w:tr w:rsidR="00DA49A4" w:rsidRPr="00AD55AA" w14:paraId="33B5BCC4" w14:textId="77777777" w:rsidTr="00DD777B">
        <w:trPr>
          <w:jc w:val="center"/>
        </w:trPr>
        <w:tc>
          <w:tcPr>
            <w:tcW w:w="0" w:type="auto"/>
            <w:tcBorders>
              <w:top w:val="nil"/>
              <w:left w:val="nil"/>
              <w:bottom w:val="nil"/>
              <w:right w:val="nil"/>
            </w:tcBorders>
          </w:tcPr>
          <w:p w14:paraId="12411D0F" w14:textId="77777777" w:rsidR="00DA49A4" w:rsidRPr="00AD55AA" w:rsidRDefault="00DA49A4" w:rsidP="00DA49A4">
            <w:pPr>
              <w:widowControl w:val="0"/>
              <w:autoSpaceDE w:val="0"/>
              <w:autoSpaceDN w:val="0"/>
              <w:adjustRightInd w:val="0"/>
              <w:rPr>
                <w:sz w:val="22"/>
                <w:szCs w:val="22"/>
              </w:rPr>
            </w:pPr>
          </w:p>
        </w:tc>
        <w:tc>
          <w:tcPr>
            <w:tcW w:w="0" w:type="auto"/>
            <w:tcBorders>
              <w:top w:val="nil"/>
              <w:left w:val="nil"/>
              <w:bottom w:val="nil"/>
              <w:right w:val="nil"/>
            </w:tcBorders>
          </w:tcPr>
          <w:p w14:paraId="670494B9" w14:textId="79816104" w:rsidR="00DA49A4" w:rsidRPr="00AD55AA" w:rsidRDefault="00DA49A4" w:rsidP="00DA49A4">
            <w:pPr>
              <w:widowControl w:val="0"/>
              <w:autoSpaceDE w:val="0"/>
              <w:autoSpaceDN w:val="0"/>
              <w:adjustRightInd w:val="0"/>
              <w:jc w:val="center"/>
              <w:rPr>
                <w:sz w:val="22"/>
                <w:szCs w:val="22"/>
              </w:rPr>
            </w:pPr>
            <w:r w:rsidRPr="00F573BE">
              <w:rPr>
                <w:sz w:val="22"/>
                <w:szCs w:val="22"/>
              </w:rPr>
              <w:t>(-2.52)</w:t>
            </w:r>
          </w:p>
        </w:tc>
        <w:tc>
          <w:tcPr>
            <w:tcW w:w="0" w:type="auto"/>
            <w:tcBorders>
              <w:top w:val="nil"/>
              <w:left w:val="nil"/>
              <w:bottom w:val="nil"/>
              <w:right w:val="nil"/>
            </w:tcBorders>
          </w:tcPr>
          <w:p w14:paraId="35CA79F7" w14:textId="5685AE39" w:rsidR="00DA49A4" w:rsidRPr="00AD55AA" w:rsidRDefault="0048031F" w:rsidP="00DA49A4">
            <w:pPr>
              <w:widowControl w:val="0"/>
              <w:autoSpaceDE w:val="0"/>
              <w:autoSpaceDN w:val="0"/>
              <w:adjustRightInd w:val="0"/>
              <w:jc w:val="center"/>
              <w:rPr>
                <w:sz w:val="22"/>
                <w:szCs w:val="22"/>
              </w:rPr>
            </w:pPr>
            <w:r>
              <w:rPr>
                <w:sz w:val="22"/>
                <w:szCs w:val="22"/>
              </w:rPr>
              <w:t>(-4.5</w:t>
            </w:r>
            <w:r w:rsidR="00DA49A4" w:rsidRPr="00AD55AA">
              <w:rPr>
                <w:sz w:val="22"/>
                <w:szCs w:val="22"/>
              </w:rPr>
              <w:t>4)</w:t>
            </w:r>
          </w:p>
        </w:tc>
      </w:tr>
      <w:tr w:rsidR="00DA49A4" w:rsidRPr="00AD55AA" w14:paraId="41E92584" w14:textId="77777777" w:rsidTr="00DD777B">
        <w:trPr>
          <w:jc w:val="center"/>
        </w:trPr>
        <w:tc>
          <w:tcPr>
            <w:tcW w:w="0" w:type="auto"/>
            <w:tcBorders>
              <w:top w:val="nil"/>
              <w:left w:val="nil"/>
              <w:bottom w:val="nil"/>
              <w:right w:val="nil"/>
            </w:tcBorders>
          </w:tcPr>
          <w:p w14:paraId="5E178258" w14:textId="15CF133B" w:rsidR="00DA49A4" w:rsidRPr="00AD55AA" w:rsidRDefault="00DA49A4" w:rsidP="00DA49A4">
            <w:pPr>
              <w:widowControl w:val="0"/>
              <w:autoSpaceDE w:val="0"/>
              <w:autoSpaceDN w:val="0"/>
              <w:adjustRightInd w:val="0"/>
              <w:rPr>
                <w:sz w:val="22"/>
                <w:szCs w:val="22"/>
              </w:rPr>
            </w:pPr>
            <w:r w:rsidRPr="00AD55AA">
              <w:rPr>
                <w:sz w:val="22"/>
                <w:szCs w:val="22"/>
              </w:rPr>
              <w:t>t+2</w:t>
            </w:r>
            <w:r>
              <w:rPr>
                <w:sz w:val="22"/>
                <w:szCs w:val="22"/>
              </w:rPr>
              <w:t xml:space="preserve"> </w:t>
            </w:r>
          </w:p>
        </w:tc>
        <w:tc>
          <w:tcPr>
            <w:tcW w:w="0" w:type="auto"/>
            <w:tcBorders>
              <w:top w:val="nil"/>
              <w:left w:val="nil"/>
              <w:bottom w:val="nil"/>
              <w:right w:val="nil"/>
            </w:tcBorders>
          </w:tcPr>
          <w:p w14:paraId="46F04D53" w14:textId="3BCB5620" w:rsidR="00DA49A4" w:rsidRPr="00AD55AA" w:rsidRDefault="00DA49A4" w:rsidP="00DA49A4">
            <w:pPr>
              <w:widowControl w:val="0"/>
              <w:autoSpaceDE w:val="0"/>
              <w:autoSpaceDN w:val="0"/>
              <w:adjustRightInd w:val="0"/>
              <w:jc w:val="center"/>
              <w:rPr>
                <w:sz w:val="22"/>
                <w:szCs w:val="22"/>
              </w:rPr>
            </w:pPr>
            <w:r w:rsidRPr="00F573BE">
              <w:rPr>
                <w:sz w:val="22"/>
                <w:szCs w:val="22"/>
              </w:rPr>
              <w:t>-0.122***</w:t>
            </w:r>
          </w:p>
        </w:tc>
        <w:tc>
          <w:tcPr>
            <w:tcW w:w="0" w:type="auto"/>
            <w:tcBorders>
              <w:top w:val="nil"/>
              <w:left w:val="nil"/>
              <w:bottom w:val="nil"/>
              <w:right w:val="nil"/>
            </w:tcBorders>
          </w:tcPr>
          <w:p w14:paraId="0BD33D73" w14:textId="6DEDD302" w:rsidR="00DA49A4" w:rsidRPr="00AD55AA" w:rsidRDefault="0048031F" w:rsidP="00DA49A4">
            <w:pPr>
              <w:widowControl w:val="0"/>
              <w:autoSpaceDE w:val="0"/>
              <w:autoSpaceDN w:val="0"/>
              <w:adjustRightInd w:val="0"/>
              <w:jc w:val="center"/>
              <w:rPr>
                <w:sz w:val="22"/>
                <w:szCs w:val="22"/>
              </w:rPr>
            </w:pPr>
            <w:r>
              <w:rPr>
                <w:sz w:val="22"/>
                <w:szCs w:val="22"/>
              </w:rPr>
              <w:t>-0.150</w:t>
            </w:r>
            <w:r w:rsidR="00DA49A4" w:rsidRPr="00AD55AA">
              <w:rPr>
                <w:sz w:val="22"/>
                <w:szCs w:val="22"/>
              </w:rPr>
              <w:t>***</w:t>
            </w:r>
          </w:p>
        </w:tc>
      </w:tr>
      <w:tr w:rsidR="00DA49A4" w:rsidRPr="00AD55AA" w14:paraId="0E382B14" w14:textId="77777777" w:rsidTr="00DD777B">
        <w:trPr>
          <w:jc w:val="center"/>
        </w:trPr>
        <w:tc>
          <w:tcPr>
            <w:tcW w:w="0" w:type="auto"/>
            <w:tcBorders>
              <w:top w:val="nil"/>
              <w:left w:val="nil"/>
              <w:bottom w:val="nil"/>
              <w:right w:val="nil"/>
            </w:tcBorders>
          </w:tcPr>
          <w:p w14:paraId="28511065" w14:textId="77777777" w:rsidR="00DA49A4" w:rsidRPr="00AD55AA" w:rsidRDefault="00DA49A4" w:rsidP="00DA49A4">
            <w:pPr>
              <w:widowControl w:val="0"/>
              <w:autoSpaceDE w:val="0"/>
              <w:autoSpaceDN w:val="0"/>
              <w:adjustRightInd w:val="0"/>
              <w:rPr>
                <w:sz w:val="22"/>
                <w:szCs w:val="22"/>
              </w:rPr>
            </w:pPr>
          </w:p>
        </w:tc>
        <w:tc>
          <w:tcPr>
            <w:tcW w:w="0" w:type="auto"/>
            <w:tcBorders>
              <w:top w:val="nil"/>
              <w:left w:val="nil"/>
              <w:bottom w:val="nil"/>
              <w:right w:val="nil"/>
            </w:tcBorders>
          </w:tcPr>
          <w:p w14:paraId="48EECB8E" w14:textId="4B778EE6" w:rsidR="00DA49A4" w:rsidRPr="00AD55AA" w:rsidRDefault="00DA49A4" w:rsidP="00DA49A4">
            <w:pPr>
              <w:widowControl w:val="0"/>
              <w:autoSpaceDE w:val="0"/>
              <w:autoSpaceDN w:val="0"/>
              <w:adjustRightInd w:val="0"/>
              <w:jc w:val="center"/>
              <w:rPr>
                <w:sz w:val="22"/>
                <w:szCs w:val="22"/>
              </w:rPr>
            </w:pPr>
            <w:r w:rsidRPr="00F573BE">
              <w:rPr>
                <w:sz w:val="22"/>
                <w:szCs w:val="22"/>
              </w:rPr>
              <w:t>(-2.62)</w:t>
            </w:r>
          </w:p>
        </w:tc>
        <w:tc>
          <w:tcPr>
            <w:tcW w:w="0" w:type="auto"/>
            <w:tcBorders>
              <w:top w:val="nil"/>
              <w:left w:val="nil"/>
              <w:bottom w:val="nil"/>
              <w:right w:val="nil"/>
            </w:tcBorders>
          </w:tcPr>
          <w:p w14:paraId="0C03F0C3" w14:textId="0F3F4846" w:rsidR="00DA49A4" w:rsidRPr="00AD55AA" w:rsidRDefault="0048031F" w:rsidP="00DA49A4">
            <w:pPr>
              <w:widowControl w:val="0"/>
              <w:autoSpaceDE w:val="0"/>
              <w:autoSpaceDN w:val="0"/>
              <w:adjustRightInd w:val="0"/>
              <w:jc w:val="center"/>
              <w:rPr>
                <w:sz w:val="22"/>
                <w:szCs w:val="22"/>
              </w:rPr>
            </w:pPr>
            <w:r>
              <w:rPr>
                <w:sz w:val="22"/>
                <w:szCs w:val="22"/>
              </w:rPr>
              <w:t>(-4.25</w:t>
            </w:r>
            <w:r w:rsidR="00DA49A4" w:rsidRPr="00AD55AA">
              <w:rPr>
                <w:sz w:val="22"/>
                <w:szCs w:val="22"/>
              </w:rPr>
              <w:t>)</w:t>
            </w:r>
          </w:p>
        </w:tc>
      </w:tr>
      <w:tr w:rsidR="00DA49A4" w:rsidRPr="00AD55AA" w14:paraId="33EDBF98" w14:textId="77777777" w:rsidTr="00DD777B">
        <w:trPr>
          <w:jc w:val="center"/>
        </w:trPr>
        <w:tc>
          <w:tcPr>
            <w:tcW w:w="0" w:type="auto"/>
            <w:tcBorders>
              <w:top w:val="nil"/>
              <w:left w:val="nil"/>
              <w:bottom w:val="nil"/>
              <w:right w:val="nil"/>
            </w:tcBorders>
          </w:tcPr>
          <w:p w14:paraId="1BD9679F" w14:textId="529C78A6" w:rsidR="00DA49A4" w:rsidRPr="00AD55AA" w:rsidRDefault="00DA49A4" w:rsidP="00DA49A4">
            <w:pPr>
              <w:widowControl w:val="0"/>
              <w:autoSpaceDE w:val="0"/>
              <w:autoSpaceDN w:val="0"/>
              <w:adjustRightInd w:val="0"/>
              <w:rPr>
                <w:sz w:val="22"/>
                <w:szCs w:val="22"/>
              </w:rPr>
            </w:pPr>
            <w:r w:rsidRPr="00AD55AA">
              <w:rPr>
                <w:sz w:val="22"/>
                <w:szCs w:val="22"/>
              </w:rPr>
              <w:t>t+3</w:t>
            </w:r>
            <w:r>
              <w:rPr>
                <w:sz w:val="22"/>
                <w:szCs w:val="22"/>
              </w:rPr>
              <w:t xml:space="preserve"> </w:t>
            </w:r>
          </w:p>
        </w:tc>
        <w:tc>
          <w:tcPr>
            <w:tcW w:w="0" w:type="auto"/>
            <w:tcBorders>
              <w:top w:val="nil"/>
              <w:left w:val="nil"/>
              <w:bottom w:val="nil"/>
              <w:right w:val="nil"/>
            </w:tcBorders>
          </w:tcPr>
          <w:p w14:paraId="7E6911EE" w14:textId="7B0F1372" w:rsidR="00DA49A4" w:rsidRPr="00AD55AA" w:rsidRDefault="00DA49A4" w:rsidP="00DA49A4">
            <w:pPr>
              <w:widowControl w:val="0"/>
              <w:autoSpaceDE w:val="0"/>
              <w:autoSpaceDN w:val="0"/>
              <w:adjustRightInd w:val="0"/>
              <w:jc w:val="center"/>
              <w:rPr>
                <w:sz w:val="22"/>
                <w:szCs w:val="22"/>
              </w:rPr>
            </w:pPr>
            <w:r w:rsidRPr="00F573BE">
              <w:rPr>
                <w:sz w:val="22"/>
                <w:szCs w:val="22"/>
              </w:rPr>
              <w:t>-0.035</w:t>
            </w:r>
          </w:p>
        </w:tc>
        <w:tc>
          <w:tcPr>
            <w:tcW w:w="0" w:type="auto"/>
            <w:tcBorders>
              <w:top w:val="nil"/>
              <w:left w:val="nil"/>
              <w:bottom w:val="nil"/>
              <w:right w:val="nil"/>
            </w:tcBorders>
          </w:tcPr>
          <w:p w14:paraId="1FE1C921" w14:textId="4B8CFC04" w:rsidR="00DA49A4" w:rsidRPr="00AD55AA" w:rsidRDefault="0048031F" w:rsidP="00DA49A4">
            <w:pPr>
              <w:widowControl w:val="0"/>
              <w:autoSpaceDE w:val="0"/>
              <w:autoSpaceDN w:val="0"/>
              <w:adjustRightInd w:val="0"/>
              <w:jc w:val="center"/>
              <w:rPr>
                <w:sz w:val="22"/>
                <w:szCs w:val="22"/>
              </w:rPr>
            </w:pPr>
            <w:r>
              <w:rPr>
                <w:sz w:val="22"/>
                <w:szCs w:val="22"/>
              </w:rPr>
              <w:t>-0.036</w:t>
            </w:r>
          </w:p>
        </w:tc>
      </w:tr>
      <w:tr w:rsidR="00DA49A4" w:rsidRPr="00AD55AA" w14:paraId="247F98E9" w14:textId="77777777" w:rsidTr="00DD777B">
        <w:trPr>
          <w:jc w:val="center"/>
        </w:trPr>
        <w:tc>
          <w:tcPr>
            <w:tcW w:w="0" w:type="auto"/>
            <w:tcBorders>
              <w:top w:val="nil"/>
              <w:left w:val="nil"/>
              <w:bottom w:val="nil"/>
              <w:right w:val="nil"/>
            </w:tcBorders>
          </w:tcPr>
          <w:p w14:paraId="42DC046F" w14:textId="77777777" w:rsidR="00DA49A4" w:rsidRPr="00AD55AA" w:rsidRDefault="00DA49A4" w:rsidP="00DA49A4">
            <w:pPr>
              <w:widowControl w:val="0"/>
              <w:autoSpaceDE w:val="0"/>
              <w:autoSpaceDN w:val="0"/>
              <w:adjustRightInd w:val="0"/>
              <w:rPr>
                <w:sz w:val="22"/>
                <w:szCs w:val="22"/>
              </w:rPr>
            </w:pPr>
          </w:p>
        </w:tc>
        <w:tc>
          <w:tcPr>
            <w:tcW w:w="0" w:type="auto"/>
            <w:tcBorders>
              <w:top w:val="nil"/>
              <w:left w:val="nil"/>
              <w:bottom w:val="nil"/>
              <w:right w:val="nil"/>
            </w:tcBorders>
          </w:tcPr>
          <w:p w14:paraId="0DA2E47A" w14:textId="579A3BE7" w:rsidR="00DA49A4" w:rsidRPr="00AD55AA" w:rsidRDefault="00DA49A4" w:rsidP="00DA49A4">
            <w:pPr>
              <w:widowControl w:val="0"/>
              <w:autoSpaceDE w:val="0"/>
              <w:autoSpaceDN w:val="0"/>
              <w:adjustRightInd w:val="0"/>
              <w:jc w:val="center"/>
              <w:rPr>
                <w:sz w:val="22"/>
                <w:szCs w:val="22"/>
              </w:rPr>
            </w:pPr>
            <w:r w:rsidRPr="00F573BE">
              <w:rPr>
                <w:sz w:val="22"/>
                <w:szCs w:val="22"/>
              </w:rPr>
              <w:t>(-1.03)</w:t>
            </w:r>
          </w:p>
        </w:tc>
        <w:tc>
          <w:tcPr>
            <w:tcW w:w="0" w:type="auto"/>
            <w:tcBorders>
              <w:top w:val="nil"/>
              <w:left w:val="nil"/>
              <w:bottom w:val="nil"/>
              <w:right w:val="nil"/>
            </w:tcBorders>
          </w:tcPr>
          <w:p w14:paraId="3D23E11B" w14:textId="70BEED42" w:rsidR="00DA49A4" w:rsidRPr="00AD55AA" w:rsidRDefault="0048031F" w:rsidP="00DA49A4">
            <w:pPr>
              <w:widowControl w:val="0"/>
              <w:autoSpaceDE w:val="0"/>
              <w:autoSpaceDN w:val="0"/>
              <w:adjustRightInd w:val="0"/>
              <w:jc w:val="center"/>
              <w:rPr>
                <w:sz w:val="22"/>
                <w:szCs w:val="22"/>
              </w:rPr>
            </w:pPr>
            <w:r>
              <w:rPr>
                <w:sz w:val="22"/>
                <w:szCs w:val="22"/>
              </w:rPr>
              <w:t>(-1.24</w:t>
            </w:r>
            <w:r w:rsidR="00DA49A4" w:rsidRPr="00AD55AA">
              <w:rPr>
                <w:sz w:val="22"/>
                <w:szCs w:val="22"/>
              </w:rPr>
              <w:t>)</w:t>
            </w:r>
          </w:p>
        </w:tc>
      </w:tr>
      <w:tr w:rsidR="00233992" w:rsidRPr="00AD55AA" w14:paraId="5BAC3039" w14:textId="77777777" w:rsidTr="00DD777B">
        <w:trPr>
          <w:jc w:val="center"/>
        </w:trPr>
        <w:tc>
          <w:tcPr>
            <w:tcW w:w="0" w:type="auto"/>
            <w:tcBorders>
              <w:top w:val="nil"/>
              <w:left w:val="nil"/>
              <w:bottom w:val="nil"/>
              <w:right w:val="nil"/>
            </w:tcBorders>
          </w:tcPr>
          <w:p w14:paraId="0D2EF5D1" w14:textId="77777777" w:rsidR="00233992" w:rsidRPr="00AD55AA" w:rsidRDefault="00233992" w:rsidP="00233992">
            <w:pPr>
              <w:widowControl w:val="0"/>
              <w:autoSpaceDE w:val="0"/>
              <w:autoSpaceDN w:val="0"/>
              <w:adjustRightInd w:val="0"/>
              <w:rPr>
                <w:sz w:val="22"/>
                <w:szCs w:val="22"/>
              </w:rPr>
            </w:pPr>
          </w:p>
        </w:tc>
        <w:tc>
          <w:tcPr>
            <w:tcW w:w="0" w:type="auto"/>
            <w:tcBorders>
              <w:top w:val="nil"/>
              <w:left w:val="nil"/>
              <w:bottom w:val="nil"/>
              <w:right w:val="nil"/>
            </w:tcBorders>
          </w:tcPr>
          <w:p w14:paraId="5D98FE88" w14:textId="77777777" w:rsidR="00233992" w:rsidRPr="00AD55AA" w:rsidRDefault="00233992" w:rsidP="00233992">
            <w:pPr>
              <w:widowControl w:val="0"/>
              <w:autoSpaceDE w:val="0"/>
              <w:autoSpaceDN w:val="0"/>
              <w:adjustRightInd w:val="0"/>
              <w:jc w:val="center"/>
              <w:rPr>
                <w:sz w:val="22"/>
                <w:szCs w:val="22"/>
              </w:rPr>
            </w:pPr>
          </w:p>
        </w:tc>
        <w:tc>
          <w:tcPr>
            <w:tcW w:w="0" w:type="auto"/>
            <w:tcBorders>
              <w:top w:val="nil"/>
              <w:left w:val="nil"/>
              <w:bottom w:val="nil"/>
              <w:right w:val="nil"/>
            </w:tcBorders>
          </w:tcPr>
          <w:p w14:paraId="51699CAB" w14:textId="77777777" w:rsidR="00233992" w:rsidRPr="00AD55AA" w:rsidRDefault="00233992" w:rsidP="00233992">
            <w:pPr>
              <w:widowControl w:val="0"/>
              <w:autoSpaceDE w:val="0"/>
              <w:autoSpaceDN w:val="0"/>
              <w:adjustRightInd w:val="0"/>
              <w:jc w:val="center"/>
              <w:rPr>
                <w:sz w:val="22"/>
                <w:szCs w:val="22"/>
              </w:rPr>
            </w:pPr>
          </w:p>
        </w:tc>
      </w:tr>
      <w:tr w:rsidR="00233992" w:rsidRPr="00AD55AA" w14:paraId="186B6DCB" w14:textId="77777777" w:rsidTr="00DD777B">
        <w:trPr>
          <w:jc w:val="center"/>
        </w:trPr>
        <w:tc>
          <w:tcPr>
            <w:tcW w:w="0" w:type="auto"/>
            <w:tcBorders>
              <w:top w:val="nil"/>
              <w:left w:val="nil"/>
              <w:bottom w:val="nil"/>
              <w:right w:val="nil"/>
            </w:tcBorders>
          </w:tcPr>
          <w:p w14:paraId="10FE47D5" w14:textId="77B42365" w:rsidR="00233992" w:rsidRPr="00AD55AA" w:rsidRDefault="00233992" w:rsidP="00233992">
            <w:pPr>
              <w:widowControl w:val="0"/>
              <w:autoSpaceDE w:val="0"/>
              <w:autoSpaceDN w:val="0"/>
              <w:adjustRightInd w:val="0"/>
              <w:rPr>
                <w:sz w:val="22"/>
                <w:szCs w:val="22"/>
              </w:rPr>
            </w:pPr>
            <w:r w:rsidRPr="00AD55AA">
              <w:rPr>
                <w:sz w:val="22"/>
                <w:szCs w:val="22"/>
              </w:rPr>
              <w:t>Control variables</w:t>
            </w:r>
          </w:p>
        </w:tc>
        <w:tc>
          <w:tcPr>
            <w:tcW w:w="0" w:type="auto"/>
            <w:tcBorders>
              <w:top w:val="nil"/>
              <w:left w:val="nil"/>
              <w:bottom w:val="nil"/>
              <w:right w:val="nil"/>
            </w:tcBorders>
          </w:tcPr>
          <w:p w14:paraId="061663B7" w14:textId="4D89A64A" w:rsidR="00233992" w:rsidRPr="00AD55AA" w:rsidRDefault="00233992" w:rsidP="00233992">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23FC12D6" w14:textId="22F5CC0B" w:rsidR="00233992" w:rsidRPr="00AD55AA" w:rsidRDefault="00233992" w:rsidP="00233992">
            <w:pPr>
              <w:widowControl w:val="0"/>
              <w:autoSpaceDE w:val="0"/>
              <w:autoSpaceDN w:val="0"/>
              <w:adjustRightInd w:val="0"/>
              <w:jc w:val="center"/>
              <w:rPr>
                <w:sz w:val="22"/>
                <w:szCs w:val="22"/>
              </w:rPr>
            </w:pPr>
            <w:r w:rsidRPr="00AD55AA">
              <w:rPr>
                <w:sz w:val="22"/>
                <w:szCs w:val="22"/>
              </w:rPr>
              <w:t>Yes</w:t>
            </w:r>
          </w:p>
        </w:tc>
      </w:tr>
      <w:tr w:rsidR="00233992" w:rsidRPr="00AD55AA" w14:paraId="2FE0D47D" w14:textId="77777777" w:rsidTr="00DD777B">
        <w:trPr>
          <w:jc w:val="center"/>
        </w:trPr>
        <w:tc>
          <w:tcPr>
            <w:tcW w:w="0" w:type="auto"/>
            <w:tcBorders>
              <w:top w:val="nil"/>
              <w:left w:val="nil"/>
              <w:bottom w:val="nil"/>
              <w:right w:val="nil"/>
            </w:tcBorders>
          </w:tcPr>
          <w:p w14:paraId="110707DC" w14:textId="6B04E2C9" w:rsidR="00233992" w:rsidRPr="00AD55AA" w:rsidRDefault="00233992" w:rsidP="00233992">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55C52BC2" w14:textId="5ACE745F" w:rsidR="00233992" w:rsidRPr="00AD55AA" w:rsidRDefault="00233992" w:rsidP="00233992">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082C8B18" w14:textId="2F2FF41D" w:rsidR="00233992" w:rsidRPr="00AD55AA" w:rsidRDefault="00233992" w:rsidP="00233992">
            <w:pPr>
              <w:widowControl w:val="0"/>
              <w:autoSpaceDE w:val="0"/>
              <w:autoSpaceDN w:val="0"/>
              <w:adjustRightInd w:val="0"/>
              <w:jc w:val="center"/>
              <w:rPr>
                <w:sz w:val="22"/>
                <w:szCs w:val="22"/>
              </w:rPr>
            </w:pPr>
            <w:r w:rsidRPr="00AD55AA">
              <w:rPr>
                <w:sz w:val="22"/>
                <w:szCs w:val="22"/>
              </w:rPr>
              <w:t>Yes</w:t>
            </w:r>
          </w:p>
        </w:tc>
      </w:tr>
      <w:tr w:rsidR="00233992" w:rsidRPr="00AD55AA" w14:paraId="0DC3A247" w14:textId="77777777" w:rsidTr="00DD777B">
        <w:trPr>
          <w:jc w:val="center"/>
        </w:trPr>
        <w:tc>
          <w:tcPr>
            <w:tcW w:w="0" w:type="auto"/>
            <w:tcBorders>
              <w:top w:val="nil"/>
              <w:left w:val="nil"/>
              <w:bottom w:val="nil"/>
              <w:right w:val="nil"/>
            </w:tcBorders>
          </w:tcPr>
          <w:p w14:paraId="5F447ECC" w14:textId="1EE6BE98" w:rsidR="00233992" w:rsidRPr="00AD55AA" w:rsidRDefault="00233992" w:rsidP="00233992">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bottom w:val="nil"/>
              <w:right w:val="nil"/>
            </w:tcBorders>
          </w:tcPr>
          <w:p w14:paraId="61C14B92" w14:textId="3C4E87BD" w:rsidR="00233992" w:rsidRPr="00AD55AA" w:rsidRDefault="00233992" w:rsidP="00233992">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4F7D1CB8" w14:textId="7B074FC5" w:rsidR="00233992" w:rsidRPr="00AD55AA" w:rsidRDefault="00233992" w:rsidP="00233992">
            <w:pPr>
              <w:widowControl w:val="0"/>
              <w:autoSpaceDE w:val="0"/>
              <w:autoSpaceDN w:val="0"/>
              <w:adjustRightInd w:val="0"/>
              <w:jc w:val="center"/>
              <w:rPr>
                <w:sz w:val="22"/>
                <w:szCs w:val="22"/>
              </w:rPr>
            </w:pPr>
            <w:r w:rsidRPr="00AD55AA">
              <w:rPr>
                <w:sz w:val="22"/>
                <w:szCs w:val="22"/>
              </w:rPr>
              <w:t>Yes</w:t>
            </w:r>
          </w:p>
        </w:tc>
      </w:tr>
      <w:tr w:rsidR="00233992" w:rsidRPr="00AD55AA" w14:paraId="353E0DCD" w14:textId="77777777" w:rsidTr="00681A7B">
        <w:trPr>
          <w:jc w:val="center"/>
        </w:trPr>
        <w:tc>
          <w:tcPr>
            <w:tcW w:w="0" w:type="auto"/>
            <w:tcBorders>
              <w:top w:val="nil"/>
              <w:left w:val="nil"/>
              <w:bottom w:val="nil"/>
              <w:right w:val="nil"/>
            </w:tcBorders>
          </w:tcPr>
          <w:p w14:paraId="253532B2" w14:textId="77777777" w:rsidR="00233992" w:rsidRPr="00AD55AA" w:rsidRDefault="00233992" w:rsidP="00233992">
            <w:pPr>
              <w:widowControl w:val="0"/>
              <w:autoSpaceDE w:val="0"/>
              <w:autoSpaceDN w:val="0"/>
              <w:adjustRightInd w:val="0"/>
              <w:rPr>
                <w:sz w:val="22"/>
                <w:szCs w:val="22"/>
              </w:rPr>
            </w:pPr>
            <w:r w:rsidRPr="00AD55AA">
              <w:rPr>
                <w:sz w:val="22"/>
                <w:szCs w:val="22"/>
              </w:rPr>
              <w:t>Observations</w:t>
            </w:r>
          </w:p>
        </w:tc>
        <w:tc>
          <w:tcPr>
            <w:tcW w:w="0" w:type="auto"/>
            <w:tcBorders>
              <w:top w:val="nil"/>
              <w:left w:val="nil"/>
              <w:bottom w:val="nil"/>
              <w:right w:val="nil"/>
            </w:tcBorders>
          </w:tcPr>
          <w:p w14:paraId="04E69349" w14:textId="2293D3CD" w:rsidR="00233992" w:rsidRPr="00AD55AA" w:rsidRDefault="00233992" w:rsidP="00233992">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bottom w:val="nil"/>
              <w:right w:val="nil"/>
            </w:tcBorders>
          </w:tcPr>
          <w:p w14:paraId="1CAD08FA" w14:textId="39F19DBA" w:rsidR="00233992" w:rsidRPr="00AD55AA" w:rsidRDefault="00233992" w:rsidP="00233992">
            <w:pPr>
              <w:widowControl w:val="0"/>
              <w:autoSpaceDE w:val="0"/>
              <w:autoSpaceDN w:val="0"/>
              <w:adjustRightInd w:val="0"/>
              <w:jc w:val="center"/>
              <w:rPr>
                <w:sz w:val="22"/>
                <w:szCs w:val="22"/>
              </w:rPr>
            </w:pPr>
            <w:r w:rsidRPr="00AD55AA">
              <w:rPr>
                <w:sz w:val="22"/>
                <w:szCs w:val="22"/>
              </w:rPr>
              <w:t>41,918</w:t>
            </w:r>
          </w:p>
        </w:tc>
      </w:tr>
      <w:tr w:rsidR="00233992" w:rsidRPr="00AD55AA" w14:paraId="132B589C" w14:textId="77777777" w:rsidTr="00681A7B">
        <w:trPr>
          <w:jc w:val="center"/>
        </w:trPr>
        <w:tc>
          <w:tcPr>
            <w:tcW w:w="0" w:type="auto"/>
            <w:tcBorders>
              <w:top w:val="nil"/>
              <w:left w:val="nil"/>
              <w:bottom w:val="single" w:sz="4" w:space="0" w:color="auto"/>
              <w:right w:val="nil"/>
            </w:tcBorders>
          </w:tcPr>
          <w:p w14:paraId="28A4470B" w14:textId="77777777" w:rsidR="00233992" w:rsidRPr="00AD55AA" w:rsidRDefault="00233992" w:rsidP="00233992">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4146351B" w14:textId="3F8F0C3D" w:rsidR="00233992" w:rsidRPr="00AD55AA" w:rsidRDefault="00DA49A4" w:rsidP="00233992">
            <w:pPr>
              <w:widowControl w:val="0"/>
              <w:autoSpaceDE w:val="0"/>
              <w:autoSpaceDN w:val="0"/>
              <w:adjustRightInd w:val="0"/>
              <w:jc w:val="center"/>
              <w:rPr>
                <w:sz w:val="22"/>
                <w:szCs w:val="22"/>
              </w:rPr>
            </w:pPr>
            <w:r w:rsidRPr="00F573BE">
              <w:rPr>
                <w:sz w:val="22"/>
                <w:szCs w:val="22"/>
              </w:rPr>
              <w:t>0.2102</w:t>
            </w:r>
          </w:p>
        </w:tc>
        <w:tc>
          <w:tcPr>
            <w:tcW w:w="0" w:type="auto"/>
            <w:tcBorders>
              <w:top w:val="nil"/>
              <w:left w:val="nil"/>
              <w:bottom w:val="single" w:sz="4" w:space="0" w:color="auto"/>
              <w:right w:val="nil"/>
            </w:tcBorders>
          </w:tcPr>
          <w:p w14:paraId="3D702AEB" w14:textId="0C9AD2C7" w:rsidR="00233992" w:rsidRPr="00AD55AA" w:rsidRDefault="0048031F" w:rsidP="00233992">
            <w:pPr>
              <w:widowControl w:val="0"/>
              <w:autoSpaceDE w:val="0"/>
              <w:autoSpaceDN w:val="0"/>
              <w:adjustRightInd w:val="0"/>
              <w:jc w:val="center"/>
              <w:rPr>
                <w:sz w:val="22"/>
                <w:szCs w:val="22"/>
              </w:rPr>
            </w:pPr>
            <w:r>
              <w:rPr>
                <w:sz w:val="22"/>
                <w:szCs w:val="22"/>
              </w:rPr>
              <w:t>0.2108</w:t>
            </w:r>
          </w:p>
        </w:tc>
      </w:tr>
      <w:tr w:rsidR="00681A7B" w:rsidRPr="00AD55AA" w14:paraId="3FA461E4" w14:textId="77777777" w:rsidTr="00681A7B">
        <w:trPr>
          <w:jc w:val="center"/>
        </w:trPr>
        <w:tc>
          <w:tcPr>
            <w:tcW w:w="0" w:type="auto"/>
            <w:tcBorders>
              <w:top w:val="single" w:sz="4" w:space="0" w:color="auto"/>
              <w:left w:val="nil"/>
              <w:bottom w:val="nil"/>
              <w:right w:val="nil"/>
            </w:tcBorders>
          </w:tcPr>
          <w:p w14:paraId="10290DCB" w14:textId="77777777" w:rsidR="00681A7B" w:rsidRPr="00AD55AA" w:rsidRDefault="00681A7B" w:rsidP="00233992">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1202F167" w14:textId="77777777" w:rsidR="00681A7B" w:rsidRPr="00AD55AA" w:rsidRDefault="00681A7B" w:rsidP="00233992">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15F3A8EE" w14:textId="77777777" w:rsidR="00681A7B" w:rsidRPr="00AD55AA" w:rsidRDefault="00681A7B" w:rsidP="00233992">
            <w:pPr>
              <w:widowControl w:val="0"/>
              <w:autoSpaceDE w:val="0"/>
              <w:autoSpaceDN w:val="0"/>
              <w:adjustRightInd w:val="0"/>
              <w:jc w:val="center"/>
              <w:rPr>
                <w:sz w:val="22"/>
                <w:szCs w:val="22"/>
              </w:rPr>
            </w:pPr>
          </w:p>
        </w:tc>
      </w:tr>
      <w:tr w:rsidR="00681A7B" w:rsidRPr="00AD55AA" w14:paraId="671661DF" w14:textId="77777777" w:rsidTr="00681A7B">
        <w:trPr>
          <w:jc w:val="center"/>
        </w:trPr>
        <w:tc>
          <w:tcPr>
            <w:tcW w:w="0" w:type="auto"/>
            <w:gridSpan w:val="3"/>
            <w:tcBorders>
              <w:top w:val="nil"/>
              <w:left w:val="nil"/>
              <w:bottom w:val="nil"/>
              <w:right w:val="nil"/>
            </w:tcBorders>
            <w:vAlign w:val="center"/>
          </w:tcPr>
          <w:p w14:paraId="250C61F3" w14:textId="0E06562B" w:rsidR="00681A7B" w:rsidRPr="00AD55AA" w:rsidRDefault="008B3A20" w:rsidP="00681A7B">
            <w:pPr>
              <w:widowControl w:val="0"/>
              <w:autoSpaceDE w:val="0"/>
              <w:autoSpaceDN w:val="0"/>
              <w:adjustRightInd w:val="0"/>
              <w:jc w:val="both"/>
              <w:rPr>
                <w:sz w:val="22"/>
                <w:szCs w:val="22"/>
              </w:rPr>
            </w:pPr>
            <w:r>
              <w:rPr>
                <w:bCs/>
                <w:sz w:val="22"/>
                <w:szCs w:val="22"/>
              </w:rPr>
              <w:t>This</w:t>
            </w:r>
            <w:r w:rsidR="00681A7B" w:rsidRPr="003D41AE">
              <w:rPr>
                <w:bCs/>
                <w:sz w:val="22"/>
                <w:szCs w:val="22"/>
              </w:rPr>
              <w:t xml:space="preserve"> table presents </w:t>
            </w:r>
            <w:r w:rsidR="00681A7B" w:rsidRPr="00AD55AA">
              <w:rPr>
                <w:sz w:val="22"/>
                <w:szCs w:val="22"/>
              </w:rPr>
              <w:t>the results of the difference-and-differences analysis comparing investments of the treatment group to investments of the control group</w:t>
            </w:r>
            <w:r w:rsidR="00681A7B">
              <w:rPr>
                <w:sz w:val="22"/>
                <w:szCs w:val="22"/>
              </w:rPr>
              <w:t>. We include</w:t>
            </w:r>
            <w:r w:rsidR="00681A7B" w:rsidRPr="00AD55AA">
              <w:rPr>
                <w:sz w:val="22"/>
                <w:szCs w:val="22"/>
              </w:rPr>
              <w:t xml:space="preserve"> indicator time variables that capture the effects before and after the shock. The shock events are CFIUS interventions. </w:t>
            </w:r>
            <w:r w:rsidR="00A665A3">
              <w:rPr>
                <w:sz w:val="22"/>
                <w:szCs w:val="22"/>
              </w:rPr>
              <w:t>In c</w:t>
            </w:r>
            <w:r w:rsidR="00681A7B">
              <w:rPr>
                <w:sz w:val="22"/>
                <w:szCs w:val="22"/>
              </w:rPr>
              <w:t>olumn 2, w</w:t>
            </w:r>
            <w:r w:rsidR="00681A7B" w:rsidRPr="00AD55AA">
              <w:rPr>
                <w:sz w:val="22"/>
                <w:szCs w:val="22"/>
              </w:rPr>
              <w:t>e follow the methodology of Sun and Abraham (2021).</w:t>
            </w:r>
            <w:r w:rsidR="00681A7B">
              <w:rPr>
                <w:sz w:val="22"/>
                <w:szCs w:val="22"/>
              </w:rPr>
              <w:t xml:space="preserve"> </w:t>
            </w:r>
            <w:r w:rsidR="00681A7B" w:rsidRPr="00AD55AA">
              <w:rPr>
                <w:sz w:val="22"/>
                <w:szCs w:val="22"/>
              </w:rPr>
              <w:t>Please refer to Appendix C for variable definitions and data sources. Specifications include the full set of control variables, but results are not presented for parsimony.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7DA0F6CA" w14:textId="00F306FB" w:rsidR="004E77FC" w:rsidRPr="00AD55AA" w:rsidRDefault="004E77FC">
      <w:pPr>
        <w:spacing w:after="160" w:line="259" w:lineRule="auto"/>
        <w:rPr>
          <w:sz w:val="22"/>
          <w:szCs w:val="22"/>
        </w:rPr>
      </w:pPr>
    </w:p>
    <w:p w14:paraId="5EC715DD" w14:textId="76FC1806" w:rsidR="00AA3551" w:rsidRDefault="004E77FC">
      <w:pPr>
        <w:spacing w:after="160" w:line="259" w:lineRule="auto"/>
        <w:rPr>
          <w:sz w:val="22"/>
          <w:szCs w:val="22"/>
        </w:rPr>
      </w:pPr>
      <w:r w:rsidRPr="00AD55AA">
        <w:rPr>
          <w:sz w:val="22"/>
          <w:szCs w:val="22"/>
        </w:rPr>
        <w:br w:type="page"/>
      </w:r>
    </w:p>
    <w:p w14:paraId="403282CF" w14:textId="478D9DB6" w:rsidR="00DE3298" w:rsidRDefault="00DE3298">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3836"/>
        <w:gridCol w:w="354"/>
        <w:gridCol w:w="353"/>
        <w:gridCol w:w="2208"/>
        <w:gridCol w:w="2316"/>
      </w:tblGrid>
      <w:tr w:rsidR="00DE3298" w:rsidRPr="00481A68" w14:paraId="3DAF624D" w14:textId="77777777" w:rsidTr="00315197">
        <w:trPr>
          <w:jc w:val="center"/>
        </w:trPr>
        <w:tc>
          <w:tcPr>
            <w:tcW w:w="0" w:type="auto"/>
            <w:tcBorders>
              <w:left w:val="nil"/>
              <w:right w:val="nil"/>
            </w:tcBorders>
          </w:tcPr>
          <w:p w14:paraId="6FD4DB9E" w14:textId="559E63FC" w:rsidR="00DE3298" w:rsidRPr="00481A68" w:rsidRDefault="00DE3298" w:rsidP="008B3A20">
            <w:pPr>
              <w:widowControl w:val="0"/>
              <w:autoSpaceDE w:val="0"/>
              <w:autoSpaceDN w:val="0"/>
              <w:adjustRightInd w:val="0"/>
              <w:rPr>
                <w:sz w:val="22"/>
                <w:szCs w:val="22"/>
              </w:rPr>
            </w:pPr>
            <w:r w:rsidRPr="00481A68">
              <w:rPr>
                <w:b/>
                <w:sz w:val="22"/>
                <w:szCs w:val="22"/>
              </w:rPr>
              <w:t xml:space="preserve">Table </w:t>
            </w:r>
            <w:r w:rsidR="008B3A20">
              <w:rPr>
                <w:b/>
                <w:sz w:val="22"/>
                <w:szCs w:val="22"/>
              </w:rPr>
              <w:t>7</w:t>
            </w:r>
          </w:p>
        </w:tc>
        <w:tc>
          <w:tcPr>
            <w:tcW w:w="0" w:type="auto"/>
            <w:gridSpan w:val="2"/>
            <w:tcBorders>
              <w:left w:val="nil"/>
              <w:right w:val="nil"/>
            </w:tcBorders>
          </w:tcPr>
          <w:p w14:paraId="53FA1F61" w14:textId="77777777" w:rsidR="00DE3298" w:rsidRPr="00481A68" w:rsidRDefault="00DE3298" w:rsidP="00315197">
            <w:pPr>
              <w:widowControl w:val="0"/>
              <w:autoSpaceDE w:val="0"/>
              <w:autoSpaceDN w:val="0"/>
              <w:adjustRightInd w:val="0"/>
              <w:jc w:val="center"/>
              <w:rPr>
                <w:sz w:val="22"/>
                <w:szCs w:val="22"/>
              </w:rPr>
            </w:pPr>
          </w:p>
        </w:tc>
        <w:tc>
          <w:tcPr>
            <w:tcW w:w="0" w:type="auto"/>
            <w:gridSpan w:val="2"/>
            <w:tcBorders>
              <w:left w:val="nil"/>
              <w:right w:val="nil"/>
            </w:tcBorders>
          </w:tcPr>
          <w:p w14:paraId="3D92A421" w14:textId="77777777" w:rsidR="00DE3298" w:rsidRPr="00481A68" w:rsidRDefault="00DE3298" w:rsidP="00315197">
            <w:pPr>
              <w:widowControl w:val="0"/>
              <w:autoSpaceDE w:val="0"/>
              <w:autoSpaceDN w:val="0"/>
              <w:adjustRightInd w:val="0"/>
              <w:jc w:val="center"/>
              <w:rPr>
                <w:sz w:val="22"/>
                <w:szCs w:val="22"/>
              </w:rPr>
            </w:pPr>
          </w:p>
        </w:tc>
      </w:tr>
      <w:tr w:rsidR="00DE3298" w:rsidRPr="00481A68" w14:paraId="1885F4B9" w14:textId="77777777" w:rsidTr="00315197">
        <w:trPr>
          <w:jc w:val="center"/>
        </w:trPr>
        <w:tc>
          <w:tcPr>
            <w:tcW w:w="0" w:type="auto"/>
            <w:gridSpan w:val="5"/>
            <w:tcBorders>
              <w:left w:val="nil"/>
              <w:right w:val="nil"/>
            </w:tcBorders>
          </w:tcPr>
          <w:p w14:paraId="0C5AF56C" w14:textId="59810A22" w:rsidR="00DE3298" w:rsidRPr="00481A68" w:rsidRDefault="00DE3298" w:rsidP="00315197">
            <w:pPr>
              <w:widowControl w:val="0"/>
              <w:autoSpaceDE w:val="0"/>
              <w:autoSpaceDN w:val="0"/>
              <w:adjustRightInd w:val="0"/>
              <w:rPr>
                <w:sz w:val="22"/>
                <w:szCs w:val="22"/>
              </w:rPr>
            </w:pPr>
            <w:r w:rsidRPr="00481A68">
              <w:rPr>
                <w:b/>
                <w:sz w:val="22"/>
                <w:szCs w:val="22"/>
              </w:rPr>
              <w:t xml:space="preserve">2016 </w:t>
            </w:r>
            <w:r w:rsidR="00A73AC8">
              <w:rPr>
                <w:b/>
                <w:sz w:val="22"/>
                <w:szCs w:val="22"/>
              </w:rPr>
              <w:t>U</w:t>
            </w:r>
            <w:r w:rsidR="008A3E91">
              <w:rPr>
                <w:b/>
                <w:sz w:val="22"/>
                <w:szCs w:val="22"/>
              </w:rPr>
              <w:t>.</w:t>
            </w:r>
            <w:r w:rsidR="00A73AC8">
              <w:rPr>
                <w:b/>
                <w:sz w:val="22"/>
                <w:szCs w:val="22"/>
              </w:rPr>
              <w:t>S</w:t>
            </w:r>
            <w:r w:rsidR="008A3E91">
              <w:rPr>
                <w:b/>
                <w:sz w:val="22"/>
                <w:szCs w:val="22"/>
              </w:rPr>
              <w:t>.</w:t>
            </w:r>
            <w:r w:rsidR="00A73AC8">
              <w:rPr>
                <w:b/>
                <w:sz w:val="22"/>
                <w:szCs w:val="22"/>
              </w:rPr>
              <w:t xml:space="preserve"> </w:t>
            </w:r>
            <w:r w:rsidRPr="00481A68">
              <w:rPr>
                <w:b/>
                <w:sz w:val="22"/>
                <w:szCs w:val="22"/>
              </w:rPr>
              <w:t>presidential election</w:t>
            </w:r>
          </w:p>
        </w:tc>
      </w:tr>
      <w:tr w:rsidR="00DE3298" w:rsidRPr="00481A68" w14:paraId="52DE8814" w14:textId="77777777" w:rsidTr="00C22349">
        <w:trPr>
          <w:jc w:val="center"/>
        </w:trPr>
        <w:tc>
          <w:tcPr>
            <w:tcW w:w="0" w:type="auto"/>
            <w:tcBorders>
              <w:left w:val="nil"/>
              <w:bottom w:val="single" w:sz="4" w:space="0" w:color="auto"/>
              <w:right w:val="nil"/>
            </w:tcBorders>
          </w:tcPr>
          <w:p w14:paraId="0E5DFC30" w14:textId="77777777" w:rsidR="00DE3298" w:rsidRPr="00481A68" w:rsidRDefault="00DE3298" w:rsidP="00315197">
            <w:pPr>
              <w:widowControl w:val="0"/>
              <w:autoSpaceDE w:val="0"/>
              <w:autoSpaceDN w:val="0"/>
              <w:adjustRightInd w:val="0"/>
              <w:rPr>
                <w:sz w:val="22"/>
                <w:szCs w:val="22"/>
              </w:rPr>
            </w:pPr>
          </w:p>
        </w:tc>
        <w:tc>
          <w:tcPr>
            <w:tcW w:w="0" w:type="auto"/>
            <w:gridSpan w:val="2"/>
            <w:tcBorders>
              <w:left w:val="nil"/>
              <w:bottom w:val="single" w:sz="4" w:space="0" w:color="auto"/>
              <w:right w:val="nil"/>
            </w:tcBorders>
          </w:tcPr>
          <w:p w14:paraId="46A0690C" w14:textId="77777777" w:rsidR="00DE3298" w:rsidRPr="00481A68" w:rsidRDefault="00DE3298" w:rsidP="00315197">
            <w:pPr>
              <w:widowControl w:val="0"/>
              <w:autoSpaceDE w:val="0"/>
              <w:autoSpaceDN w:val="0"/>
              <w:adjustRightInd w:val="0"/>
              <w:jc w:val="center"/>
              <w:rPr>
                <w:sz w:val="22"/>
                <w:szCs w:val="22"/>
              </w:rPr>
            </w:pPr>
          </w:p>
        </w:tc>
        <w:tc>
          <w:tcPr>
            <w:tcW w:w="0" w:type="auto"/>
            <w:gridSpan w:val="2"/>
            <w:tcBorders>
              <w:left w:val="nil"/>
              <w:bottom w:val="single" w:sz="4" w:space="0" w:color="auto"/>
              <w:right w:val="nil"/>
            </w:tcBorders>
          </w:tcPr>
          <w:p w14:paraId="12EAC043" w14:textId="77777777" w:rsidR="00DE3298" w:rsidRPr="00481A68" w:rsidRDefault="00DE3298" w:rsidP="00315197">
            <w:pPr>
              <w:widowControl w:val="0"/>
              <w:autoSpaceDE w:val="0"/>
              <w:autoSpaceDN w:val="0"/>
              <w:adjustRightInd w:val="0"/>
              <w:jc w:val="center"/>
              <w:rPr>
                <w:sz w:val="22"/>
                <w:szCs w:val="22"/>
              </w:rPr>
            </w:pPr>
          </w:p>
        </w:tc>
      </w:tr>
      <w:tr w:rsidR="00C22349" w:rsidRPr="00481A68" w14:paraId="7691CBAD" w14:textId="77777777" w:rsidTr="00C22349">
        <w:trPr>
          <w:jc w:val="center"/>
        </w:trPr>
        <w:tc>
          <w:tcPr>
            <w:tcW w:w="0" w:type="auto"/>
            <w:tcBorders>
              <w:top w:val="single" w:sz="4" w:space="0" w:color="auto"/>
              <w:left w:val="nil"/>
              <w:right w:val="nil"/>
            </w:tcBorders>
          </w:tcPr>
          <w:p w14:paraId="4A561F8F" w14:textId="77777777" w:rsidR="00C22349" w:rsidRPr="00481A68" w:rsidRDefault="00C22349" w:rsidP="00315197">
            <w:pPr>
              <w:widowControl w:val="0"/>
              <w:autoSpaceDE w:val="0"/>
              <w:autoSpaceDN w:val="0"/>
              <w:adjustRightInd w:val="0"/>
              <w:rPr>
                <w:sz w:val="22"/>
                <w:szCs w:val="22"/>
              </w:rPr>
            </w:pPr>
          </w:p>
        </w:tc>
        <w:tc>
          <w:tcPr>
            <w:tcW w:w="0" w:type="auto"/>
            <w:tcBorders>
              <w:top w:val="single" w:sz="4" w:space="0" w:color="auto"/>
              <w:left w:val="nil"/>
              <w:right w:val="nil"/>
            </w:tcBorders>
          </w:tcPr>
          <w:p w14:paraId="65059354" w14:textId="77777777" w:rsidR="00C22349" w:rsidRPr="00481A68" w:rsidRDefault="00C22349" w:rsidP="00315197">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21F1EA50" w14:textId="77777777" w:rsidR="00C22349" w:rsidRPr="00481A68" w:rsidRDefault="00C22349" w:rsidP="00315197">
            <w:pPr>
              <w:widowControl w:val="0"/>
              <w:autoSpaceDE w:val="0"/>
              <w:autoSpaceDN w:val="0"/>
              <w:adjustRightInd w:val="0"/>
              <w:jc w:val="center"/>
              <w:rPr>
                <w:sz w:val="22"/>
                <w:szCs w:val="22"/>
              </w:rPr>
            </w:pPr>
          </w:p>
        </w:tc>
        <w:tc>
          <w:tcPr>
            <w:tcW w:w="0" w:type="auto"/>
            <w:gridSpan w:val="2"/>
            <w:tcBorders>
              <w:top w:val="single" w:sz="4" w:space="0" w:color="auto"/>
              <w:left w:val="nil"/>
              <w:right w:val="nil"/>
            </w:tcBorders>
          </w:tcPr>
          <w:p w14:paraId="783078A8" w14:textId="68B7AAF0" w:rsidR="00C22349" w:rsidRPr="00481A68" w:rsidRDefault="00C22349" w:rsidP="00315197">
            <w:pPr>
              <w:widowControl w:val="0"/>
              <w:autoSpaceDE w:val="0"/>
              <w:autoSpaceDN w:val="0"/>
              <w:adjustRightInd w:val="0"/>
              <w:jc w:val="center"/>
              <w:rPr>
                <w:sz w:val="22"/>
                <w:szCs w:val="22"/>
              </w:rPr>
            </w:pPr>
            <w:r w:rsidRPr="00481A68">
              <w:rPr>
                <w:sz w:val="22"/>
                <w:szCs w:val="22"/>
              </w:rPr>
              <w:t>Capex</w:t>
            </w:r>
          </w:p>
        </w:tc>
      </w:tr>
      <w:tr w:rsidR="00DE3298" w:rsidRPr="00481A68" w14:paraId="3DD148DC" w14:textId="77777777" w:rsidTr="00C22349">
        <w:trPr>
          <w:jc w:val="center"/>
        </w:trPr>
        <w:tc>
          <w:tcPr>
            <w:tcW w:w="0" w:type="auto"/>
            <w:tcBorders>
              <w:left w:val="nil"/>
              <w:bottom w:val="single" w:sz="6" w:space="0" w:color="auto"/>
              <w:right w:val="nil"/>
            </w:tcBorders>
          </w:tcPr>
          <w:p w14:paraId="134B5EE2" w14:textId="77777777" w:rsidR="00DE3298" w:rsidRPr="00481A68" w:rsidRDefault="00DE3298" w:rsidP="00315197">
            <w:pPr>
              <w:widowControl w:val="0"/>
              <w:autoSpaceDE w:val="0"/>
              <w:autoSpaceDN w:val="0"/>
              <w:adjustRightInd w:val="0"/>
              <w:rPr>
                <w:sz w:val="22"/>
                <w:szCs w:val="22"/>
              </w:rPr>
            </w:pPr>
            <w:r w:rsidRPr="00481A68">
              <w:rPr>
                <w:sz w:val="22"/>
                <w:szCs w:val="22"/>
              </w:rPr>
              <w:t>Variable:</w:t>
            </w:r>
          </w:p>
        </w:tc>
        <w:tc>
          <w:tcPr>
            <w:tcW w:w="0" w:type="auto"/>
            <w:tcBorders>
              <w:left w:val="nil"/>
              <w:bottom w:val="single" w:sz="6" w:space="0" w:color="auto"/>
              <w:right w:val="nil"/>
            </w:tcBorders>
          </w:tcPr>
          <w:p w14:paraId="4D83B9AD" w14:textId="77777777" w:rsidR="00DE3298" w:rsidRPr="00481A68" w:rsidRDefault="00DE3298" w:rsidP="00315197">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5176F6D1" w14:textId="77777777" w:rsidR="00DE3298" w:rsidRPr="00481A68" w:rsidRDefault="00DE3298" w:rsidP="00315197">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5BE78904"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(1)</w:t>
            </w:r>
          </w:p>
        </w:tc>
        <w:tc>
          <w:tcPr>
            <w:tcW w:w="0" w:type="auto"/>
            <w:tcBorders>
              <w:left w:val="nil"/>
              <w:bottom w:val="single" w:sz="6" w:space="0" w:color="auto"/>
              <w:right w:val="nil"/>
            </w:tcBorders>
          </w:tcPr>
          <w:p w14:paraId="5C80372B"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(2)</w:t>
            </w:r>
          </w:p>
        </w:tc>
      </w:tr>
      <w:tr w:rsidR="00DE3298" w:rsidRPr="00481A68" w14:paraId="4468CEB6" w14:textId="77777777" w:rsidTr="00315197">
        <w:trPr>
          <w:jc w:val="center"/>
        </w:trPr>
        <w:tc>
          <w:tcPr>
            <w:tcW w:w="0" w:type="auto"/>
            <w:tcBorders>
              <w:top w:val="nil"/>
              <w:left w:val="nil"/>
              <w:bottom w:val="nil"/>
              <w:right w:val="nil"/>
            </w:tcBorders>
          </w:tcPr>
          <w:p w14:paraId="20E4EA67" w14:textId="77777777" w:rsidR="00DE3298" w:rsidRPr="00481A68" w:rsidRDefault="00DE3298" w:rsidP="00315197">
            <w:pPr>
              <w:widowControl w:val="0"/>
              <w:autoSpaceDE w:val="0"/>
              <w:autoSpaceDN w:val="0"/>
              <w:adjustRightInd w:val="0"/>
              <w:rPr>
                <w:sz w:val="22"/>
                <w:szCs w:val="22"/>
              </w:rPr>
            </w:pPr>
          </w:p>
        </w:tc>
        <w:tc>
          <w:tcPr>
            <w:tcW w:w="0" w:type="auto"/>
            <w:tcBorders>
              <w:top w:val="nil"/>
              <w:left w:val="nil"/>
              <w:bottom w:val="nil"/>
              <w:right w:val="nil"/>
            </w:tcBorders>
          </w:tcPr>
          <w:p w14:paraId="09013A07"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0F1BD266"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39633AD8"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2ED53541" w14:textId="77777777" w:rsidR="00DE3298" w:rsidRPr="00481A68" w:rsidRDefault="00DE3298" w:rsidP="00315197">
            <w:pPr>
              <w:widowControl w:val="0"/>
              <w:autoSpaceDE w:val="0"/>
              <w:autoSpaceDN w:val="0"/>
              <w:adjustRightInd w:val="0"/>
              <w:jc w:val="center"/>
              <w:rPr>
                <w:sz w:val="22"/>
                <w:szCs w:val="22"/>
              </w:rPr>
            </w:pPr>
          </w:p>
        </w:tc>
      </w:tr>
      <w:tr w:rsidR="00EF4F55" w:rsidRPr="00481A68" w14:paraId="6DA8D77E" w14:textId="77777777" w:rsidTr="00315197">
        <w:trPr>
          <w:jc w:val="center"/>
        </w:trPr>
        <w:tc>
          <w:tcPr>
            <w:tcW w:w="0" w:type="auto"/>
            <w:tcBorders>
              <w:top w:val="nil"/>
              <w:left w:val="nil"/>
              <w:bottom w:val="nil"/>
              <w:right w:val="nil"/>
            </w:tcBorders>
          </w:tcPr>
          <w:p w14:paraId="03CEFCA1" w14:textId="3CBBF8B3" w:rsidR="00EF4F55" w:rsidRPr="00481A68" w:rsidRDefault="00EF4F55" w:rsidP="00EF4F55">
            <w:pPr>
              <w:widowControl w:val="0"/>
              <w:autoSpaceDE w:val="0"/>
              <w:autoSpaceDN w:val="0"/>
              <w:adjustRightInd w:val="0"/>
              <w:rPr>
                <w:sz w:val="22"/>
                <w:szCs w:val="22"/>
              </w:rPr>
            </w:pPr>
            <w:r w:rsidRPr="00481A68">
              <w:rPr>
                <w:sz w:val="22"/>
                <w:szCs w:val="22"/>
              </w:rPr>
              <w:t xml:space="preserve">CFIUS </w:t>
            </w:r>
            <w:r>
              <w:rPr>
                <w:sz w:val="22"/>
                <w:szCs w:val="22"/>
              </w:rPr>
              <w:t xml:space="preserve">Trump </w:t>
            </w:r>
          </w:p>
        </w:tc>
        <w:tc>
          <w:tcPr>
            <w:tcW w:w="0" w:type="auto"/>
            <w:tcBorders>
              <w:top w:val="nil"/>
              <w:left w:val="nil"/>
              <w:bottom w:val="nil"/>
              <w:right w:val="nil"/>
            </w:tcBorders>
          </w:tcPr>
          <w:p w14:paraId="36BE5E2B"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02F5B82"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73D6536E" w14:textId="3690A723" w:rsidR="00EF4F55" w:rsidRPr="00481A68" w:rsidRDefault="00EF4F55" w:rsidP="00EF4F55">
            <w:pPr>
              <w:widowControl w:val="0"/>
              <w:autoSpaceDE w:val="0"/>
              <w:autoSpaceDN w:val="0"/>
              <w:adjustRightInd w:val="0"/>
              <w:jc w:val="center"/>
              <w:rPr>
                <w:sz w:val="22"/>
                <w:szCs w:val="22"/>
              </w:rPr>
            </w:pPr>
            <w:r w:rsidRPr="007C45D9">
              <w:rPr>
                <w:sz w:val="22"/>
              </w:rPr>
              <w:t>-0.092**</w:t>
            </w:r>
          </w:p>
        </w:tc>
        <w:tc>
          <w:tcPr>
            <w:tcW w:w="0" w:type="auto"/>
            <w:tcBorders>
              <w:top w:val="nil"/>
              <w:left w:val="nil"/>
              <w:bottom w:val="nil"/>
              <w:right w:val="nil"/>
            </w:tcBorders>
          </w:tcPr>
          <w:p w14:paraId="004B8E90" w14:textId="5AFADD94" w:rsidR="00EF4F55" w:rsidRPr="00481A68" w:rsidRDefault="00EF4F55" w:rsidP="00EF4F55">
            <w:pPr>
              <w:widowControl w:val="0"/>
              <w:autoSpaceDE w:val="0"/>
              <w:autoSpaceDN w:val="0"/>
              <w:adjustRightInd w:val="0"/>
              <w:jc w:val="center"/>
              <w:rPr>
                <w:sz w:val="22"/>
                <w:szCs w:val="22"/>
              </w:rPr>
            </w:pPr>
            <w:r w:rsidRPr="007C45D9">
              <w:rPr>
                <w:sz w:val="22"/>
              </w:rPr>
              <w:t>-0.083**</w:t>
            </w:r>
          </w:p>
        </w:tc>
      </w:tr>
      <w:tr w:rsidR="00EF4F55" w:rsidRPr="00481A68" w14:paraId="455E941E" w14:textId="77777777" w:rsidTr="00315197">
        <w:trPr>
          <w:jc w:val="center"/>
        </w:trPr>
        <w:tc>
          <w:tcPr>
            <w:tcW w:w="0" w:type="auto"/>
            <w:tcBorders>
              <w:top w:val="nil"/>
              <w:left w:val="nil"/>
              <w:bottom w:val="nil"/>
              <w:right w:val="nil"/>
            </w:tcBorders>
          </w:tcPr>
          <w:p w14:paraId="015FEAEC" w14:textId="77777777" w:rsidR="00EF4F55" w:rsidRPr="00481A68" w:rsidRDefault="00EF4F55" w:rsidP="00EF4F55">
            <w:pPr>
              <w:widowControl w:val="0"/>
              <w:autoSpaceDE w:val="0"/>
              <w:autoSpaceDN w:val="0"/>
              <w:adjustRightInd w:val="0"/>
              <w:rPr>
                <w:sz w:val="22"/>
                <w:szCs w:val="22"/>
              </w:rPr>
            </w:pPr>
          </w:p>
        </w:tc>
        <w:tc>
          <w:tcPr>
            <w:tcW w:w="0" w:type="auto"/>
            <w:tcBorders>
              <w:top w:val="nil"/>
              <w:left w:val="nil"/>
              <w:bottom w:val="nil"/>
              <w:right w:val="nil"/>
            </w:tcBorders>
          </w:tcPr>
          <w:p w14:paraId="57C4220B"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1A5AF6B0"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2EB67217" w14:textId="3155B87D" w:rsidR="00EF4F55" w:rsidRPr="00481A68" w:rsidRDefault="00EF4F55" w:rsidP="00EF4F55">
            <w:pPr>
              <w:widowControl w:val="0"/>
              <w:autoSpaceDE w:val="0"/>
              <w:autoSpaceDN w:val="0"/>
              <w:adjustRightInd w:val="0"/>
              <w:jc w:val="center"/>
              <w:rPr>
                <w:sz w:val="22"/>
                <w:szCs w:val="22"/>
              </w:rPr>
            </w:pPr>
            <w:r w:rsidRPr="007C45D9">
              <w:rPr>
                <w:sz w:val="22"/>
              </w:rPr>
              <w:t>(-2.45)</w:t>
            </w:r>
          </w:p>
        </w:tc>
        <w:tc>
          <w:tcPr>
            <w:tcW w:w="0" w:type="auto"/>
            <w:tcBorders>
              <w:top w:val="nil"/>
              <w:left w:val="nil"/>
              <w:bottom w:val="nil"/>
              <w:right w:val="nil"/>
            </w:tcBorders>
          </w:tcPr>
          <w:p w14:paraId="2843A004" w14:textId="73545C19" w:rsidR="00EF4F55" w:rsidRPr="00481A68" w:rsidRDefault="00EF4F55" w:rsidP="00EF4F55">
            <w:pPr>
              <w:widowControl w:val="0"/>
              <w:autoSpaceDE w:val="0"/>
              <w:autoSpaceDN w:val="0"/>
              <w:adjustRightInd w:val="0"/>
              <w:jc w:val="center"/>
              <w:rPr>
                <w:sz w:val="22"/>
                <w:szCs w:val="22"/>
              </w:rPr>
            </w:pPr>
            <w:r w:rsidRPr="007C45D9">
              <w:rPr>
                <w:sz w:val="22"/>
              </w:rPr>
              <w:t>(-2.48)</w:t>
            </w:r>
          </w:p>
        </w:tc>
      </w:tr>
      <w:tr w:rsidR="00EF4F55" w:rsidRPr="00481A68" w14:paraId="5D979C44" w14:textId="77777777" w:rsidTr="00315197">
        <w:trPr>
          <w:jc w:val="center"/>
        </w:trPr>
        <w:tc>
          <w:tcPr>
            <w:tcW w:w="0" w:type="auto"/>
            <w:tcBorders>
              <w:top w:val="nil"/>
              <w:left w:val="nil"/>
              <w:bottom w:val="nil"/>
              <w:right w:val="nil"/>
            </w:tcBorders>
          </w:tcPr>
          <w:p w14:paraId="5865147F" w14:textId="7804BCB7" w:rsidR="00EF4F55" w:rsidRPr="00481A68" w:rsidRDefault="00EF4F55" w:rsidP="00EF4F55">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0" w:type="auto"/>
            <w:tcBorders>
              <w:top w:val="nil"/>
              <w:left w:val="nil"/>
              <w:bottom w:val="nil"/>
              <w:right w:val="nil"/>
            </w:tcBorders>
          </w:tcPr>
          <w:p w14:paraId="38D01E8F"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2331264C"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2F96FCFD"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E744569" w14:textId="6692771F" w:rsidR="00EF4F55" w:rsidRPr="00481A68" w:rsidRDefault="00EF4F55" w:rsidP="00EF4F55">
            <w:pPr>
              <w:widowControl w:val="0"/>
              <w:autoSpaceDE w:val="0"/>
              <w:autoSpaceDN w:val="0"/>
              <w:adjustRightInd w:val="0"/>
              <w:jc w:val="center"/>
              <w:rPr>
                <w:sz w:val="22"/>
                <w:szCs w:val="22"/>
              </w:rPr>
            </w:pPr>
            <w:r w:rsidRPr="007C45D9">
              <w:rPr>
                <w:sz w:val="22"/>
              </w:rPr>
              <w:t>0.160***</w:t>
            </w:r>
          </w:p>
        </w:tc>
      </w:tr>
      <w:tr w:rsidR="00EF4F55" w:rsidRPr="00481A68" w14:paraId="57A3C0C4" w14:textId="77777777" w:rsidTr="00315197">
        <w:trPr>
          <w:jc w:val="center"/>
        </w:trPr>
        <w:tc>
          <w:tcPr>
            <w:tcW w:w="0" w:type="auto"/>
            <w:tcBorders>
              <w:top w:val="nil"/>
              <w:left w:val="nil"/>
              <w:bottom w:val="nil"/>
              <w:right w:val="nil"/>
            </w:tcBorders>
          </w:tcPr>
          <w:p w14:paraId="1C52D5B7" w14:textId="77777777" w:rsidR="00EF4F55" w:rsidRPr="00481A68" w:rsidRDefault="00EF4F55" w:rsidP="00EF4F55">
            <w:pPr>
              <w:widowControl w:val="0"/>
              <w:autoSpaceDE w:val="0"/>
              <w:autoSpaceDN w:val="0"/>
              <w:adjustRightInd w:val="0"/>
              <w:rPr>
                <w:sz w:val="22"/>
                <w:szCs w:val="22"/>
              </w:rPr>
            </w:pPr>
          </w:p>
        </w:tc>
        <w:tc>
          <w:tcPr>
            <w:tcW w:w="0" w:type="auto"/>
            <w:tcBorders>
              <w:top w:val="nil"/>
              <w:left w:val="nil"/>
              <w:bottom w:val="nil"/>
              <w:right w:val="nil"/>
            </w:tcBorders>
          </w:tcPr>
          <w:p w14:paraId="30DD8E5F"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3EAB9187"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56FAB8AA"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6B8B3CAE" w14:textId="0219AFD4" w:rsidR="00EF4F55" w:rsidRPr="00481A68" w:rsidRDefault="00EF4F55" w:rsidP="00EF4F55">
            <w:pPr>
              <w:widowControl w:val="0"/>
              <w:autoSpaceDE w:val="0"/>
              <w:autoSpaceDN w:val="0"/>
              <w:adjustRightInd w:val="0"/>
              <w:jc w:val="center"/>
              <w:rPr>
                <w:sz w:val="22"/>
                <w:szCs w:val="22"/>
              </w:rPr>
            </w:pPr>
            <w:r w:rsidRPr="007C45D9">
              <w:rPr>
                <w:sz w:val="22"/>
              </w:rPr>
              <w:t>(4.64)</w:t>
            </w:r>
          </w:p>
        </w:tc>
      </w:tr>
      <w:tr w:rsidR="00EF4F55" w:rsidRPr="00481A68" w14:paraId="5711803C" w14:textId="77777777" w:rsidTr="00315197">
        <w:trPr>
          <w:jc w:val="center"/>
        </w:trPr>
        <w:tc>
          <w:tcPr>
            <w:tcW w:w="0" w:type="auto"/>
            <w:tcBorders>
              <w:top w:val="nil"/>
              <w:left w:val="nil"/>
              <w:bottom w:val="nil"/>
              <w:right w:val="nil"/>
            </w:tcBorders>
          </w:tcPr>
          <w:p w14:paraId="40270C39" w14:textId="73CA0CB4" w:rsidR="00EF4F55" w:rsidRPr="00481A68" w:rsidRDefault="00EF4F55" w:rsidP="00EF4F55">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0" w:type="auto"/>
            <w:tcBorders>
              <w:top w:val="nil"/>
              <w:left w:val="nil"/>
              <w:bottom w:val="nil"/>
              <w:right w:val="nil"/>
            </w:tcBorders>
          </w:tcPr>
          <w:p w14:paraId="350CCB90"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6EA1985"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1DE1E4BA"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7E106C23" w14:textId="43C1F7F0" w:rsidR="00EF4F55" w:rsidRPr="00481A68" w:rsidRDefault="00EF4F55" w:rsidP="00EF4F55">
            <w:pPr>
              <w:widowControl w:val="0"/>
              <w:autoSpaceDE w:val="0"/>
              <w:autoSpaceDN w:val="0"/>
              <w:adjustRightInd w:val="0"/>
              <w:jc w:val="center"/>
              <w:rPr>
                <w:sz w:val="22"/>
                <w:szCs w:val="22"/>
              </w:rPr>
            </w:pPr>
            <w:r w:rsidRPr="007C45D9">
              <w:rPr>
                <w:sz w:val="22"/>
              </w:rPr>
              <w:t>-0.066***</w:t>
            </w:r>
          </w:p>
        </w:tc>
      </w:tr>
      <w:tr w:rsidR="00EF4F55" w:rsidRPr="00481A68" w14:paraId="225233DE" w14:textId="77777777" w:rsidTr="00315197">
        <w:trPr>
          <w:jc w:val="center"/>
        </w:trPr>
        <w:tc>
          <w:tcPr>
            <w:tcW w:w="0" w:type="auto"/>
            <w:tcBorders>
              <w:top w:val="nil"/>
              <w:left w:val="nil"/>
              <w:bottom w:val="nil"/>
              <w:right w:val="nil"/>
            </w:tcBorders>
          </w:tcPr>
          <w:p w14:paraId="55717202" w14:textId="77777777" w:rsidR="00EF4F55" w:rsidRPr="00481A68" w:rsidRDefault="00EF4F55" w:rsidP="00EF4F55">
            <w:pPr>
              <w:widowControl w:val="0"/>
              <w:autoSpaceDE w:val="0"/>
              <w:autoSpaceDN w:val="0"/>
              <w:adjustRightInd w:val="0"/>
              <w:rPr>
                <w:sz w:val="22"/>
                <w:szCs w:val="22"/>
              </w:rPr>
            </w:pPr>
          </w:p>
        </w:tc>
        <w:tc>
          <w:tcPr>
            <w:tcW w:w="0" w:type="auto"/>
            <w:tcBorders>
              <w:top w:val="nil"/>
              <w:left w:val="nil"/>
              <w:bottom w:val="nil"/>
              <w:right w:val="nil"/>
            </w:tcBorders>
          </w:tcPr>
          <w:p w14:paraId="7C2FAC5C"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BF44C5E"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7622913B"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272A7188" w14:textId="67F796EC" w:rsidR="00EF4F55" w:rsidRPr="00481A68" w:rsidRDefault="00EF4F55" w:rsidP="00EF4F55">
            <w:pPr>
              <w:widowControl w:val="0"/>
              <w:autoSpaceDE w:val="0"/>
              <w:autoSpaceDN w:val="0"/>
              <w:adjustRightInd w:val="0"/>
              <w:jc w:val="center"/>
              <w:rPr>
                <w:sz w:val="22"/>
                <w:szCs w:val="22"/>
              </w:rPr>
            </w:pPr>
            <w:r w:rsidRPr="007C45D9">
              <w:rPr>
                <w:sz w:val="22"/>
              </w:rPr>
              <w:t>(-5.33)</w:t>
            </w:r>
          </w:p>
        </w:tc>
      </w:tr>
      <w:tr w:rsidR="00EF4F55" w:rsidRPr="00481A68" w14:paraId="573E1C62" w14:textId="77777777" w:rsidTr="00315197">
        <w:trPr>
          <w:jc w:val="center"/>
        </w:trPr>
        <w:tc>
          <w:tcPr>
            <w:tcW w:w="0" w:type="auto"/>
            <w:tcBorders>
              <w:top w:val="nil"/>
              <w:left w:val="nil"/>
              <w:bottom w:val="nil"/>
              <w:right w:val="nil"/>
            </w:tcBorders>
          </w:tcPr>
          <w:p w14:paraId="469C8DBC" w14:textId="6D80B82C" w:rsidR="00EF4F55" w:rsidRPr="00481A68" w:rsidRDefault="00EF4F55" w:rsidP="00EF4F55">
            <w:pPr>
              <w:widowControl w:val="0"/>
              <w:autoSpaceDE w:val="0"/>
              <w:autoSpaceDN w:val="0"/>
              <w:adjustRightInd w:val="0"/>
              <w:rPr>
                <w:sz w:val="22"/>
                <w:szCs w:val="22"/>
              </w:rPr>
            </w:pPr>
            <w:r w:rsidRPr="00AD55AA">
              <w:rPr>
                <w:sz w:val="22"/>
                <w:szCs w:val="22"/>
              </w:rPr>
              <w:t>Size</w:t>
            </w:r>
            <w:r>
              <w:rPr>
                <w:sz w:val="22"/>
                <w:szCs w:val="22"/>
              </w:rPr>
              <w:t xml:space="preserve"> </w:t>
            </w:r>
          </w:p>
        </w:tc>
        <w:tc>
          <w:tcPr>
            <w:tcW w:w="0" w:type="auto"/>
            <w:tcBorders>
              <w:top w:val="nil"/>
              <w:left w:val="nil"/>
              <w:bottom w:val="nil"/>
              <w:right w:val="nil"/>
            </w:tcBorders>
          </w:tcPr>
          <w:p w14:paraId="7EF64713"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911A5AE"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50DCEC4"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3DC204C7" w14:textId="7DC1F9B9" w:rsidR="00EF4F55" w:rsidRPr="00481A68" w:rsidRDefault="00EF4F55" w:rsidP="00EF4F55">
            <w:pPr>
              <w:widowControl w:val="0"/>
              <w:autoSpaceDE w:val="0"/>
              <w:autoSpaceDN w:val="0"/>
              <w:adjustRightInd w:val="0"/>
              <w:jc w:val="center"/>
              <w:rPr>
                <w:sz w:val="22"/>
                <w:szCs w:val="22"/>
              </w:rPr>
            </w:pPr>
            <w:r w:rsidRPr="007C45D9">
              <w:rPr>
                <w:sz w:val="22"/>
              </w:rPr>
              <w:t>-0.129***</w:t>
            </w:r>
          </w:p>
        </w:tc>
      </w:tr>
      <w:tr w:rsidR="00EF4F55" w:rsidRPr="00481A68" w14:paraId="6A9C5AD8" w14:textId="77777777" w:rsidTr="00315197">
        <w:trPr>
          <w:jc w:val="center"/>
        </w:trPr>
        <w:tc>
          <w:tcPr>
            <w:tcW w:w="0" w:type="auto"/>
            <w:tcBorders>
              <w:top w:val="nil"/>
              <w:left w:val="nil"/>
              <w:bottom w:val="nil"/>
              <w:right w:val="nil"/>
            </w:tcBorders>
          </w:tcPr>
          <w:p w14:paraId="04D3D07E" w14:textId="77777777" w:rsidR="00EF4F55" w:rsidRPr="00481A68" w:rsidRDefault="00EF4F55" w:rsidP="00EF4F55">
            <w:pPr>
              <w:widowControl w:val="0"/>
              <w:autoSpaceDE w:val="0"/>
              <w:autoSpaceDN w:val="0"/>
              <w:adjustRightInd w:val="0"/>
              <w:rPr>
                <w:sz w:val="22"/>
                <w:szCs w:val="22"/>
              </w:rPr>
            </w:pPr>
          </w:p>
        </w:tc>
        <w:tc>
          <w:tcPr>
            <w:tcW w:w="0" w:type="auto"/>
            <w:tcBorders>
              <w:top w:val="nil"/>
              <w:left w:val="nil"/>
              <w:bottom w:val="nil"/>
              <w:right w:val="nil"/>
            </w:tcBorders>
          </w:tcPr>
          <w:p w14:paraId="4CF23309"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029CC221"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52D02801"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169B9B2A" w14:textId="3C34B2B0" w:rsidR="00EF4F55" w:rsidRPr="00481A68" w:rsidRDefault="00EF4F55" w:rsidP="00EF4F55">
            <w:pPr>
              <w:widowControl w:val="0"/>
              <w:autoSpaceDE w:val="0"/>
              <w:autoSpaceDN w:val="0"/>
              <w:adjustRightInd w:val="0"/>
              <w:jc w:val="center"/>
              <w:rPr>
                <w:sz w:val="22"/>
                <w:szCs w:val="22"/>
              </w:rPr>
            </w:pPr>
            <w:r w:rsidRPr="007C45D9">
              <w:rPr>
                <w:sz w:val="22"/>
              </w:rPr>
              <w:t>(-9.79)</w:t>
            </w:r>
          </w:p>
        </w:tc>
      </w:tr>
      <w:tr w:rsidR="00EF4F55" w:rsidRPr="00481A68" w14:paraId="58612486" w14:textId="77777777" w:rsidTr="00315197">
        <w:trPr>
          <w:jc w:val="center"/>
        </w:trPr>
        <w:tc>
          <w:tcPr>
            <w:tcW w:w="0" w:type="auto"/>
            <w:tcBorders>
              <w:top w:val="nil"/>
              <w:left w:val="nil"/>
              <w:bottom w:val="nil"/>
              <w:right w:val="nil"/>
            </w:tcBorders>
          </w:tcPr>
          <w:p w14:paraId="0B560057" w14:textId="201B7C42" w:rsidR="00EF4F55" w:rsidRPr="00481A68" w:rsidRDefault="00EF4F55" w:rsidP="00EF4F55">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0" w:type="auto"/>
            <w:tcBorders>
              <w:top w:val="nil"/>
              <w:left w:val="nil"/>
              <w:bottom w:val="nil"/>
              <w:right w:val="nil"/>
            </w:tcBorders>
          </w:tcPr>
          <w:p w14:paraId="7D57C459"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2B1473C2"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AA9A2D5"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68D8988C" w14:textId="47A12455" w:rsidR="00EF4F55" w:rsidRPr="00481A68" w:rsidRDefault="00EF4F55" w:rsidP="00EF4F55">
            <w:pPr>
              <w:widowControl w:val="0"/>
              <w:autoSpaceDE w:val="0"/>
              <w:autoSpaceDN w:val="0"/>
              <w:adjustRightInd w:val="0"/>
              <w:jc w:val="center"/>
              <w:rPr>
                <w:sz w:val="22"/>
                <w:szCs w:val="22"/>
              </w:rPr>
            </w:pPr>
            <w:r w:rsidRPr="007C45D9">
              <w:rPr>
                <w:sz w:val="22"/>
              </w:rPr>
              <w:t>0.007***</w:t>
            </w:r>
          </w:p>
        </w:tc>
      </w:tr>
      <w:tr w:rsidR="00EF4F55" w:rsidRPr="00481A68" w14:paraId="486466D8" w14:textId="77777777" w:rsidTr="00315197">
        <w:trPr>
          <w:jc w:val="center"/>
        </w:trPr>
        <w:tc>
          <w:tcPr>
            <w:tcW w:w="0" w:type="auto"/>
            <w:tcBorders>
              <w:top w:val="nil"/>
              <w:left w:val="nil"/>
              <w:bottom w:val="nil"/>
              <w:right w:val="nil"/>
            </w:tcBorders>
          </w:tcPr>
          <w:p w14:paraId="21C31793" w14:textId="77777777" w:rsidR="00EF4F55" w:rsidRPr="00481A68" w:rsidRDefault="00EF4F55" w:rsidP="00EF4F55">
            <w:pPr>
              <w:widowControl w:val="0"/>
              <w:autoSpaceDE w:val="0"/>
              <w:autoSpaceDN w:val="0"/>
              <w:adjustRightInd w:val="0"/>
              <w:rPr>
                <w:sz w:val="22"/>
                <w:szCs w:val="22"/>
              </w:rPr>
            </w:pPr>
          </w:p>
        </w:tc>
        <w:tc>
          <w:tcPr>
            <w:tcW w:w="0" w:type="auto"/>
            <w:tcBorders>
              <w:top w:val="nil"/>
              <w:left w:val="nil"/>
              <w:bottom w:val="nil"/>
              <w:right w:val="nil"/>
            </w:tcBorders>
          </w:tcPr>
          <w:p w14:paraId="546C35A6"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5652F393"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4757392D"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783946F7" w14:textId="51E7F9F8" w:rsidR="00EF4F55" w:rsidRPr="00481A68" w:rsidRDefault="00EF4F55" w:rsidP="00EF4F55">
            <w:pPr>
              <w:widowControl w:val="0"/>
              <w:autoSpaceDE w:val="0"/>
              <w:autoSpaceDN w:val="0"/>
              <w:adjustRightInd w:val="0"/>
              <w:jc w:val="center"/>
              <w:rPr>
                <w:sz w:val="22"/>
                <w:szCs w:val="22"/>
              </w:rPr>
            </w:pPr>
            <w:r w:rsidRPr="007C45D9">
              <w:rPr>
                <w:sz w:val="22"/>
              </w:rPr>
              <w:t>(6.29)</w:t>
            </w:r>
          </w:p>
        </w:tc>
      </w:tr>
      <w:tr w:rsidR="00EF4F55" w:rsidRPr="00481A68" w14:paraId="1FC684B6" w14:textId="77777777" w:rsidTr="00315197">
        <w:trPr>
          <w:jc w:val="center"/>
        </w:trPr>
        <w:tc>
          <w:tcPr>
            <w:tcW w:w="0" w:type="auto"/>
            <w:tcBorders>
              <w:top w:val="nil"/>
              <w:left w:val="nil"/>
              <w:bottom w:val="nil"/>
              <w:right w:val="nil"/>
            </w:tcBorders>
          </w:tcPr>
          <w:p w14:paraId="4ECA42B6" w14:textId="53334FE9" w:rsidR="00EF4F55" w:rsidRPr="00481A68" w:rsidRDefault="00EF4F55" w:rsidP="00EF4F55">
            <w:pPr>
              <w:widowControl w:val="0"/>
              <w:autoSpaceDE w:val="0"/>
              <w:autoSpaceDN w:val="0"/>
              <w:adjustRightInd w:val="0"/>
              <w:rPr>
                <w:sz w:val="22"/>
                <w:szCs w:val="22"/>
              </w:rPr>
            </w:pPr>
            <w:r w:rsidRPr="00AD55AA">
              <w:rPr>
                <w:sz w:val="22"/>
                <w:szCs w:val="22"/>
              </w:rPr>
              <w:t>Constant</w:t>
            </w:r>
          </w:p>
        </w:tc>
        <w:tc>
          <w:tcPr>
            <w:tcW w:w="0" w:type="auto"/>
            <w:tcBorders>
              <w:top w:val="nil"/>
              <w:left w:val="nil"/>
              <w:bottom w:val="nil"/>
              <w:right w:val="nil"/>
            </w:tcBorders>
          </w:tcPr>
          <w:p w14:paraId="406E1C94"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5B4B3926"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6FDC4968" w14:textId="4509B4DD" w:rsidR="00EF4F55" w:rsidRPr="00481A68" w:rsidRDefault="00EF4F55" w:rsidP="00EF4F55">
            <w:pPr>
              <w:widowControl w:val="0"/>
              <w:autoSpaceDE w:val="0"/>
              <w:autoSpaceDN w:val="0"/>
              <w:adjustRightInd w:val="0"/>
              <w:jc w:val="center"/>
              <w:rPr>
                <w:sz w:val="22"/>
                <w:szCs w:val="22"/>
              </w:rPr>
            </w:pPr>
            <w:r w:rsidRPr="007C45D9">
              <w:rPr>
                <w:sz w:val="22"/>
              </w:rPr>
              <w:t>0.373***</w:t>
            </w:r>
          </w:p>
        </w:tc>
        <w:tc>
          <w:tcPr>
            <w:tcW w:w="0" w:type="auto"/>
            <w:tcBorders>
              <w:top w:val="nil"/>
              <w:left w:val="nil"/>
              <w:bottom w:val="nil"/>
              <w:right w:val="nil"/>
            </w:tcBorders>
          </w:tcPr>
          <w:p w14:paraId="70F91C7B" w14:textId="76877B45" w:rsidR="00EF4F55" w:rsidRPr="00481A68" w:rsidRDefault="00EF4F55" w:rsidP="00EF4F55">
            <w:pPr>
              <w:widowControl w:val="0"/>
              <w:autoSpaceDE w:val="0"/>
              <w:autoSpaceDN w:val="0"/>
              <w:adjustRightInd w:val="0"/>
              <w:jc w:val="center"/>
              <w:rPr>
                <w:sz w:val="22"/>
                <w:szCs w:val="22"/>
              </w:rPr>
            </w:pPr>
            <w:r w:rsidRPr="007C45D9">
              <w:rPr>
                <w:sz w:val="22"/>
              </w:rPr>
              <w:t>1.104***</w:t>
            </w:r>
          </w:p>
        </w:tc>
      </w:tr>
      <w:tr w:rsidR="00EF4F55" w:rsidRPr="00481A68" w14:paraId="7867AD99" w14:textId="77777777" w:rsidTr="00315197">
        <w:trPr>
          <w:jc w:val="center"/>
        </w:trPr>
        <w:tc>
          <w:tcPr>
            <w:tcW w:w="0" w:type="auto"/>
            <w:tcBorders>
              <w:top w:val="nil"/>
              <w:left w:val="nil"/>
              <w:bottom w:val="nil"/>
              <w:right w:val="nil"/>
            </w:tcBorders>
          </w:tcPr>
          <w:p w14:paraId="1DDDEE7F" w14:textId="77777777" w:rsidR="00EF4F55" w:rsidRPr="00481A68" w:rsidRDefault="00EF4F55" w:rsidP="00EF4F55">
            <w:pPr>
              <w:widowControl w:val="0"/>
              <w:autoSpaceDE w:val="0"/>
              <w:autoSpaceDN w:val="0"/>
              <w:adjustRightInd w:val="0"/>
              <w:rPr>
                <w:sz w:val="22"/>
                <w:szCs w:val="22"/>
              </w:rPr>
            </w:pPr>
          </w:p>
        </w:tc>
        <w:tc>
          <w:tcPr>
            <w:tcW w:w="0" w:type="auto"/>
            <w:tcBorders>
              <w:top w:val="nil"/>
              <w:left w:val="nil"/>
              <w:bottom w:val="nil"/>
              <w:right w:val="nil"/>
            </w:tcBorders>
          </w:tcPr>
          <w:p w14:paraId="66133056"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093247E9"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68FD6200" w14:textId="44347C31" w:rsidR="00EF4F55" w:rsidRPr="00481A68" w:rsidRDefault="00EF4F55" w:rsidP="00EF4F55">
            <w:pPr>
              <w:widowControl w:val="0"/>
              <w:autoSpaceDE w:val="0"/>
              <w:autoSpaceDN w:val="0"/>
              <w:adjustRightInd w:val="0"/>
              <w:jc w:val="center"/>
              <w:rPr>
                <w:sz w:val="22"/>
                <w:szCs w:val="22"/>
              </w:rPr>
            </w:pPr>
            <w:r w:rsidRPr="007C45D9">
              <w:rPr>
                <w:sz w:val="22"/>
              </w:rPr>
              <w:t>(229.98)</w:t>
            </w:r>
          </w:p>
        </w:tc>
        <w:tc>
          <w:tcPr>
            <w:tcW w:w="0" w:type="auto"/>
            <w:tcBorders>
              <w:top w:val="nil"/>
              <w:left w:val="nil"/>
              <w:bottom w:val="nil"/>
              <w:right w:val="nil"/>
            </w:tcBorders>
          </w:tcPr>
          <w:p w14:paraId="5BA58838" w14:textId="401B3E6B" w:rsidR="00EF4F55" w:rsidRPr="00481A68" w:rsidRDefault="00EF4F55" w:rsidP="00EF4F55">
            <w:pPr>
              <w:widowControl w:val="0"/>
              <w:autoSpaceDE w:val="0"/>
              <w:autoSpaceDN w:val="0"/>
              <w:adjustRightInd w:val="0"/>
              <w:jc w:val="center"/>
              <w:rPr>
                <w:sz w:val="22"/>
                <w:szCs w:val="22"/>
              </w:rPr>
            </w:pPr>
            <w:r w:rsidRPr="007C45D9">
              <w:rPr>
                <w:sz w:val="22"/>
              </w:rPr>
              <w:t>(14.37)</w:t>
            </w:r>
          </w:p>
        </w:tc>
      </w:tr>
      <w:tr w:rsidR="00DE3298" w:rsidRPr="00481A68" w14:paraId="0F0A9980" w14:textId="77777777" w:rsidTr="00315197">
        <w:trPr>
          <w:jc w:val="center"/>
        </w:trPr>
        <w:tc>
          <w:tcPr>
            <w:tcW w:w="0" w:type="auto"/>
            <w:tcBorders>
              <w:top w:val="nil"/>
              <w:left w:val="nil"/>
              <w:bottom w:val="nil"/>
              <w:right w:val="nil"/>
            </w:tcBorders>
          </w:tcPr>
          <w:p w14:paraId="3C7BBDF1" w14:textId="77777777" w:rsidR="00DE3298" w:rsidRPr="00481A68" w:rsidRDefault="00DE3298" w:rsidP="00315197">
            <w:pPr>
              <w:widowControl w:val="0"/>
              <w:autoSpaceDE w:val="0"/>
              <w:autoSpaceDN w:val="0"/>
              <w:adjustRightInd w:val="0"/>
              <w:rPr>
                <w:sz w:val="22"/>
                <w:szCs w:val="22"/>
              </w:rPr>
            </w:pPr>
          </w:p>
        </w:tc>
        <w:tc>
          <w:tcPr>
            <w:tcW w:w="0" w:type="auto"/>
            <w:tcBorders>
              <w:top w:val="nil"/>
              <w:left w:val="nil"/>
              <w:bottom w:val="nil"/>
              <w:right w:val="nil"/>
            </w:tcBorders>
          </w:tcPr>
          <w:p w14:paraId="7232AE06"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1D4B1677"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64A9977D"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59258275" w14:textId="77777777" w:rsidR="00DE3298" w:rsidRPr="00481A68" w:rsidRDefault="00DE3298" w:rsidP="00315197">
            <w:pPr>
              <w:widowControl w:val="0"/>
              <w:autoSpaceDE w:val="0"/>
              <w:autoSpaceDN w:val="0"/>
              <w:adjustRightInd w:val="0"/>
              <w:jc w:val="center"/>
              <w:rPr>
                <w:sz w:val="22"/>
                <w:szCs w:val="22"/>
              </w:rPr>
            </w:pPr>
          </w:p>
        </w:tc>
      </w:tr>
      <w:tr w:rsidR="00DE3298" w:rsidRPr="00481A68" w14:paraId="34141AC1" w14:textId="77777777" w:rsidTr="00315197">
        <w:trPr>
          <w:jc w:val="center"/>
        </w:trPr>
        <w:tc>
          <w:tcPr>
            <w:tcW w:w="0" w:type="auto"/>
            <w:tcBorders>
              <w:top w:val="nil"/>
              <w:left w:val="nil"/>
              <w:bottom w:val="nil"/>
              <w:right w:val="nil"/>
            </w:tcBorders>
          </w:tcPr>
          <w:p w14:paraId="24AF728F" w14:textId="77777777" w:rsidR="00DE3298" w:rsidRPr="00481A68" w:rsidRDefault="00DE3298" w:rsidP="00315197">
            <w:pPr>
              <w:widowControl w:val="0"/>
              <w:autoSpaceDE w:val="0"/>
              <w:autoSpaceDN w:val="0"/>
              <w:adjustRightInd w:val="0"/>
              <w:rPr>
                <w:sz w:val="22"/>
                <w:szCs w:val="22"/>
              </w:rPr>
            </w:pPr>
            <w:r w:rsidRPr="00481A68">
              <w:rPr>
                <w:sz w:val="22"/>
                <w:szCs w:val="22"/>
              </w:rPr>
              <w:t>Firm fixed effects</w:t>
            </w:r>
          </w:p>
        </w:tc>
        <w:tc>
          <w:tcPr>
            <w:tcW w:w="0" w:type="auto"/>
            <w:tcBorders>
              <w:top w:val="nil"/>
              <w:left w:val="nil"/>
              <w:bottom w:val="nil"/>
              <w:right w:val="nil"/>
            </w:tcBorders>
          </w:tcPr>
          <w:p w14:paraId="79CA8E1F"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6ABB219D"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280562AC"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Yes</w:t>
            </w:r>
          </w:p>
        </w:tc>
        <w:tc>
          <w:tcPr>
            <w:tcW w:w="0" w:type="auto"/>
            <w:tcBorders>
              <w:top w:val="nil"/>
              <w:left w:val="nil"/>
              <w:bottom w:val="nil"/>
              <w:right w:val="nil"/>
            </w:tcBorders>
          </w:tcPr>
          <w:p w14:paraId="71A723C4"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Yes</w:t>
            </w:r>
          </w:p>
        </w:tc>
      </w:tr>
      <w:tr w:rsidR="00DE3298" w:rsidRPr="00481A68" w14:paraId="019080B4" w14:textId="77777777" w:rsidTr="00315197">
        <w:trPr>
          <w:jc w:val="center"/>
        </w:trPr>
        <w:tc>
          <w:tcPr>
            <w:tcW w:w="0" w:type="auto"/>
            <w:tcBorders>
              <w:top w:val="nil"/>
              <w:left w:val="nil"/>
              <w:bottom w:val="nil"/>
              <w:right w:val="nil"/>
            </w:tcBorders>
          </w:tcPr>
          <w:p w14:paraId="02531E08" w14:textId="77777777" w:rsidR="00DE3298" w:rsidRPr="00481A68" w:rsidRDefault="00DE3298" w:rsidP="00315197">
            <w:pPr>
              <w:widowControl w:val="0"/>
              <w:autoSpaceDE w:val="0"/>
              <w:autoSpaceDN w:val="0"/>
              <w:adjustRightInd w:val="0"/>
              <w:rPr>
                <w:sz w:val="22"/>
                <w:szCs w:val="22"/>
              </w:rPr>
            </w:pPr>
            <w:r w:rsidRPr="00481A68">
              <w:rPr>
                <w:sz w:val="22"/>
                <w:szCs w:val="22"/>
              </w:rPr>
              <w:t>Year fixed effects</w:t>
            </w:r>
          </w:p>
        </w:tc>
        <w:tc>
          <w:tcPr>
            <w:tcW w:w="0" w:type="auto"/>
            <w:tcBorders>
              <w:top w:val="nil"/>
              <w:left w:val="nil"/>
              <w:bottom w:val="nil"/>
              <w:right w:val="nil"/>
            </w:tcBorders>
          </w:tcPr>
          <w:p w14:paraId="49B3CA0F"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115B814A"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bottom w:val="nil"/>
              <w:right w:val="nil"/>
            </w:tcBorders>
          </w:tcPr>
          <w:p w14:paraId="7E7BA435"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Yes</w:t>
            </w:r>
          </w:p>
        </w:tc>
        <w:tc>
          <w:tcPr>
            <w:tcW w:w="0" w:type="auto"/>
            <w:tcBorders>
              <w:top w:val="nil"/>
              <w:left w:val="nil"/>
              <w:bottom w:val="nil"/>
              <w:right w:val="nil"/>
            </w:tcBorders>
          </w:tcPr>
          <w:p w14:paraId="68578B86"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Yes</w:t>
            </w:r>
          </w:p>
        </w:tc>
      </w:tr>
      <w:tr w:rsidR="00DE3298" w:rsidRPr="00481A68" w14:paraId="25E1DF75" w14:textId="77777777" w:rsidTr="00315197">
        <w:trPr>
          <w:jc w:val="center"/>
        </w:trPr>
        <w:tc>
          <w:tcPr>
            <w:tcW w:w="0" w:type="auto"/>
            <w:tcBorders>
              <w:top w:val="nil"/>
              <w:left w:val="nil"/>
              <w:right w:val="nil"/>
            </w:tcBorders>
          </w:tcPr>
          <w:p w14:paraId="1FA637E2" w14:textId="77777777" w:rsidR="00DE3298" w:rsidRPr="00481A68" w:rsidRDefault="00DE3298" w:rsidP="00315197">
            <w:pPr>
              <w:widowControl w:val="0"/>
              <w:autoSpaceDE w:val="0"/>
              <w:autoSpaceDN w:val="0"/>
              <w:adjustRightInd w:val="0"/>
              <w:rPr>
                <w:sz w:val="22"/>
                <w:szCs w:val="22"/>
              </w:rPr>
            </w:pPr>
            <w:r w:rsidRPr="00481A68">
              <w:rPr>
                <w:sz w:val="22"/>
                <w:szCs w:val="22"/>
              </w:rPr>
              <w:t>Observations</w:t>
            </w:r>
          </w:p>
        </w:tc>
        <w:tc>
          <w:tcPr>
            <w:tcW w:w="0" w:type="auto"/>
            <w:tcBorders>
              <w:top w:val="nil"/>
              <w:left w:val="nil"/>
              <w:right w:val="nil"/>
            </w:tcBorders>
          </w:tcPr>
          <w:p w14:paraId="46BA9F4F"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right w:val="nil"/>
            </w:tcBorders>
          </w:tcPr>
          <w:p w14:paraId="007E869D"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nil"/>
              <w:left w:val="nil"/>
              <w:right w:val="nil"/>
            </w:tcBorders>
          </w:tcPr>
          <w:p w14:paraId="10FED5DB"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41,918</w:t>
            </w:r>
          </w:p>
        </w:tc>
        <w:tc>
          <w:tcPr>
            <w:tcW w:w="0" w:type="auto"/>
            <w:tcBorders>
              <w:top w:val="nil"/>
              <w:left w:val="nil"/>
              <w:right w:val="nil"/>
            </w:tcBorders>
          </w:tcPr>
          <w:p w14:paraId="1B5EFB78" w14:textId="77777777" w:rsidR="00DE3298" w:rsidRPr="00481A68" w:rsidRDefault="00DE3298" w:rsidP="00315197">
            <w:pPr>
              <w:widowControl w:val="0"/>
              <w:autoSpaceDE w:val="0"/>
              <w:autoSpaceDN w:val="0"/>
              <w:adjustRightInd w:val="0"/>
              <w:jc w:val="center"/>
              <w:rPr>
                <w:sz w:val="22"/>
                <w:szCs w:val="22"/>
              </w:rPr>
            </w:pPr>
            <w:r w:rsidRPr="00481A68">
              <w:rPr>
                <w:sz w:val="22"/>
                <w:szCs w:val="22"/>
              </w:rPr>
              <w:t>41,918</w:t>
            </w:r>
          </w:p>
        </w:tc>
      </w:tr>
      <w:tr w:rsidR="00EF4F55" w:rsidRPr="00481A68" w14:paraId="3E0412C3" w14:textId="77777777" w:rsidTr="00315197">
        <w:tblPrEx>
          <w:tblBorders>
            <w:bottom w:val="single" w:sz="6" w:space="0" w:color="auto"/>
          </w:tblBorders>
        </w:tblPrEx>
        <w:trPr>
          <w:jc w:val="center"/>
        </w:trPr>
        <w:tc>
          <w:tcPr>
            <w:tcW w:w="0" w:type="auto"/>
            <w:tcBorders>
              <w:top w:val="nil"/>
              <w:left w:val="nil"/>
              <w:bottom w:val="single" w:sz="4" w:space="0" w:color="auto"/>
              <w:right w:val="nil"/>
            </w:tcBorders>
          </w:tcPr>
          <w:p w14:paraId="654657D1" w14:textId="77777777" w:rsidR="00EF4F55" w:rsidRPr="00481A68" w:rsidRDefault="00EF4F55" w:rsidP="00EF4F55">
            <w:pPr>
              <w:widowControl w:val="0"/>
              <w:autoSpaceDE w:val="0"/>
              <w:autoSpaceDN w:val="0"/>
              <w:adjustRightInd w:val="0"/>
              <w:rPr>
                <w:sz w:val="22"/>
                <w:szCs w:val="22"/>
              </w:rPr>
            </w:pPr>
            <w:r w:rsidRPr="00481A68">
              <w:rPr>
                <w:sz w:val="22"/>
                <w:szCs w:val="22"/>
              </w:rPr>
              <w:t>Adjusted R-squared</w:t>
            </w:r>
          </w:p>
        </w:tc>
        <w:tc>
          <w:tcPr>
            <w:tcW w:w="0" w:type="auto"/>
            <w:tcBorders>
              <w:top w:val="nil"/>
              <w:left w:val="nil"/>
              <w:bottom w:val="single" w:sz="4" w:space="0" w:color="auto"/>
              <w:right w:val="nil"/>
            </w:tcBorders>
          </w:tcPr>
          <w:p w14:paraId="56A3D9FC"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66EE6DAA" w14:textId="77777777" w:rsidR="00EF4F55" w:rsidRPr="00481A68" w:rsidRDefault="00EF4F55" w:rsidP="00EF4F55">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63F1F9C8" w14:textId="13474C91" w:rsidR="00EF4F55" w:rsidRPr="00481A68" w:rsidRDefault="00EF4F55" w:rsidP="00EF4F55">
            <w:pPr>
              <w:widowControl w:val="0"/>
              <w:autoSpaceDE w:val="0"/>
              <w:autoSpaceDN w:val="0"/>
              <w:adjustRightInd w:val="0"/>
              <w:jc w:val="center"/>
              <w:rPr>
                <w:sz w:val="22"/>
                <w:szCs w:val="22"/>
              </w:rPr>
            </w:pPr>
            <w:r w:rsidRPr="007C45D9">
              <w:rPr>
                <w:sz w:val="22"/>
              </w:rPr>
              <w:t>0.1944</w:t>
            </w:r>
          </w:p>
        </w:tc>
        <w:tc>
          <w:tcPr>
            <w:tcW w:w="0" w:type="auto"/>
            <w:tcBorders>
              <w:top w:val="nil"/>
              <w:left w:val="nil"/>
              <w:bottom w:val="single" w:sz="4" w:space="0" w:color="auto"/>
              <w:right w:val="nil"/>
            </w:tcBorders>
          </w:tcPr>
          <w:p w14:paraId="5508647E" w14:textId="0CCB8E2C" w:rsidR="00EF4F55" w:rsidRPr="00481A68" w:rsidRDefault="00EF4F55" w:rsidP="00EF4F55">
            <w:pPr>
              <w:widowControl w:val="0"/>
              <w:autoSpaceDE w:val="0"/>
              <w:autoSpaceDN w:val="0"/>
              <w:adjustRightInd w:val="0"/>
              <w:jc w:val="center"/>
              <w:rPr>
                <w:sz w:val="22"/>
                <w:szCs w:val="22"/>
              </w:rPr>
            </w:pPr>
            <w:r w:rsidRPr="007C45D9">
              <w:rPr>
                <w:sz w:val="22"/>
              </w:rPr>
              <w:t>0.2101</w:t>
            </w:r>
          </w:p>
        </w:tc>
      </w:tr>
      <w:tr w:rsidR="00DE3298" w:rsidRPr="00481A68" w14:paraId="70E38502" w14:textId="77777777" w:rsidTr="008B3A20">
        <w:tblPrEx>
          <w:tblBorders>
            <w:bottom w:val="single" w:sz="6" w:space="0" w:color="auto"/>
          </w:tblBorders>
        </w:tblPrEx>
        <w:trPr>
          <w:jc w:val="center"/>
        </w:trPr>
        <w:tc>
          <w:tcPr>
            <w:tcW w:w="0" w:type="auto"/>
            <w:tcBorders>
              <w:top w:val="single" w:sz="4" w:space="0" w:color="auto"/>
              <w:left w:val="nil"/>
              <w:bottom w:val="nil"/>
              <w:right w:val="nil"/>
            </w:tcBorders>
          </w:tcPr>
          <w:p w14:paraId="3D508647" w14:textId="77777777" w:rsidR="00DE3298" w:rsidRPr="00481A68" w:rsidRDefault="00DE3298" w:rsidP="00315197">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553C178D"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7D605A2E"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74708E5E" w14:textId="77777777" w:rsidR="00DE3298" w:rsidRPr="00481A68" w:rsidRDefault="00DE3298" w:rsidP="00315197">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1D12AF80" w14:textId="77777777" w:rsidR="00DE3298" w:rsidRPr="00481A68" w:rsidRDefault="00DE3298" w:rsidP="00315197">
            <w:pPr>
              <w:widowControl w:val="0"/>
              <w:autoSpaceDE w:val="0"/>
              <w:autoSpaceDN w:val="0"/>
              <w:adjustRightInd w:val="0"/>
              <w:jc w:val="center"/>
              <w:rPr>
                <w:sz w:val="22"/>
                <w:szCs w:val="22"/>
              </w:rPr>
            </w:pPr>
          </w:p>
        </w:tc>
      </w:tr>
      <w:tr w:rsidR="008B3A20" w:rsidRPr="00481A68" w14:paraId="721917EF" w14:textId="77777777" w:rsidTr="008B3A20">
        <w:tblPrEx>
          <w:tblBorders>
            <w:bottom w:val="single" w:sz="6" w:space="0" w:color="auto"/>
          </w:tblBorders>
        </w:tblPrEx>
        <w:trPr>
          <w:jc w:val="center"/>
        </w:trPr>
        <w:tc>
          <w:tcPr>
            <w:tcW w:w="0" w:type="auto"/>
            <w:gridSpan w:val="5"/>
            <w:tcBorders>
              <w:top w:val="nil"/>
              <w:left w:val="nil"/>
              <w:bottom w:val="nil"/>
              <w:right w:val="nil"/>
            </w:tcBorders>
            <w:vAlign w:val="center"/>
          </w:tcPr>
          <w:p w14:paraId="02A43F32" w14:textId="1357FEB2" w:rsidR="008B3A20" w:rsidRPr="00481A68" w:rsidRDefault="008B3A20" w:rsidP="008B3A20">
            <w:pPr>
              <w:widowControl w:val="0"/>
              <w:autoSpaceDE w:val="0"/>
              <w:autoSpaceDN w:val="0"/>
              <w:adjustRightInd w:val="0"/>
              <w:jc w:val="both"/>
              <w:rPr>
                <w:sz w:val="22"/>
                <w:szCs w:val="22"/>
              </w:rPr>
            </w:pPr>
            <w:r>
              <w:rPr>
                <w:bCs/>
                <w:sz w:val="22"/>
                <w:szCs w:val="22"/>
              </w:rPr>
              <w:t>This</w:t>
            </w:r>
            <w:r w:rsidRPr="003D41AE">
              <w:rPr>
                <w:bCs/>
                <w:sz w:val="22"/>
                <w:szCs w:val="22"/>
              </w:rPr>
              <w:t xml:space="preserve"> table </w:t>
            </w:r>
            <w:r w:rsidRPr="00481A68">
              <w:rPr>
                <w:bCs/>
                <w:sz w:val="22"/>
                <w:szCs w:val="22"/>
              </w:rPr>
              <w:t>presents</w:t>
            </w:r>
            <w:r w:rsidRPr="00481A68">
              <w:rPr>
                <w:sz w:val="22"/>
                <w:szCs w:val="22"/>
              </w:rPr>
              <w:t xml:space="preserve"> the results of the difference-and-differences analysis comparing investments of the treatment group to investments of the control group. </w:t>
            </w:r>
            <w:r w:rsidRPr="00AD55AA">
              <w:rPr>
                <w:sz w:val="22"/>
                <w:szCs w:val="22"/>
              </w:rPr>
              <w:t xml:space="preserve">The shock event </w:t>
            </w:r>
            <w:r>
              <w:rPr>
                <w:sz w:val="22"/>
                <w:szCs w:val="22"/>
              </w:rPr>
              <w:t>is</w:t>
            </w:r>
            <w:r w:rsidRPr="00AD55AA">
              <w:rPr>
                <w:sz w:val="22"/>
                <w:szCs w:val="22"/>
              </w:rPr>
              <w:t xml:space="preserve"> the 2016 U</w:t>
            </w:r>
            <w:r w:rsidR="008A3E91">
              <w:rPr>
                <w:sz w:val="22"/>
                <w:szCs w:val="22"/>
              </w:rPr>
              <w:t>.</w:t>
            </w:r>
            <w:r w:rsidRPr="00AD55AA">
              <w:rPr>
                <w:sz w:val="22"/>
                <w:szCs w:val="22"/>
              </w:rPr>
              <w:t>S</w:t>
            </w:r>
            <w:r w:rsidR="008A3E91">
              <w:rPr>
                <w:sz w:val="22"/>
                <w:szCs w:val="22"/>
              </w:rPr>
              <w:t>.</w:t>
            </w:r>
            <w:r w:rsidRPr="00AD55AA">
              <w:rPr>
                <w:sz w:val="22"/>
                <w:szCs w:val="22"/>
              </w:rPr>
              <w:t xml:space="preserve"> presidential election (CFIUS Trump = post 2016 U</w:t>
            </w:r>
            <w:r w:rsidR="008A3E91">
              <w:rPr>
                <w:sz w:val="22"/>
                <w:szCs w:val="22"/>
              </w:rPr>
              <w:t>.</w:t>
            </w:r>
            <w:r w:rsidRPr="00AD55AA">
              <w:rPr>
                <w:sz w:val="22"/>
                <w:szCs w:val="22"/>
              </w:rPr>
              <w:t>S</w:t>
            </w:r>
            <w:r w:rsidR="008A3E91">
              <w:rPr>
                <w:sz w:val="22"/>
                <w:szCs w:val="22"/>
              </w:rPr>
              <w:t>.</w:t>
            </w:r>
            <w:r w:rsidRPr="00AD55AA">
              <w:rPr>
                <w:sz w:val="22"/>
                <w:szCs w:val="22"/>
              </w:rPr>
              <w:t xml:space="preserve"> presidential election # treatment group)</w:t>
            </w:r>
            <w:r w:rsidRPr="00481A68">
              <w:rPr>
                <w:sz w:val="22"/>
                <w:szCs w:val="22"/>
              </w:rPr>
              <w:t>.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1EE81ADF" w14:textId="56470313" w:rsidR="00DE3298" w:rsidRDefault="00DE3298">
      <w:pPr>
        <w:spacing w:after="160" w:line="259" w:lineRule="auto"/>
        <w:rPr>
          <w:sz w:val="22"/>
          <w:szCs w:val="22"/>
        </w:rPr>
      </w:pPr>
    </w:p>
    <w:p w14:paraId="7D4DCBB0" w14:textId="43237501" w:rsidR="00DE3298" w:rsidRDefault="00DE3298">
      <w:pPr>
        <w:spacing w:after="160" w:line="259" w:lineRule="auto"/>
        <w:rPr>
          <w:sz w:val="22"/>
          <w:szCs w:val="22"/>
        </w:rPr>
      </w:pPr>
      <w:r>
        <w:rPr>
          <w:sz w:val="22"/>
          <w:szCs w:val="22"/>
        </w:rPr>
        <w:br w:type="page"/>
      </w:r>
    </w:p>
    <w:bookmarkEnd w:id="12"/>
    <w:p w14:paraId="2C0635E6" w14:textId="77777777" w:rsidR="005D06CA" w:rsidRPr="00AD55AA" w:rsidRDefault="005D06CA">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3979"/>
        <w:gridCol w:w="337"/>
        <w:gridCol w:w="337"/>
        <w:gridCol w:w="2207"/>
        <w:gridCol w:w="2207"/>
      </w:tblGrid>
      <w:tr w:rsidR="0092234E" w:rsidRPr="00AD55AA" w14:paraId="3D0F560A" w14:textId="77777777" w:rsidTr="00AB6C46">
        <w:trPr>
          <w:jc w:val="center"/>
        </w:trPr>
        <w:tc>
          <w:tcPr>
            <w:tcW w:w="0" w:type="auto"/>
            <w:tcBorders>
              <w:left w:val="nil"/>
              <w:right w:val="nil"/>
            </w:tcBorders>
          </w:tcPr>
          <w:p w14:paraId="4C577D60" w14:textId="36BE3A12" w:rsidR="0092234E" w:rsidRPr="00EF4F55" w:rsidRDefault="0067117A" w:rsidP="006C2250">
            <w:pPr>
              <w:widowControl w:val="0"/>
              <w:autoSpaceDE w:val="0"/>
              <w:autoSpaceDN w:val="0"/>
              <w:adjustRightInd w:val="0"/>
              <w:rPr>
                <w:sz w:val="22"/>
                <w:szCs w:val="22"/>
                <w:highlight w:val="yellow"/>
              </w:rPr>
            </w:pPr>
            <w:r w:rsidRPr="00195B6C">
              <w:rPr>
                <w:b/>
                <w:sz w:val="22"/>
                <w:szCs w:val="22"/>
              </w:rPr>
              <w:t xml:space="preserve">Table </w:t>
            </w:r>
            <w:r w:rsidR="006C2250" w:rsidRPr="00195B6C">
              <w:rPr>
                <w:b/>
                <w:sz w:val="22"/>
                <w:szCs w:val="22"/>
              </w:rPr>
              <w:t>8</w:t>
            </w:r>
          </w:p>
        </w:tc>
        <w:tc>
          <w:tcPr>
            <w:tcW w:w="0" w:type="auto"/>
            <w:gridSpan w:val="2"/>
            <w:tcBorders>
              <w:left w:val="nil"/>
              <w:right w:val="nil"/>
            </w:tcBorders>
          </w:tcPr>
          <w:p w14:paraId="53719DD8" w14:textId="77777777" w:rsidR="0092234E" w:rsidRPr="00AD55AA" w:rsidRDefault="0092234E" w:rsidP="00AB6C46">
            <w:pPr>
              <w:widowControl w:val="0"/>
              <w:autoSpaceDE w:val="0"/>
              <w:autoSpaceDN w:val="0"/>
              <w:adjustRightInd w:val="0"/>
              <w:jc w:val="center"/>
              <w:rPr>
                <w:sz w:val="22"/>
                <w:szCs w:val="22"/>
              </w:rPr>
            </w:pPr>
          </w:p>
        </w:tc>
        <w:tc>
          <w:tcPr>
            <w:tcW w:w="0" w:type="auto"/>
            <w:gridSpan w:val="2"/>
            <w:tcBorders>
              <w:left w:val="nil"/>
              <w:right w:val="nil"/>
            </w:tcBorders>
          </w:tcPr>
          <w:p w14:paraId="48C15CBB" w14:textId="77777777" w:rsidR="0092234E" w:rsidRPr="00AD55AA" w:rsidRDefault="0092234E" w:rsidP="00AB6C46">
            <w:pPr>
              <w:widowControl w:val="0"/>
              <w:autoSpaceDE w:val="0"/>
              <w:autoSpaceDN w:val="0"/>
              <w:adjustRightInd w:val="0"/>
              <w:jc w:val="center"/>
              <w:rPr>
                <w:sz w:val="22"/>
                <w:szCs w:val="22"/>
              </w:rPr>
            </w:pPr>
          </w:p>
        </w:tc>
      </w:tr>
      <w:tr w:rsidR="0092234E" w:rsidRPr="00AD55AA" w14:paraId="7C30E45A" w14:textId="77777777" w:rsidTr="00AB6C46">
        <w:trPr>
          <w:jc w:val="center"/>
        </w:trPr>
        <w:tc>
          <w:tcPr>
            <w:tcW w:w="0" w:type="auto"/>
            <w:gridSpan w:val="5"/>
            <w:tcBorders>
              <w:left w:val="nil"/>
              <w:right w:val="nil"/>
            </w:tcBorders>
          </w:tcPr>
          <w:p w14:paraId="10648AE3" w14:textId="45380486" w:rsidR="0092234E" w:rsidRPr="00AD55AA" w:rsidRDefault="0067117A" w:rsidP="00AB6C46">
            <w:pPr>
              <w:widowControl w:val="0"/>
              <w:autoSpaceDE w:val="0"/>
              <w:autoSpaceDN w:val="0"/>
              <w:adjustRightInd w:val="0"/>
              <w:rPr>
                <w:sz w:val="22"/>
                <w:szCs w:val="22"/>
              </w:rPr>
            </w:pPr>
            <w:r>
              <w:rPr>
                <w:b/>
                <w:sz w:val="22"/>
                <w:szCs w:val="22"/>
              </w:rPr>
              <w:t>FINSA and corporate i</w:t>
            </w:r>
            <w:r w:rsidR="0092234E" w:rsidRPr="00AD55AA">
              <w:rPr>
                <w:b/>
                <w:sz w:val="22"/>
                <w:szCs w:val="22"/>
              </w:rPr>
              <w:t>nvestment</w:t>
            </w:r>
          </w:p>
        </w:tc>
      </w:tr>
      <w:tr w:rsidR="006B5483" w:rsidRPr="00AD55AA" w14:paraId="0797098D" w14:textId="77777777" w:rsidTr="006C3DD7">
        <w:trPr>
          <w:jc w:val="center"/>
        </w:trPr>
        <w:tc>
          <w:tcPr>
            <w:tcW w:w="0" w:type="auto"/>
            <w:tcBorders>
              <w:top w:val="single" w:sz="4" w:space="0" w:color="auto"/>
              <w:left w:val="nil"/>
              <w:right w:val="nil"/>
            </w:tcBorders>
          </w:tcPr>
          <w:p w14:paraId="478BB073" w14:textId="77777777" w:rsidR="006B5483" w:rsidRPr="00AD55AA" w:rsidRDefault="006B5483" w:rsidP="00AB6C46">
            <w:pPr>
              <w:widowControl w:val="0"/>
              <w:autoSpaceDE w:val="0"/>
              <w:autoSpaceDN w:val="0"/>
              <w:adjustRightInd w:val="0"/>
              <w:rPr>
                <w:sz w:val="22"/>
                <w:szCs w:val="22"/>
              </w:rPr>
            </w:pPr>
          </w:p>
        </w:tc>
        <w:tc>
          <w:tcPr>
            <w:tcW w:w="0" w:type="auto"/>
            <w:gridSpan w:val="2"/>
            <w:tcBorders>
              <w:top w:val="single" w:sz="4" w:space="0" w:color="auto"/>
              <w:left w:val="nil"/>
              <w:right w:val="nil"/>
            </w:tcBorders>
          </w:tcPr>
          <w:p w14:paraId="4CCFA1EE" w14:textId="1D8E847B" w:rsidR="006B5483" w:rsidRPr="00AD55AA" w:rsidRDefault="006B5483" w:rsidP="00AB6C46">
            <w:pPr>
              <w:widowControl w:val="0"/>
              <w:autoSpaceDE w:val="0"/>
              <w:autoSpaceDN w:val="0"/>
              <w:adjustRightInd w:val="0"/>
              <w:jc w:val="center"/>
              <w:rPr>
                <w:sz w:val="22"/>
                <w:szCs w:val="22"/>
              </w:rPr>
            </w:pPr>
          </w:p>
        </w:tc>
        <w:tc>
          <w:tcPr>
            <w:tcW w:w="0" w:type="auto"/>
            <w:gridSpan w:val="2"/>
            <w:tcBorders>
              <w:top w:val="single" w:sz="4" w:space="0" w:color="auto"/>
              <w:left w:val="nil"/>
              <w:right w:val="nil"/>
            </w:tcBorders>
          </w:tcPr>
          <w:p w14:paraId="54FCF6DB" w14:textId="068FFCBD" w:rsidR="006B5483" w:rsidRPr="00AD55AA" w:rsidRDefault="006C3DD7" w:rsidP="00AB6C46">
            <w:pPr>
              <w:widowControl w:val="0"/>
              <w:autoSpaceDE w:val="0"/>
              <w:autoSpaceDN w:val="0"/>
              <w:adjustRightInd w:val="0"/>
              <w:jc w:val="center"/>
              <w:rPr>
                <w:sz w:val="22"/>
                <w:szCs w:val="22"/>
              </w:rPr>
            </w:pPr>
            <w:r w:rsidRPr="00AD55AA">
              <w:rPr>
                <w:sz w:val="22"/>
                <w:szCs w:val="22"/>
              </w:rPr>
              <w:t>Capex</w:t>
            </w:r>
          </w:p>
        </w:tc>
      </w:tr>
      <w:tr w:rsidR="006B5483" w:rsidRPr="00AD55AA" w14:paraId="7DF4C73A" w14:textId="77777777" w:rsidTr="00AB6C46">
        <w:trPr>
          <w:jc w:val="center"/>
        </w:trPr>
        <w:tc>
          <w:tcPr>
            <w:tcW w:w="0" w:type="auto"/>
            <w:tcBorders>
              <w:left w:val="nil"/>
              <w:bottom w:val="single" w:sz="6" w:space="0" w:color="auto"/>
              <w:right w:val="nil"/>
            </w:tcBorders>
          </w:tcPr>
          <w:p w14:paraId="7A768681" w14:textId="77777777" w:rsidR="006B5483" w:rsidRPr="00AD55AA" w:rsidRDefault="006B5483" w:rsidP="006B5483">
            <w:pPr>
              <w:widowControl w:val="0"/>
              <w:autoSpaceDE w:val="0"/>
              <w:autoSpaceDN w:val="0"/>
              <w:adjustRightInd w:val="0"/>
              <w:rPr>
                <w:sz w:val="22"/>
                <w:szCs w:val="22"/>
              </w:rPr>
            </w:pPr>
            <w:r w:rsidRPr="00AD55AA">
              <w:rPr>
                <w:sz w:val="22"/>
                <w:szCs w:val="22"/>
              </w:rPr>
              <w:t>Variable:</w:t>
            </w:r>
          </w:p>
        </w:tc>
        <w:tc>
          <w:tcPr>
            <w:tcW w:w="0" w:type="auto"/>
            <w:tcBorders>
              <w:left w:val="nil"/>
              <w:bottom w:val="single" w:sz="6" w:space="0" w:color="auto"/>
              <w:right w:val="nil"/>
            </w:tcBorders>
          </w:tcPr>
          <w:p w14:paraId="301305D7" w14:textId="7F5FF6B0" w:rsidR="006B5483" w:rsidRPr="00AD55AA" w:rsidRDefault="006B5483" w:rsidP="006B5483">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64D3D010" w14:textId="7F7D2777" w:rsidR="006B5483" w:rsidRPr="00AD55AA" w:rsidRDefault="006B5483" w:rsidP="006B5483">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2CE1D02D" w14:textId="555B910E" w:rsidR="006B5483" w:rsidRPr="00AD55AA" w:rsidRDefault="006B5483" w:rsidP="006B5483">
            <w:pPr>
              <w:widowControl w:val="0"/>
              <w:autoSpaceDE w:val="0"/>
              <w:autoSpaceDN w:val="0"/>
              <w:adjustRightInd w:val="0"/>
              <w:jc w:val="center"/>
              <w:rPr>
                <w:sz w:val="22"/>
                <w:szCs w:val="22"/>
              </w:rPr>
            </w:pPr>
            <w:r w:rsidRPr="00AD55AA">
              <w:rPr>
                <w:sz w:val="22"/>
                <w:szCs w:val="22"/>
              </w:rPr>
              <w:t>(1)</w:t>
            </w:r>
          </w:p>
        </w:tc>
        <w:tc>
          <w:tcPr>
            <w:tcW w:w="0" w:type="auto"/>
            <w:tcBorders>
              <w:left w:val="nil"/>
              <w:bottom w:val="single" w:sz="6" w:space="0" w:color="auto"/>
              <w:right w:val="nil"/>
            </w:tcBorders>
          </w:tcPr>
          <w:p w14:paraId="6DFC2A6F" w14:textId="03A905BB" w:rsidR="006B5483" w:rsidRPr="00AD55AA" w:rsidRDefault="006B5483" w:rsidP="006B5483">
            <w:pPr>
              <w:widowControl w:val="0"/>
              <w:autoSpaceDE w:val="0"/>
              <w:autoSpaceDN w:val="0"/>
              <w:adjustRightInd w:val="0"/>
              <w:jc w:val="center"/>
              <w:rPr>
                <w:sz w:val="22"/>
                <w:szCs w:val="22"/>
              </w:rPr>
            </w:pPr>
            <w:r w:rsidRPr="00AD55AA">
              <w:rPr>
                <w:sz w:val="22"/>
                <w:szCs w:val="22"/>
              </w:rPr>
              <w:t>(2)</w:t>
            </w:r>
          </w:p>
        </w:tc>
      </w:tr>
      <w:tr w:rsidR="006B5483" w:rsidRPr="00AD55AA" w14:paraId="4A7D6468" w14:textId="77777777" w:rsidTr="00AB6C46">
        <w:trPr>
          <w:jc w:val="center"/>
        </w:trPr>
        <w:tc>
          <w:tcPr>
            <w:tcW w:w="0" w:type="auto"/>
            <w:tcBorders>
              <w:top w:val="nil"/>
              <w:left w:val="nil"/>
              <w:bottom w:val="nil"/>
              <w:right w:val="nil"/>
            </w:tcBorders>
          </w:tcPr>
          <w:p w14:paraId="328BF348" w14:textId="77777777" w:rsidR="006B5483" w:rsidRPr="00AD55AA" w:rsidRDefault="006B5483" w:rsidP="006B5483">
            <w:pPr>
              <w:widowControl w:val="0"/>
              <w:autoSpaceDE w:val="0"/>
              <w:autoSpaceDN w:val="0"/>
              <w:adjustRightInd w:val="0"/>
              <w:rPr>
                <w:sz w:val="22"/>
                <w:szCs w:val="22"/>
              </w:rPr>
            </w:pPr>
          </w:p>
        </w:tc>
        <w:tc>
          <w:tcPr>
            <w:tcW w:w="0" w:type="auto"/>
            <w:tcBorders>
              <w:top w:val="nil"/>
              <w:left w:val="nil"/>
              <w:bottom w:val="nil"/>
              <w:right w:val="nil"/>
            </w:tcBorders>
          </w:tcPr>
          <w:p w14:paraId="3E00EAB2"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44388AD3"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4832AA87"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5AC4C9C5" w14:textId="77777777" w:rsidR="006B5483" w:rsidRPr="00AD55AA" w:rsidRDefault="006B5483" w:rsidP="006B5483">
            <w:pPr>
              <w:widowControl w:val="0"/>
              <w:autoSpaceDE w:val="0"/>
              <w:autoSpaceDN w:val="0"/>
              <w:adjustRightInd w:val="0"/>
              <w:jc w:val="center"/>
              <w:rPr>
                <w:sz w:val="22"/>
                <w:szCs w:val="22"/>
              </w:rPr>
            </w:pPr>
          </w:p>
        </w:tc>
      </w:tr>
      <w:tr w:rsidR="00504F46" w:rsidRPr="00AD55AA" w14:paraId="5DAE5666" w14:textId="77777777" w:rsidTr="00AB6C46">
        <w:trPr>
          <w:jc w:val="center"/>
        </w:trPr>
        <w:tc>
          <w:tcPr>
            <w:tcW w:w="0" w:type="auto"/>
            <w:tcBorders>
              <w:top w:val="nil"/>
              <w:left w:val="nil"/>
              <w:bottom w:val="nil"/>
              <w:right w:val="nil"/>
            </w:tcBorders>
          </w:tcPr>
          <w:p w14:paraId="4781BB74" w14:textId="7DD92869" w:rsidR="00504F46" w:rsidRPr="00AD55AA" w:rsidRDefault="00504F46" w:rsidP="00504F46">
            <w:pPr>
              <w:widowControl w:val="0"/>
              <w:autoSpaceDE w:val="0"/>
              <w:autoSpaceDN w:val="0"/>
              <w:adjustRightInd w:val="0"/>
              <w:rPr>
                <w:sz w:val="22"/>
                <w:szCs w:val="22"/>
              </w:rPr>
            </w:pPr>
            <w:r w:rsidRPr="00AD55AA">
              <w:rPr>
                <w:sz w:val="22"/>
                <w:szCs w:val="22"/>
              </w:rPr>
              <w:t xml:space="preserve">FINSA SIC four-digit </w:t>
            </w:r>
          </w:p>
        </w:tc>
        <w:tc>
          <w:tcPr>
            <w:tcW w:w="0" w:type="auto"/>
            <w:tcBorders>
              <w:top w:val="nil"/>
              <w:left w:val="nil"/>
              <w:bottom w:val="nil"/>
              <w:right w:val="nil"/>
            </w:tcBorders>
          </w:tcPr>
          <w:p w14:paraId="57012A87" w14:textId="1F87C4E3"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62C971A1" w14:textId="4109B1AF"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65191F9A" w14:textId="4F494A5A" w:rsidR="00504F46" w:rsidRPr="00AD55AA" w:rsidRDefault="00504F46" w:rsidP="00504F46">
            <w:pPr>
              <w:widowControl w:val="0"/>
              <w:autoSpaceDE w:val="0"/>
              <w:autoSpaceDN w:val="0"/>
              <w:adjustRightInd w:val="0"/>
              <w:jc w:val="center"/>
              <w:rPr>
                <w:sz w:val="22"/>
                <w:szCs w:val="22"/>
              </w:rPr>
            </w:pPr>
            <w:r>
              <w:t>0.018</w:t>
            </w:r>
          </w:p>
        </w:tc>
        <w:tc>
          <w:tcPr>
            <w:tcW w:w="0" w:type="auto"/>
            <w:tcBorders>
              <w:top w:val="nil"/>
              <w:left w:val="nil"/>
              <w:bottom w:val="nil"/>
              <w:right w:val="nil"/>
            </w:tcBorders>
          </w:tcPr>
          <w:p w14:paraId="0FDE494A" w14:textId="77777777" w:rsidR="00504F46" w:rsidRPr="00AD55AA" w:rsidRDefault="00504F46" w:rsidP="00504F46">
            <w:pPr>
              <w:widowControl w:val="0"/>
              <w:autoSpaceDE w:val="0"/>
              <w:autoSpaceDN w:val="0"/>
              <w:adjustRightInd w:val="0"/>
              <w:jc w:val="center"/>
              <w:rPr>
                <w:sz w:val="22"/>
                <w:szCs w:val="22"/>
              </w:rPr>
            </w:pPr>
          </w:p>
        </w:tc>
      </w:tr>
      <w:tr w:rsidR="00504F46" w:rsidRPr="00AD55AA" w14:paraId="2EBE16C0" w14:textId="77777777" w:rsidTr="00AB6C46">
        <w:trPr>
          <w:jc w:val="center"/>
        </w:trPr>
        <w:tc>
          <w:tcPr>
            <w:tcW w:w="0" w:type="auto"/>
            <w:tcBorders>
              <w:top w:val="nil"/>
              <w:left w:val="nil"/>
              <w:bottom w:val="nil"/>
              <w:right w:val="nil"/>
            </w:tcBorders>
          </w:tcPr>
          <w:p w14:paraId="043581F1"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13C6A9D5" w14:textId="3698F130"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476E1B75" w14:textId="134844CD"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6620317E" w14:textId="6F6CE863" w:rsidR="00504F46" w:rsidRPr="00AD55AA" w:rsidRDefault="00504F46" w:rsidP="00504F46">
            <w:pPr>
              <w:widowControl w:val="0"/>
              <w:autoSpaceDE w:val="0"/>
              <w:autoSpaceDN w:val="0"/>
              <w:adjustRightInd w:val="0"/>
              <w:jc w:val="center"/>
              <w:rPr>
                <w:sz w:val="22"/>
                <w:szCs w:val="22"/>
              </w:rPr>
            </w:pPr>
            <w:r w:rsidRPr="003D7DA3">
              <w:rPr>
                <w:sz w:val="22"/>
                <w:szCs w:val="22"/>
              </w:rPr>
              <w:t>(1.47)</w:t>
            </w:r>
          </w:p>
        </w:tc>
        <w:tc>
          <w:tcPr>
            <w:tcW w:w="0" w:type="auto"/>
            <w:tcBorders>
              <w:top w:val="nil"/>
              <w:left w:val="nil"/>
              <w:bottom w:val="nil"/>
              <w:right w:val="nil"/>
            </w:tcBorders>
          </w:tcPr>
          <w:p w14:paraId="7C178E61" w14:textId="77777777" w:rsidR="00504F46" w:rsidRPr="00AD55AA" w:rsidRDefault="00504F46" w:rsidP="00504F46">
            <w:pPr>
              <w:widowControl w:val="0"/>
              <w:autoSpaceDE w:val="0"/>
              <w:autoSpaceDN w:val="0"/>
              <w:adjustRightInd w:val="0"/>
              <w:jc w:val="center"/>
              <w:rPr>
                <w:sz w:val="22"/>
                <w:szCs w:val="22"/>
              </w:rPr>
            </w:pPr>
          </w:p>
        </w:tc>
      </w:tr>
      <w:tr w:rsidR="00504F46" w:rsidRPr="00AD55AA" w14:paraId="1AA41B46" w14:textId="77777777" w:rsidTr="00AB6C46">
        <w:trPr>
          <w:jc w:val="center"/>
        </w:trPr>
        <w:tc>
          <w:tcPr>
            <w:tcW w:w="0" w:type="auto"/>
            <w:tcBorders>
              <w:top w:val="nil"/>
              <w:left w:val="nil"/>
              <w:bottom w:val="nil"/>
              <w:right w:val="nil"/>
            </w:tcBorders>
          </w:tcPr>
          <w:p w14:paraId="4D7B92CD" w14:textId="78CD37B5" w:rsidR="00504F46" w:rsidRPr="00AD55AA" w:rsidRDefault="00504F46" w:rsidP="00504F46">
            <w:pPr>
              <w:widowControl w:val="0"/>
              <w:autoSpaceDE w:val="0"/>
              <w:autoSpaceDN w:val="0"/>
              <w:adjustRightInd w:val="0"/>
              <w:rPr>
                <w:sz w:val="22"/>
                <w:szCs w:val="22"/>
              </w:rPr>
            </w:pPr>
            <w:r w:rsidRPr="00AD55AA">
              <w:rPr>
                <w:sz w:val="22"/>
                <w:szCs w:val="22"/>
              </w:rPr>
              <w:t xml:space="preserve">FINSA SIC three-digit </w:t>
            </w:r>
          </w:p>
        </w:tc>
        <w:tc>
          <w:tcPr>
            <w:tcW w:w="0" w:type="auto"/>
            <w:tcBorders>
              <w:top w:val="nil"/>
              <w:left w:val="nil"/>
              <w:bottom w:val="nil"/>
              <w:right w:val="nil"/>
            </w:tcBorders>
          </w:tcPr>
          <w:p w14:paraId="18BB8E27" w14:textId="77777777"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6E49332D" w14:textId="2469852C"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093D2A5B" w14:textId="6B7CD3F7"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0A8E92D8" w14:textId="0EB04C8C" w:rsidR="00504F46" w:rsidRPr="00AD55AA" w:rsidRDefault="00504F46" w:rsidP="00504F46">
            <w:pPr>
              <w:widowControl w:val="0"/>
              <w:autoSpaceDE w:val="0"/>
              <w:autoSpaceDN w:val="0"/>
              <w:adjustRightInd w:val="0"/>
              <w:jc w:val="center"/>
              <w:rPr>
                <w:sz w:val="22"/>
                <w:szCs w:val="22"/>
              </w:rPr>
            </w:pPr>
            <w:r w:rsidRPr="003D7DA3">
              <w:rPr>
                <w:sz w:val="22"/>
                <w:szCs w:val="22"/>
              </w:rPr>
              <w:t>0.008</w:t>
            </w:r>
          </w:p>
        </w:tc>
      </w:tr>
      <w:tr w:rsidR="00504F46" w:rsidRPr="00AD55AA" w14:paraId="258DA17D" w14:textId="77777777" w:rsidTr="00AB6C46">
        <w:trPr>
          <w:jc w:val="center"/>
        </w:trPr>
        <w:tc>
          <w:tcPr>
            <w:tcW w:w="0" w:type="auto"/>
            <w:tcBorders>
              <w:top w:val="nil"/>
              <w:left w:val="nil"/>
              <w:bottom w:val="nil"/>
              <w:right w:val="nil"/>
            </w:tcBorders>
          </w:tcPr>
          <w:p w14:paraId="24B705C0"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1C646EDE" w14:textId="77777777"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53FE0580" w14:textId="7F26AE70"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5325EAF2" w14:textId="2EDC9235"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70B331E2" w14:textId="5CED9D2D" w:rsidR="00504F46" w:rsidRPr="00AD55AA" w:rsidRDefault="00504F46" w:rsidP="00504F46">
            <w:pPr>
              <w:widowControl w:val="0"/>
              <w:autoSpaceDE w:val="0"/>
              <w:autoSpaceDN w:val="0"/>
              <w:adjustRightInd w:val="0"/>
              <w:jc w:val="center"/>
              <w:rPr>
                <w:sz w:val="22"/>
                <w:szCs w:val="22"/>
              </w:rPr>
            </w:pPr>
            <w:r w:rsidRPr="003D7DA3">
              <w:rPr>
                <w:sz w:val="22"/>
                <w:szCs w:val="22"/>
              </w:rPr>
              <w:t>(0.49)</w:t>
            </w:r>
          </w:p>
        </w:tc>
      </w:tr>
      <w:tr w:rsidR="00504F46" w:rsidRPr="00AD55AA" w14:paraId="1DBFCEA2" w14:textId="77777777" w:rsidTr="00AB6C46">
        <w:trPr>
          <w:jc w:val="center"/>
        </w:trPr>
        <w:tc>
          <w:tcPr>
            <w:tcW w:w="0" w:type="auto"/>
            <w:tcBorders>
              <w:top w:val="nil"/>
              <w:left w:val="nil"/>
              <w:bottom w:val="nil"/>
              <w:right w:val="nil"/>
            </w:tcBorders>
          </w:tcPr>
          <w:p w14:paraId="457911F3" w14:textId="67E4581E" w:rsidR="00504F46" w:rsidRPr="00AD55AA" w:rsidRDefault="00504F46" w:rsidP="00504F46">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0" w:type="auto"/>
            <w:tcBorders>
              <w:top w:val="nil"/>
              <w:left w:val="nil"/>
              <w:bottom w:val="nil"/>
              <w:right w:val="nil"/>
            </w:tcBorders>
          </w:tcPr>
          <w:p w14:paraId="50B27370" w14:textId="18B5C96F"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6903798F" w14:textId="09FF0D81"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455B560A" w14:textId="2CF2E29F" w:rsidR="00504F46" w:rsidRPr="00AD55AA" w:rsidRDefault="00504F46" w:rsidP="00504F46">
            <w:pPr>
              <w:widowControl w:val="0"/>
              <w:autoSpaceDE w:val="0"/>
              <w:autoSpaceDN w:val="0"/>
              <w:adjustRightInd w:val="0"/>
              <w:jc w:val="center"/>
              <w:rPr>
                <w:sz w:val="22"/>
                <w:szCs w:val="22"/>
              </w:rPr>
            </w:pPr>
            <w:r w:rsidRPr="003D7DA3">
              <w:rPr>
                <w:sz w:val="22"/>
                <w:szCs w:val="22"/>
              </w:rPr>
              <w:t>0.181***</w:t>
            </w:r>
          </w:p>
        </w:tc>
        <w:tc>
          <w:tcPr>
            <w:tcW w:w="0" w:type="auto"/>
            <w:tcBorders>
              <w:top w:val="nil"/>
              <w:left w:val="nil"/>
              <w:bottom w:val="nil"/>
              <w:right w:val="nil"/>
            </w:tcBorders>
          </w:tcPr>
          <w:p w14:paraId="5C009778" w14:textId="1E59C2AB" w:rsidR="00504F46" w:rsidRPr="00AD55AA" w:rsidRDefault="00504F46" w:rsidP="00504F46">
            <w:pPr>
              <w:widowControl w:val="0"/>
              <w:autoSpaceDE w:val="0"/>
              <w:autoSpaceDN w:val="0"/>
              <w:adjustRightInd w:val="0"/>
              <w:jc w:val="center"/>
              <w:rPr>
                <w:sz w:val="22"/>
                <w:szCs w:val="22"/>
              </w:rPr>
            </w:pPr>
            <w:r w:rsidRPr="003D7DA3">
              <w:rPr>
                <w:sz w:val="22"/>
                <w:szCs w:val="22"/>
              </w:rPr>
              <w:t>0.181***</w:t>
            </w:r>
          </w:p>
        </w:tc>
      </w:tr>
      <w:tr w:rsidR="00504F46" w:rsidRPr="00AD55AA" w14:paraId="3240B113" w14:textId="77777777" w:rsidTr="00AB6C46">
        <w:trPr>
          <w:jc w:val="center"/>
        </w:trPr>
        <w:tc>
          <w:tcPr>
            <w:tcW w:w="0" w:type="auto"/>
            <w:tcBorders>
              <w:top w:val="nil"/>
              <w:left w:val="nil"/>
              <w:bottom w:val="nil"/>
              <w:right w:val="nil"/>
            </w:tcBorders>
          </w:tcPr>
          <w:p w14:paraId="6266CFE0"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1D41B8F7" w14:textId="64E4415F"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7D61A77B" w14:textId="10FD6A50"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26630C07" w14:textId="02511303" w:rsidR="00504F46" w:rsidRPr="00AD55AA" w:rsidRDefault="00504F46" w:rsidP="00504F46">
            <w:pPr>
              <w:widowControl w:val="0"/>
              <w:autoSpaceDE w:val="0"/>
              <w:autoSpaceDN w:val="0"/>
              <w:adjustRightInd w:val="0"/>
              <w:jc w:val="center"/>
              <w:rPr>
                <w:sz w:val="22"/>
                <w:szCs w:val="22"/>
              </w:rPr>
            </w:pPr>
            <w:r w:rsidRPr="003D7DA3">
              <w:rPr>
                <w:sz w:val="22"/>
                <w:szCs w:val="22"/>
              </w:rPr>
              <w:t>(6.66)</w:t>
            </w:r>
          </w:p>
        </w:tc>
        <w:tc>
          <w:tcPr>
            <w:tcW w:w="0" w:type="auto"/>
            <w:tcBorders>
              <w:top w:val="nil"/>
              <w:left w:val="nil"/>
              <w:bottom w:val="nil"/>
              <w:right w:val="nil"/>
            </w:tcBorders>
          </w:tcPr>
          <w:p w14:paraId="40D12336" w14:textId="3C8CC1BB" w:rsidR="00504F46" w:rsidRPr="00AD55AA" w:rsidRDefault="00504F46" w:rsidP="00504F46">
            <w:pPr>
              <w:widowControl w:val="0"/>
              <w:autoSpaceDE w:val="0"/>
              <w:autoSpaceDN w:val="0"/>
              <w:adjustRightInd w:val="0"/>
              <w:jc w:val="center"/>
              <w:rPr>
                <w:sz w:val="22"/>
                <w:szCs w:val="22"/>
              </w:rPr>
            </w:pPr>
            <w:r w:rsidRPr="003D7DA3">
              <w:rPr>
                <w:sz w:val="22"/>
                <w:szCs w:val="22"/>
              </w:rPr>
              <w:t>(6.66)</w:t>
            </w:r>
          </w:p>
        </w:tc>
      </w:tr>
      <w:tr w:rsidR="00504F46" w:rsidRPr="00AD55AA" w14:paraId="281DDD70" w14:textId="77777777" w:rsidTr="00AB6C46">
        <w:trPr>
          <w:jc w:val="center"/>
        </w:trPr>
        <w:tc>
          <w:tcPr>
            <w:tcW w:w="0" w:type="auto"/>
            <w:tcBorders>
              <w:top w:val="nil"/>
              <w:left w:val="nil"/>
              <w:bottom w:val="nil"/>
              <w:right w:val="nil"/>
            </w:tcBorders>
          </w:tcPr>
          <w:p w14:paraId="76D5F34D" w14:textId="54ACFE7A" w:rsidR="00504F46" w:rsidRPr="00AD55AA" w:rsidRDefault="00504F46" w:rsidP="00504F46">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0" w:type="auto"/>
            <w:tcBorders>
              <w:top w:val="nil"/>
              <w:left w:val="nil"/>
              <w:bottom w:val="nil"/>
              <w:right w:val="nil"/>
            </w:tcBorders>
          </w:tcPr>
          <w:p w14:paraId="08E3C32B" w14:textId="37BC0394"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24C2F535" w14:textId="23ACD033"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6645A8A6" w14:textId="7BB6E546" w:rsidR="00504F46" w:rsidRPr="00AD55AA" w:rsidRDefault="00504F46" w:rsidP="00504F46">
            <w:pPr>
              <w:widowControl w:val="0"/>
              <w:autoSpaceDE w:val="0"/>
              <w:autoSpaceDN w:val="0"/>
              <w:adjustRightInd w:val="0"/>
              <w:jc w:val="center"/>
              <w:rPr>
                <w:sz w:val="22"/>
                <w:szCs w:val="22"/>
              </w:rPr>
            </w:pPr>
            <w:r w:rsidRPr="003D7DA3">
              <w:rPr>
                <w:sz w:val="22"/>
                <w:szCs w:val="22"/>
              </w:rPr>
              <w:t>-0.099***</w:t>
            </w:r>
          </w:p>
        </w:tc>
        <w:tc>
          <w:tcPr>
            <w:tcW w:w="0" w:type="auto"/>
            <w:tcBorders>
              <w:top w:val="nil"/>
              <w:left w:val="nil"/>
              <w:bottom w:val="nil"/>
              <w:right w:val="nil"/>
            </w:tcBorders>
          </w:tcPr>
          <w:p w14:paraId="1963E390" w14:textId="73C3D026" w:rsidR="00504F46" w:rsidRPr="00AD55AA" w:rsidRDefault="00504F46" w:rsidP="00504F46">
            <w:pPr>
              <w:widowControl w:val="0"/>
              <w:autoSpaceDE w:val="0"/>
              <w:autoSpaceDN w:val="0"/>
              <w:adjustRightInd w:val="0"/>
              <w:jc w:val="center"/>
              <w:rPr>
                <w:sz w:val="22"/>
                <w:szCs w:val="22"/>
              </w:rPr>
            </w:pPr>
            <w:r w:rsidRPr="003D7DA3">
              <w:rPr>
                <w:sz w:val="22"/>
                <w:szCs w:val="22"/>
              </w:rPr>
              <w:t>-0.098***</w:t>
            </w:r>
          </w:p>
        </w:tc>
      </w:tr>
      <w:tr w:rsidR="00504F46" w:rsidRPr="00AD55AA" w14:paraId="7CD7C924" w14:textId="77777777" w:rsidTr="00AB6C46">
        <w:trPr>
          <w:jc w:val="center"/>
        </w:trPr>
        <w:tc>
          <w:tcPr>
            <w:tcW w:w="0" w:type="auto"/>
            <w:tcBorders>
              <w:top w:val="nil"/>
              <w:left w:val="nil"/>
              <w:bottom w:val="nil"/>
              <w:right w:val="nil"/>
            </w:tcBorders>
          </w:tcPr>
          <w:p w14:paraId="1CC4C82A"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443FA8C2" w14:textId="759DAA6C"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5939E87A" w14:textId="42E21071"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1D986D89" w14:textId="5975DC5F" w:rsidR="00504F46" w:rsidRPr="00AD55AA" w:rsidRDefault="00504F46" w:rsidP="00504F46">
            <w:pPr>
              <w:widowControl w:val="0"/>
              <w:autoSpaceDE w:val="0"/>
              <w:autoSpaceDN w:val="0"/>
              <w:adjustRightInd w:val="0"/>
              <w:jc w:val="center"/>
              <w:rPr>
                <w:sz w:val="22"/>
                <w:szCs w:val="22"/>
              </w:rPr>
            </w:pPr>
            <w:r w:rsidRPr="003D7DA3">
              <w:rPr>
                <w:sz w:val="22"/>
                <w:szCs w:val="22"/>
              </w:rPr>
              <w:t>(-9.13)</w:t>
            </w:r>
          </w:p>
        </w:tc>
        <w:tc>
          <w:tcPr>
            <w:tcW w:w="0" w:type="auto"/>
            <w:tcBorders>
              <w:top w:val="nil"/>
              <w:left w:val="nil"/>
              <w:bottom w:val="nil"/>
              <w:right w:val="nil"/>
            </w:tcBorders>
          </w:tcPr>
          <w:p w14:paraId="7BAED2BE" w14:textId="5EC92141" w:rsidR="00504F46" w:rsidRPr="00AD55AA" w:rsidRDefault="00504F46" w:rsidP="00504F46">
            <w:pPr>
              <w:widowControl w:val="0"/>
              <w:autoSpaceDE w:val="0"/>
              <w:autoSpaceDN w:val="0"/>
              <w:adjustRightInd w:val="0"/>
              <w:jc w:val="center"/>
              <w:rPr>
                <w:sz w:val="22"/>
                <w:szCs w:val="22"/>
              </w:rPr>
            </w:pPr>
            <w:r w:rsidRPr="003D7DA3">
              <w:rPr>
                <w:sz w:val="22"/>
                <w:szCs w:val="22"/>
              </w:rPr>
              <w:t>(-9.08)</w:t>
            </w:r>
          </w:p>
        </w:tc>
      </w:tr>
      <w:tr w:rsidR="00504F46" w:rsidRPr="00AD55AA" w14:paraId="550D9C63" w14:textId="77777777" w:rsidTr="00AB6C46">
        <w:trPr>
          <w:jc w:val="center"/>
        </w:trPr>
        <w:tc>
          <w:tcPr>
            <w:tcW w:w="0" w:type="auto"/>
            <w:tcBorders>
              <w:top w:val="nil"/>
              <w:left w:val="nil"/>
              <w:bottom w:val="nil"/>
              <w:right w:val="nil"/>
            </w:tcBorders>
          </w:tcPr>
          <w:p w14:paraId="7D4C6FAC" w14:textId="48D3698F" w:rsidR="00504F46" w:rsidRPr="00AD55AA" w:rsidRDefault="00504F46" w:rsidP="00504F46">
            <w:pPr>
              <w:widowControl w:val="0"/>
              <w:autoSpaceDE w:val="0"/>
              <w:autoSpaceDN w:val="0"/>
              <w:adjustRightInd w:val="0"/>
              <w:rPr>
                <w:sz w:val="22"/>
                <w:szCs w:val="22"/>
              </w:rPr>
            </w:pPr>
            <w:r w:rsidRPr="00AD55AA">
              <w:rPr>
                <w:sz w:val="22"/>
                <w:szCs w:val="22"/>
              </w:rPr>
              <w:t>Size</w:t>
            </w:r>
            <w:r>
              <w:rPr>
                <w:sz w:val="22"/>
                <w:szCs w:val="22"/>
              </w:rPr>
              <w:t xml:space="preserve"> </w:t>
            </w:r>
          </w:p>
        </w:tc>
        <w:tc>
          <w:tcPr>
            <w:tcW w:w="0" w:type="auto"/>
            <w:tcBorders>
              <w:top w:val="nil"/>
              <w:left w:val="nil"/>
              <w:bottom w:val="nil"/>
              <w:right w:val="nil"/>
            </w:tcBorders>
          </w:tcPr>
          <w:p w14:paraId="78651497" w14:textId="5AEAB64E"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58D3CF7A" w14:textId="3C9FD63D"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50CB6771" w14:textId="557AD282" w:rsidR="00504F46" w:rsidRPr="00AD55AA" w:rsidRDefault="00504F46" w:rsidP="00504F46">
            <w:pPr>
              <w:widowControl w:val="0"/>
              <w:autoSpaceDE w:val="0"/>
              <w:autoSpaceDN w:val="0"/>
              <w:adjustRightInd w:val="0"/>
              <w:jc w:val="center"/>
              <w:rPr>
                <w:sz w:val="22"/>
                <w:szCs w:val="22"/>
              </w:rPr>
            </w:pPr>
            <w:r w:rsidRPr="003D7DA3">
              <w:rPr>
                <w:sz w:val="22"/>
                <w:szCs w:val="22"/>
              </w:rPr>
              <w:t>-0.110***</w:t>
            </w:r>
          </w:p>
        </w:tc>
        <w:tc>
          <w:tcPr>
            <w:tcW w:w="0" w:type="auto"/>
            <w:tcBorders>
              <w:top w:val="nil"/>
              <w:left w:val="nil"/>
              <w:bottom w:val="nil"/>
              <w:right w:val="nil"/>
            </w:tcBorders>
          </w:tcPr>
          <w:p w14:paraId="264C3803" w14:textId="3E409A2E" w:rsidR="00504F46" w:rsidRPr="00AD55AA" w:rsidRDefault="00504F46" w:rsidP="00504F46">
            <w:pPr>
              <w:widowControl w:val="0"/>
              <w:autoSpaceDE w:val="0"/>
              <w:autoSpaceDN w:val="0"/>
              <w:adjustRightInd w:val="0"/>
              <w:jc w:val="center"/>
              <w:rPr>
                <w:sz w:val="22"/>
                <w:szCs w:val="22"/>
              </w:rPr>
            </w:pPr>
            <w:r w:rsidRPr="003D7DA3">
              <w:rPr>
                <w:sz w:val="22"/>
                <w:szCs w:val="22"/>
              </w:rPr>
              <w:t>-0.110***</w:t>
            </w:r>
          </w:p>
        </w:tc>
      </w:tr>
      <w:tr w:rsidR="00504F46" w:rsidRPr="00AD55AA" w14:paraId="1891F1E2" w14:textId="77777777" w:rsidTr="00AB6C46">
        <w:trPr>
          <w:jc w:val="center"/>
        </w:trPr>
        <w:tc>
          <w:tcPr>
            <w:tcW w:w="0" w:type="auto"/>
            <w:tcBorders>
              <w:top w:val="nil"/>
              <w:left w:val="nil"/>
              <w:bottom w:val="nil"/>
              <w:right w:val="nil"/>
            </w:tcBorders>
          </w:tcPr>
          <w:p w14:paraId="06355EE1"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48859A35" w14:textId="0C06B930"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4879AD22" w14:textId="7960A77F"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7EF3CEEF" w14:textId="572C4B8F" w:rsidR="00504F46" w:rsidRPr="00AD55AA" w:rsidRDefault="00504F46" w:rsidP="00504F46">
            <w:pPr>
              <w:widowControl w:val="0"/>
              <w:autoSpaceDE w:val="0"/>
              <w:autoSpaceDN w:val="0"/>
              <w:adjustRightInd w:val="0"/>
              <w:jc w:val="center"/>
              <w:rPr>
                <w:sz w:val="22"/>
                <w:szCs w:val="22"/>
              </w:rPr>
            </w:pPr>
            <w:r w:rsidRPr="003D7DA3">
              <w:rPr>
                <w:sz w:val="22"/>
                <w:szCs w:val="22"/>
              </w:rPr>
              <w:t>(-10.44)</w:t>
            </w:r>
          </w:p>
        </w:tc>
        <w:tc>
          <w:tcPr>
            <w:tcW w:w="0" w:type="auto"/>
            <w:tcBorders>
              <w:top w:val="nil"/>
              <w:left w:val="nil"/>
              <w:bottom w:val="nil"/>
              <w:right w:val="nil"/>
            </w:tcBorders>
          </w:tcPr>
          <w:p w14:paraId="6A56A201" w14:textId="285FD8C5" w:rsidR="00504F46" w:rsidRPr="00AD55AA" w:rsidRDefault="00504F46" w:rsidP="00504F46">
            <w:pPr>
              <w:widowControl w:val="0"/>
              <w:autoSpaceDE w:val="0"/>
              <w:autoSpaceDN w:val="0"/>
              <w:adjustRightInd w:val="0"/>
              <w:jc w:val="center"/>
              <w:rPr>
                <w:sz w:val="22"/>
                <w:szCs w:val="22"/>
              </w:rPr>
            </w:pPr>
            <w:r w:rsidRPr="003D7DA3">
              <w:rPr>
                <w:sz w:val="22"/>
                <w:szCs w:val="22"/>
              </w:rPr>
              <w:t>(-10.43)</w:t>
            </w:r>
          </w:p>
        </w:tc>
      </w:tr>
      <w:tr w:rsidR="00504F46" w:rsidRPr="00AD55AA" w14:paraId="4DFCC822" w14:textId="77777777" w:rsidTr="00AB6C46">
        <w:trPr>
          <w:jc w:val="center"/>
        </w:trPr>
        <w:tc>
          <w:tcPr>
            <w:tcW w:w="0" w:type="auto"/>
            <w:tcBorders>
              <w:top w:val="nil"/>
              <w:left w:val="nil"/>
              <w:bottom w:val="nil"/>
              <w:right w:val="nil"/>
            </w:tcBorders>
          </w:tcPr>
          <w:p w14:paraId="31F925B2" w14:textId="275AAB2B" w:rsidR="00504F46" w:rsidRPr="00AD55AA" w:rsidRDefault="00504F46" w:rsidP="00504F46">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0" w:type="auto"/>
            <w:tcBorders>
              <w:top w:val="nil"/>
              <w:left w:val="nil"/>
              <w:bottom w:val="nil"/>
              <w:right w:val="nil"/>
            </w:tcBorders>
          </w:tcPr>
          <w:p w14:paraId="3E27F927" w14:textId="53DEBA86"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1E8E1EB1" w14:textId="78FB1843"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4D3C37C1" w14:textId="601470CE" w:rsidR="00504F46" w:rsidRPr="00AD55AA" w:rsidRDefault="00504F46" w:rsidP="00504F46">
            <w:pPr>
              <w:widowControl w:val="0"/>
              <w:autoSpaceDE w:val="0"/>
              <w:autoSpaceDN w:val="0"/>
              <w:adjustRightInd w:val="0"/>
              <w:jc w:val="center"/>
              <w:rPr>
                <w:sz w:val="22"/>
                <w:szCs w:val="22"/>
              </w:rPr>
            </w:pPr>
            <w:r w:rsidRPr="003D7DA3">
              <w:rPr>
                <w:sz w:val="22"/>
                <w:szCs w:val="22"/>
              </w:rPr>
              <w:t>0.015***</w:t>
            </w:r>
          </w:p>
        </w:tc>
        <w:tc>
          <w:tcPr>
            <w:tcW w:w="0" w:type="auto"/>
            <w:tcBorders>
              <w:top w:val="nil"/>
              <w:left w:val="nil"/>
              <w:bottom w:val="nil"/>
              <w:right w:val="nil"/>
            </w:tcBorders>
          </w:tcPr>
          <w:p w14:paraId="1A33BD95" w14:textId="1352F7C4" w:rsidR="00504F46" w:rsidRPr="00AD55AA" w:rsidRDefault="00504F46" w:rsidP="00504F46">
            <w:pPr>
              <w:widowControl w:val="0"/>
              <w:autoSpaceDE w:val="0"/>
              <w:autoSpaceDN w:val="0"/>
              <w:adjustRightInd w:val="0"/>
              <w:jc w:val="center"/>
              <w:rPr>
                <w:sz w:val="22"/>
                <w:szCs w:val="22"/>
              </w:rPr>
            </w:pPr>
            <w:r w:rsidRPr="003D7DA3">
              <w:rPr>
                <w:sz w:val="22"/>
                <w:szCs w:val="22"/>
              </w:rPr>
              <w:t>0.015***</w:t>
            </w:r>
          </w:p>
        </w:tc>
      </w:tr>
      <w:tr w:rsidR="00504F46" w:rsidRPr="00AD55AA" w14:paraId="58453816" w14:textId="77777777" w:rsidTr="00AB6C46">
        <w:trPr>
          <w:jc w:val="center"/>
        </w:trPr>
        <w:tc>
          <w:tcPr>
            <w:tcW w:w="0" w:type="auto"/>
            <w:tcBorders>
              <w:top w:val="nil"/>
              <w:left w:val="nil"/>
              <w:bottom w:val="nil"/>
              <w:right w:val="nil"/>
            </w:tcBorders>
          </w:tcPr>
          <w:p w14:paraId="7596935F"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2CA0873E" w14:textId="6AA2A8B5"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2571265F" w14:textId="22A68E02"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00D9E3FB" w14:textId="6CEB05C5" w:rsidR="00504F46" w:rsidRPr="00AD55AA" w:rsidRDefault="00504F46" w:rsidP="00504F46">
            <w:pPr>
              <w:widowControl w:val="0"/>
              <w:autoSpaceDE w:val="0"/>
              <w:autoSpaceDN w:val="0"/>
              <w:adjustRightInd w:val="0"/>
              <w:jc w:val="center"/>
              <w:rPr>
                <w:sz w:val="22"/>
                <w:szCs w:val="22"/>
              </w:rPr>
            </w:pPr>
            <w:r w:rsidRPr="003D7DA3">
              <w:rPr>
                <w:sz w:val="22"/>
                <w:szCs w:val="22"/>
              </w:rPr>
              <w:t>(12.94)</w:t>
            </w:r>
          </w:p>
        </w:tc>
        <w:tc>
          <w:tcPr>
            <w:tcW w:w="0" w:type="auto"/>
            <w:tcBorders>
              <w:top w:val="nil"/>
              <w:left w:val="nil"/>
              <w:bottom w:val="nil"/>
              <w:right w:val="nil"/>
            </w:tcBorders>
          </w:tcPr>
          <w:p w14:paraId="420BC304" w14:textId="08F1F394" w:rsidR="00504F46" w:rsidRPr="00AD55AA" w:rsidRDefault="00504F46" w:rsidP="00504F46">
            <w:pPr>
              <w:widowControl w:val="0"/>
              <w:autoSpaceDE w:val="0"/>
              <w:autoSpaceDN w:val="0"/>
              <w:adjustRightInd w:val="0"/>
              <w:jc w:val="center"/>
              <w:rPr>
                <w:sz w:val="22"/>
                <w:szCs w:val="22"/>
              </w:rPr>
            </w:pPr>
            <w:r w:rsidRPr="003D7DA3">
              <w:rPr>
                <w:sz w:val="22"/>
                <w:szCs w:val="22"/>
              </w:rPr>
              <w:t>(12.96)</w:t>
            </w:r>
          </w:p>
        </w:tc>
      </w:tr>
      <w:tr w:rsidR="00504F46" w:rsidRPr="00AD55AA" w14:paraId="67A320EC" w14:textId="77777777" w:rsidTr="00AB6C46">
        <w:trPr>
          <w:jc w:val="center"/>
        </w:trPr>
        <w:tc>
          <w:tcPr>
            <w:tcW w:w="0" w:type="auto"/>
            <w:tcBorders>
              <w:top w:val="nil"/>
              <w:left w:val="nil"/>
              <w:bottom w:val="nil"/>
              <w:right w:val="nil"/>
            </w:tcBorders>
          </w:tcPr>
          <w:p w14:paraId="72857BCE" w14:textId="77777777" w:rsidR="00504F46" w:rsidRPr="00AD55AA" w:rsidRDefault="00504F46" w:rsidP="00504F46">
            <w:pPr>
              <w:widowControl w:val="0"/>
              <w:autoSpaceDE w:val="0"/>
              <w:autoSpaceDN w:val="0"/>
              <w:adjustRightInd w:val="0"/>
              <w:rPr>
                <w:sz w:val="22"/>
                <w:szCs w:val="22"/>
              </w:rPr>
            </w:pPr>
            <w:r w:rsidRPr="00AD55AA">
              <w:rPr>
                <w:sz w:val="22"/>
                <w:szCs w:val="22"/>
              </w:rPr>
              <w:t>Constant</w:t>
            </w:r>
          </w:p>
        </w:tc>
        <w:tc>
          <w:tcPr>
            <w:tcW w:w="0" w:type="auto"/>
            <w:tcBorders>
              <w:top w:val="nil"/>
              <w:left w:val="nil"/>
              <w:bottom w:val="nil"/>
              <w:right w:val="nil"/>
            </w:tcBorders>
          </w:tcPr>
          <w:p w14:paraId="05EB898C" w14:textId="131D0AB3"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38086F24" w14:textId="7D2F1A9E"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369C8328" w14:textId="1949EFE5" w:rsidR="00504F46" w:rsidRPr="00AD55AA" w:rsidRDefault="00504F46" w:rsidP="00504F46">
            <w:pPr>
              <w:widowControl w:val="0"/>
              <w:autoSpaceDE w:val="0"/>
              <w:autoSpaceDN w:val="0"/>
              <w:adjustRightInd w:val="0"/>
              <w:jc w:val="center"/>
              <w:rPr>
                <w:sz w:val="22"/>
                <w:szCs w:val="22"/>
              </w:rPr>
            </w:pPr>
            <w:r w:rsidRPr="003D7DA3">
              <w:rPr>
                <w:sz w:val="22"/>
                <w:szCs w:val="22"/>
              </w:rPr>
              <w:t>0.939***</w:t>
            </w:r>
          </w:p>
        </w:tc>
        <w:tc>
          <w:tcPr>
            <w:tcW w:w="0" w:type="auto"/>
            <w:tcBorders>
              <w:top w:val="nil"/>
              <w:left w:val="nil"/>
              <w:bottom w:val="nil"/>
              <w:right w:val="nil"/>
            </w:tcBorders>
          </w:tcPr>
          <w:p w14:paraId="2D606F86" w14:textId="3807A4A5" w:rsidR="00504F46" w:rsidRPr="00AD55AA" w:rsidRDefault="00504F46" w:rsidP="00504F46">
            <w:pPr>
              <w:widowControl w:val="0"/>
              <w:autoSpaceDE w:val="0"/>
              <w:autoSpaceDN w:val="0"/>
              <w:adjustRightInd w:val="0"/>
              <w:jc w:val="center"/>
              <w:rPr>
                <w:sz w:val="22"/>
                <w:szCs w:val="22"/>
              </w:rPr>
            </w:pPr>
            <w:r w:rsidRPr="003D7DA3">
              <w:rPr>
                <w:sz w:val="22"/>
                <w:szCs w:val="22"/>
              </w:rPr>
              <w:t>0.940***</w:t>
            </w:r>
          </w:p>
        </w:tc>
      </w:tr>
      <w:tr w:rsidR="00504F46" w:rsidRPr="00AD55AA" w14:paraId="586F9B73" w14:textId="77777777" w:rsidTr="00AB6C46">
        <w:trPr>
          <w:jc w:val="center"/>
        </w:trPr>
        <w:tc>
          <w:tcPr>
            <w:tcW w:w="0" w:type="auto"/>
            <w:tcBorders>
              <w:top w:val="nil"/>
              <w:left w:val="nil"/>
              <w:bottom w:val="nil"/>
              <w:right w:val="nil"/>
            </w:tcBorders>
          </w:tcPr>
          <w:p w14:paraId="7832F53E"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55F740DC" w14:textId="3F2FA74B"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09802326" w14:textId="5C302CB3"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nil"/>
              <w:right w:val="nil"/>
            </w:tcBorders>
          </w:tcPr>
          <w:p w14:paraId="13D11983" w14:textId="0AFBC6B8" w:rsidR="00504F46" w:rsidRPr="00AD55AA" w:rsidRDefault="00504F46" w:rsidP="00504F46">
            <w:pPr>
              <w:widowControl w:val="0"/>
              <w:autoSpaceDE w:val="0"/>
              <w:autoSpaceDN w:val="0"/>
              <w:adjustRightInd w:val="0"/>
              <w:jc w:val="center"/>
              <w:rPr>
                <w:sz w:val="22"/>
                <w:szCs w:val="22"/>
              </w:rPr>
            </w:pPr>
            <w:r w:rsidRPr="003D7DA3">
              <w:rPr>
                <w:sz w:val="22"/>
                <w:szCs w:val="22"/>
              </w:rPr>
              <w:t>(16.77)</w:t>
            </w:r>
          </w:p>
        </w:tc>
        <w:tc>
          <w:tcPr>
            <w:tcW w:w="0" w:type="auto"/>
            <w:tcBorders>
              <w:top w:val="nil"/>
              <w:left w:val="nil"/>
              <w:bottom w:val="nil"/>
              <w:right w:val="nil"/>
            </w:tcBorders>
          </w:tcPr>
          <w:p w14:paraId="57CC6C9D" w14:textId="2D1DA96C" w:rsidR="00504F46" w:rsidRPr="00AD55AA" w:rsidRDefault="00504F46" w:rsidP="00504F46">
            <w:pPr>
              <w:widowControl w:val="0"/>
              <w:autoSpaceDE w:val="0"/>
              <w:autoSpaceDN w:val="0"/>
              <w:adjustRightInd w:val="0"/>
              <w:jc w:val="center"/>
              <w:rPr>
                <w:sz w:val="22"/>
                <w:szCs w:val="22"/>
              </w:rPr>
            </w:pPr>
            <w:r w:rsidRPr="003D7DA3">
              <w:rPr>
                <w:sz w:val="22"/>
                <w:szCs w:val="22"/>
              </w:rPr>
              <w:t>(17.14)</w:t>
            </w:r>
          </w:p>
        </w:tc>
      </w:tr>
      <w:tr w:rsidR="006B5483" w:rsidRPr="00AD55AA" w14:paraId="5C05172F" w14:textId="77777777" w:rsidTr="00AB6C46">
        <w:trPr>
          <w:jc w:val="center"/>
        </w:trPr>
        <w:tc>
          <w:tcPr>
            <w:tcW w:w="0" w:type="auto"/>
            <w:tcBorders>
              <w:top w:val="nil"/>
              <w:left w:val="nil"/>
              <w:bottom w:val="nil"/>
              <w:right w:val="nil"/>
            </w:tcBorders>
          </w:tcPr>
          <w:p w14:paraId="4CAB7181" w14:textId="77777777" w:rsidR="006B5483" w:rsidRPr="00AD55AA" w:rsidRDefault="006B5483" w:rsidP="006B5483">
            <w:pPr>
              <w:widowControl w:val="0"/>
              <w:autoSpaceDE w:val="0"/>
              <w:autoSpaceDN w:val="0"/>
              <w:adjustRightInd w:val="0"/>
              <w:rPr>
                <w:sz w:val="22"/>
                <w:szCs w:val="22"/>
              </w:rPr>
            </w:pPr>
          </w:p>
        </w:tc>
        <w:tc>
          <w:tcPr>
            <w:tcW w:w="0" w:type="auto"/>
            <w:tcBorders>
              <w:top w:val="nil"/>
              <w:left w:val="nil"/>
              <w:bottom w:val="nil"/>
              <w:right w:val="nil"/>
            </w:tcBorders>
          </w:tcPr>
          <w:p w14:paraId="682E3CD3"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50E0581F"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49A18590"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548DB928" w14:textId="77777777" w:rsidR="006B5483" w:rsidRPr="00AD55AA" w:rsidRDefault="006B5483" w:rsidP="006B5483">
            <w:pPr>
              <w:widowControl w:val="0"/>
              <w:autoSpaceDE w:val="0"/>
              <w:autoSpaceDN w:val="0"/>
              <w:adjustRightInd w:val="0"/>
              <w:jc w:val="center"/>
              <w:rPr>
                <w:sz w:val="22"/>
                <w:szCs w:val="22"/>
              </w:rPr>
            </w:pPr>
          </w:p>
        </w:tc>
      </w:tr>
      <w:tr w:rsidR="006B5483" w:rsidRPr="00AD55AA" w14:paraId="6527DAD4" w14:textId="77777777" w:rsidTr="00AB6C46">
        <w:trPr>
          <w:jc w:val="center"/>
        </w:trPr>
        <w:tc>
          <w:tcPr>
            <w:tcW w:w="0" w:type="auto"/>
            <w:tcBorders>
              <w:top w:val="nil"/>
              <w:left w:val="nil"/>
              <w:bottom w:val="nil"/>
              <w:right w:val="nil"/>
            </w:tcBorders>
          </w:tcPr>
          <w:p w14:paraId="4A57563E" w14:textId="77777777" w:rsidR="006B5483" w:rsidRPr="00AD55AA" w:rsidRDefault="006B5483" w:rsidP="006B5483">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13945F25" w14:textId="69C75979"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3E12C105" w14:textId="2231C10A"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7083A798" w14:textId="4D61B046" w:rsidR="006B5483" w:rsidRPr="00AD55AA" w:rsidRDefault="006B5483" w:rsidP="006B548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05C156B4" w14:textId="755EBEA8" w:rsidR="006B5483" w:rsidRPr="00AD55AA" w:rsidRDefault="006B5483" w:rsidP="006B5483">
            <w:pPr>
              <w:widowControl w:val="0"/>
              <w:autoSpaceDE w:val="0"/>
              <w:autoSpaceDN w:val="0"/>
              <w:adjustRightInd w:val="0"/>
              <w:jc w:val="center"/>
              <w:rPr>
                <w:sz w:val="22"/>
                <w:szCs w:val="22"/>
              </w:rPr>
            </w:pPr>
            <w:r w:rsidRPr="00AD55AA">
              <w:rPr>
                <w:sz w:val="22"/>
                <w:szCs w:val="22"/>
              </w:rPr>
              <w:t>Yes</w:t>
            </w:r>
          </w:p>
        </w:tc>
      </w:tr>
      <w:tr w:rsidR="006B5483" w:rsidRPr="00AD55AA" w14:paraId="058AB6E0" w14:textId="77777777" w:rsidTr="00AB6C46">
        <w:trPr>
          <w:jc w:val="center"/>
        </w:trPr>
        <w:tc>
          <w:tcPr>
            <w:tcW w:w="0" w:type="auto"/>
            <w:tcBorders>
              <w:top w:val="nil"/>
              <w:left w:val="nil"/>
              <w:bottom w:val="nil"/>
              <w:right w:val="nil"/>
            </w:tcBorders>
          </w:tcPr>
          <w:p w14:paraId="4502F3FF" w14:textId="77777777" w:rsidR="006B5483" w:rsidRPr="00AD55AA" w:rsidRDefault="006B5483" w:rsidP="006B5483">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bottom w:val="nil"/>
              <w:right w:val="nil"/>
            </w:tcBorders>
          </w:tcPr>
          <w:p w14:paraId="1D575694" w14:textId="32BCD331"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3AA1368B" w14:textId="1FC063AE"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bottom w:val="nil"/>
              <w:right w:val="nil"/>
            </w:tcBorders>
          </w:tcPr>
          <w:p w14:paraId="55B656F9" w14:textId="37B43F1A" w:rsidR="006B5483" w:rsidRPr="00AD55AA" w:rsidRDefault="006B5483" w:rsidP="006B548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4F337E8D" w14:textId="7A6023C0" w:rsidR="006B5483" w:rsidRPr="00AD55AA" w:rsidRDefault="006B5483" w:rsidP="006B5483">
            <w:pPr>
              <w:widowControl w:val="0"/>
              <w:autoSpaceDE w:val="0"/>
              <w:autoSpaceDN w:val="0"/>
              <w:adjustRightInd w:val="0"/>
              <w:jc w:val="center"/>
              <w:rPr>
                <w:sz w:val="22"/>
                <w:szCs w:val="22"/>
              </w:rPr>
            </w:pPr>
            <w:r w:rsidRPr="00AD55AA">
              <w:rPr>
                <w:sz w:val="22"/>
                <w:szCs w:val="22"/>
              </w:rPr>
              <w:t>Yes</w:t>
            </w:r>
          </w:p>
        </w:tc>
      </w:tr>
      <w:tr w:rsidR="006B5483" w:rsidRPr="00AD55AA" w14:paraId="1D89ADAD" w14:textId="77777777" w:rsidTr="00AB6C46">
        <w:trPr>
          <w:jc w:val="center"/>
        </w:trPr>
        <w:tc>
          <w:tcPr>
            <w:tcW w:w="0" w:type="auto"/>
            <w:tcBorders>
              <w:top w:val="nil"/>
              <w:left w:val="nil"/>
              <w:right w:val="nil"/>
            </w:tcBorders>
          </w:tcPr>
          <w:p w14:paraId="35966613" w14:textId="77777777" w:rsidR="006B5483" w:rsidRPr="00AD55AA" w:rsidRDefault="006B5483" w:rsidP="006B5483">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65D6B14E" w14:textId="1B5122AF"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right w:val="nil"/>
            </w:tcBorders>
          </w:tcPr>
          <w:p w14:paraId="785CE555" w14:textId="10FED57F" w:rsidR="006B5483" w:rsidRPr="00AD55AA" w:rsidRDefault="006B5483" w:rsidP="006B5483">
            <w:pPr>
              <w:widowControl w:val="0"/>
              <w:autoSpaceDE w:val="0"/>
              <w:autoSpaceDN w:val="0"/>
              <w:adjustRightInd w:val="0"/>
              <w:jc w:val="center"/>
              <w:rPr>
                <w:sz w:val="22"/>
                <w:szCs w:val="22"/>
              </w:rPr>
            </w:pPr>
          </w:p>
        </w:tc>
        <w:tc>
          <w:tcPr>
            <w:tcW w:w="0" w:type="auto"/>
            <w:tcBorders>
              <w:top w:val="nil"/>
              <w:left w:val="nil"/>
              <w:right w:val="nil"/>
            </w:tcBorders>
          </w:tcPr>
          <w:p w14:paraId="1ED6F294" w14:textId="18E5A1D6" w:rsidR="006B5483" w:rsidRPr="00AD55AA" w:rsidRDefault="006B5483" w:rsidP="006B5483">
            <w:pPr>
              <w:widowControl w:val="0"/>
              <w:autoSpaceDE w:val="0"/>
              <w:autoSpaceDN w:val="0"/>
              <w:adjustRightInd w:val="0"/>
              <w:jc w:val="center"/>
              <w:rPr>
                <w:sz w:val="22"/>
                <w:szCs w:val="22"/>
              </w:rPr>
            </w:pPr>
            <w:r w:rsidRPr="00AD55AA">
              <w:rPr>
                <w:sz w:val="22"/>
                <w:szCs w:val="22"/>
              </w:rPr>
              <w:t>80,686</w:t>
            </w:r>
          </w:p>
        </w:tc>
        <w:tc>
          <w:tcPr>
            <w:tcW w:w="0" w:type="auto"/>
            <w:tcBorders>
              <w:top w:val="nil"/>
              <w:left w:val="nil"/>
              <w:right w:val="nil"/>
            </w:tcBorders>
          </w:tcPr>
          <w:p w14:paraId="3724E59E" w14:textId="580598F0" w:rsidR="006B5483" w:rsidRPr="00AD55AA" w:rsidRDefault="006B5483" w:rsidP="006B5483">
            <w:pPr>
              <w:widowControl w:val="0"/>
              <w:autoSpaceDE w:val="0"/>
              <w:autoSpaceDN w:val="0"/>
              <w:adjustRightInd w:val="0"/>
              <w:jc w:val="center"/>
              <w:rPr>
                <w:sz w:val="22"/>
                <w:szCs w:val="22"/>
              </w:rPr>
            </w:pPr>
            <w:r w:rsidRPr="00AD55AA">
              <w:rPr>
                <w:sz w:val="22"/>
                <w:szCs w:val="22"/>
              </w:rPr>
              <w:t>80,686</w:t>
            </w:r>
          </w:p>
        </w:tc>
      </w:tr>
      <w:tr w:rsidR="00504F46" w:rsidRPr="00AD55AA" w14:paraId="7D3AC06C" w14:textId="77777777" w:rsidTr="00AB6C46">
        <w:tblPrEx>
          <w:tblBorders>
            <w:bottom w:val="single" w:sz="6" w:space="0" w:color="auto"/>
          </w:tblBorders>
        </w:tblPrEx>
        <w:trPr>
          <w:jc w:val="center"/>
        </w:trPr>
        <w:tc>
          <w:tcPr>
            <w:tcW w:w="0" w:type="auto"/>
            <w:tcBorders>
              <w:top w:val="nil"/>
              <w:left w:val="nil"/>
              <w:bottom w:val="single" w:sz="4" w:space="0" w:color="auto"/>
              <w:right w:val="nil"/>
            </w:tcBorders>
          </w:tcPr>
          <w:p w14:paraId="45D88011" w14:textId="77777777" w:rsidR="00504F46" w:rsidRPr="00AD55AA" w:rsidRDefault="00504F46" w:rsidP="00504F46">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1DB5EB30" w14:textId="790E6E49"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670C5033" w14:textId="12AC5A3C" w:rsidR="00504F46" w:rsidRPr="00AD55AA" w:rsidRDefault="00504F46" w:rsidP="00504F46">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5E6DA478" w14:textId="4C6A527E" w:rsidR="00504F46" w:rsidRPr="00AD55AA" w:rsidRDefault="00504F46" w:rsidP="00504F46">
            <w:pPr>
              <w:widowControl w:val="0"/>
              <w:autoSpaceDE w:val="0"/>
              <w:autoSpaceDN w:val="0"/>
              <w:adjustRightInd w:val="0"/>
              <w:jc w:val="center"/>
              <w:rPr>
                <w:sz w:val="22"/>
                <w:szCs w:val="22"/>
              </w:rPr>
            </w:pPr>
            <w:r w:rsidRPr="003D7DA3">
              <w:rPr>
                <w:sz w:val="22"/>
                <w:szCs w:val="22"/>
              </w:rPr>
              <w:t>0.1966</w:t>
            </w:r>
          </w:p>
        </w:tc>
        <w:tc>
          <w:tcPr>
            <w:tcW w:w="0" w:type="auto"/>
            <w:tcBorders>
              <w:top w:val="nil"/>
              <w:left w:val="nil"/>
              <w:bottom w:val="single" w:sz="4" w:space="0" w:color="auto"/>
              <w:right w:val="nil"/>
            </w:tcBorders>
          </w:tcPr>
          <w:p w14:paraId="2F4B77AC" w14:textId="553E430E" w:rsidR="00504F46" w:rsidRPr="00AD55AA" w:rsidRDefault="00504F46" w:rsidP="00504F46">
            <w:pPr>
              <w:widowControl w:val="0"/>
              <w:autoSpaceDE w:val="0"/>
              <w:autoSpaceDN w:val="0"/>
              <w:adjustRightInd w:val="0"/>
              <w:jc w:val="center"/>
              <w:rPr>
                <w:sz w:val="22"/>
                <w:szCs w:val="22"/>
              </w:rPr>
            </w:pPr>
            <w:r w:rsidRPr="003D7DA3">
              <w:rPr>
                <w:sz w:val="22"/>
                <w:szCs w:val="22"/>
              </w:rPr>
              <w:t>0.1966</w:t>
            </w:r>
          </w:p>
        </w:tc>
      </w:tr>
      <w:tr w:rsidR="006B5483" w:rsidRPr="00AD55AA" w14:paraId="3B6C4345" w14:textId="77777777" w:rsidTr="006C2250">
        <w:tblPrEx>
          <w:tblBorders>
            <w:bottom w:val="single" w:sz="6" w:space="0" w:color="auto"/>
          </w:tblBorders>
        </w:tblPrEx>
        <w:trPr>
          <w:jc w:val="center"/>
        </w:trPr>
        <w:tc>
          <w:tcPr>
            <w:tcW w:w="0" w:type="auto"/>
            <w:tcBorders>
              <w:top w:val="single" w:sz="4" w:space="0" w:color="auto"/>
              <w:left w:val="nil"/>
              <w:bottom w:val="nil"/>
              <w:right w:val="nil"/>
            </w:tcBorders>
          </w:tcPr>
          <w:p w14:paraId="51F4DF40" w14:textId="77777777" w:rsidR="006B5483" w:rsidRPr="00AD55AA" w:rsidRDefault="006B5483" w:rsidP="006B5483">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3A25895F"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4D13C34C"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0A3826E2" w14:textId="77777777" w:rsidR="006B5483" w:rsidRPr="00AD55AA" w:rsidRDefault="006B5483" w:rsidP="006B5483">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273871A3" w14:textId="77777777" w:rsidR="006B5483" w:rsidRPr="00AD55AA" w:rsidRDefault="006B5483" w:rsidP="006B5483">
            <w:pPr>
              <w:widowControl w:val="0"/>
              <w:autoSpaceDE w:val="0"/>
              <w:autoSpaceDN w:val="0"/>
              <w:adjustRightInd w:val="0"/>
              <w:jc w:val="center"/>
              <w:rPr>
                <w:sz w:val="22"/>
                <w:szCs w:val="22"/>
              </w:rPr>
            </w:pPr>
          </w:p>
        </w:tc>
      </w:tr>
      <w:tr w:rsidR="006C2250" w:rsidRPr="00AD55AA" w14:paraId="7093D4ED" w14:textId="77777777" w:rsidTr="006C2250">
        <w:tblPrEx>
          <w:tblBorders>
            <w:bottom w:val="single" w:sz="6" w:space="0" w:color="auto"/>
          </w:tblBorders>
        </w:tblPrEx>
        <w:trPr>
          <w:jc w:val="center"/>
        </w:trPr>
        <w:tc>
          <w:tcPr>
            <w:tcW w:w="0" w:type="auto"/>
            <w:gridSpan w:val="5"/>
            <w:tcBorders>
              <w:top w:val="nil"/>
              <w:left w:val="nil"/>
              <w:bottom w:val="nil"/>
              <w:right w:val="nil"/>
            </w:tcBorders>
          </w:tcPr>
          <w:p w14:paraId="64CB9158" w14:textId="0656FBFE" w:rsidR="006C2250" w:rsidRPr="00AD55AA" w:rsidRDefault="00B84669" w:rsidP="006C2250">
            <w:pPr>
              <w:widowControl w:val="0"/>
              <w:autoSpaceDE w:val="0"/>
              <w:autoSpaceDN w:val="0"/>
              <w:adjustRightInd w:val="0"/>
              <w:jc w:val="both"/>
              <w:rPr>
                <w:sz w:val="22"/>
                <w:szCs w:val="22"/>
              </w:rPr>
            </w:pPr>
            <w:r>
              <w:rPr>
                <w:bCs/>
                <w:sz w:val="22"/>
                <w:szCs w:val="22"/>
              </w:rPr>
              <w:t>This</w:t>
            </w:r>
            <w:r w:rsidR="006C2250" w:rsidRPr="003D41AE">
              <w:rPr>
                <w:bCs/>
                <w:sz w:val="22"/>
                <w:szCs w:val="22"/>
              </w:rPr>
              <w:t xml:space="preserve"> table presents </w:t>
            </w:r>
            <w:r w:rsidR="006C2250" w:rsidRPr="00AD55AA">
              <w:rPr>
                <w:sz w:val="22"/>
                <w:szCs w:val="22"/>
              </w:rPr>
              <w:t xml:space="preserve">the results of the difference-and-differences analysis comparing investments of the treatment group to investments of the control group. The shock event is the adoption of FINSA and its final regulations in 2008 (FINSA = post </w:t>
            </w:r>
            <w:r w:rsidR="006C2250">
              <w:rPr>
                <w:sz w:val="22"/>
                <w:szCs w:val="22"/>
              </w:rPr>
              <w:t xml:space="preserve">FINSA </w:t>
            </w:r>
            <w:r w:rsidR="006C2250" w:rsidRPr="00AD55AA">
              <w:rPr>
                <w:sz w:val="22"/>
                <w:szCs w:val="22"/>
              </w:rPr>
              <w:t>adoption # treatment group). The sample covers the 2000-2019 period (80,686 firm-year observations).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35FA97A7" w14:textId="5E4B5D65" w:rsidR="005D06CA" w:rsidRDefault="005D06CA">
      <w:pPr>
        <w:spacing w:after="160" w:line="259" w:lineRule="auto"/>
        <w:rPr>
          <w:sz w:val="22"/>
          <w:szCs w:val="22"/>
        </w:rPr>
      </w:pPr>
    </w:p>
    <w:p w14:paraId="0C4ADCB0" w14:textId="53B084FD" w:rsidR="006F5CDB" w:rsidRDefault="006F5CDB">
      <w:pPr>
        <w:spacing w:after="160" w:line="259" w:lineRule="auto"/>
        <w:rPr>
          <w:sz w:val="22"/>
          <w:szCs w:val="22"/>
        </w:rPr>
      </w:pPr>
      <w:r>
        <w:rPr>
          <w:sz w:val="22"/>
          <w:szCs w:val="22"/>
        </w:rPr>
        <w:br w:type="page"/>
      </w:r>
    </w:p>
    <w:p w14:paraId="79BC7054" w14:textId="1F2335BF" w:rsidR="006F5CDB" w:rsidRPr="00AD55AA" w:rsidRDefault="006F5CDB">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3251"/>
        <w:gridCol w:w="307"/>
        <w:gridCol w:w="307"/>
        <w:gridCol w:w="2386"/>
        <w:gridCol w:w="2816"/>
      </w:tblGrid>
      <w:tr w:rsidR="0009536D" w:rsidRPr="00AD55AA" w14:paraId="7B822E40" w14:textId="77777777" w:rsidTr="001916FA">
        <w:trPr>
          <w:jc w:val="center"/>
        </w:trPr>
        <w:tc>
          <w:tcPr>
            <w:tcW w:w="0" w:type="auto"/>
            <w:tcBorders>
              <w:left w:val="nil"/>
              <w:right w:val="nil"/>
            </w:tcBorders>
          </w:tcPr>
          <w:p w14:paraId="696F7EB8" w14:textId="6C056A40" w:rsidR="0009536D" w:rsidRPr="00AD55AA" w:rsidRDefault="0009536D" w:rsidP="0020264D">
            <w:pPr>
              <w:widowControl w:val="0"/>
              <w:autoSpaceDE w:val="0"/>
              <w:autoSpaceDN w:val="0"/>
              <w:adjustRightInd w:val="0"/>
              <w:rPr>
                <w:sz w:val="22"/>
                <w:szCs w:val="22"/>
              </w:rPr>
            </w:pPr>
            <w:r w:rsidRPr="00AD55AA">
              <w:rPr>
                <w:b/>
                <w:sz w:val="22"/>
                <w:szCs w:val="22"/>
              </w:rPr>
              <w:t xml:space="preserve">Table </w:t>
            </w:r>
            <w:r w:rsidR="0020264D">
              <w:rPr>
                <w:b/>
                <w:sz w:val="22"/>
                <w:szCs w:val="22"/>
              </w:rPr>
              <w:t>9</w:t>
            </w:r>
          </w:p>
        </w:tc>
        <w:tc>
          <w:tcPr>
            <w:tcW w:w="0" w:type="auto"/>
            <w:gridSpan w:val="2"/>
            <w:tcBorders>
              <w:left w:val="nil"/>
              <w:right w:val="nil"/>
            </w:tcBorders>
          </w:tcPr>
          <w:p w14:paraId="755D4C28" w14:textId="77777777" w:rsidR="0009536D" w:rsidRPr="00AD55AA" w:rsidRDefault="0009536D" w:rsidP="00AB6C46">
            <w:pPr>
              <w:widowControl w:val="0"/>
              <w:autoSpaceDE w:val="0"/>
              <w:autoSpaceDN w:val="0"/>
              <w:adjustRightInd w:val="0"/>
              <w:jc w:val="center"/>
              <w:rPr>
                <w:sz w:val="22"/>
                <w:szCs w:val="22"/>
              </w:rPr>
            </w:pPr>
          </w:p>
        </w:tc>
        <w:tc>
          <w:tcPr>
            <w:tcW w:w="0" w:type="auto"/>
            <w:gridSpan w:val="2"/>
            <w:tcBorders>
              <w:left w:val="nil"/>
              <w:right w:val="nil"/>
            </w:tcBorders>
          </w:tcPr>
          <w:p w14:paraId="173F8947" w14:textId="77777777" w:rsidR="0009536D" w:rsidRPr="00AD55AA" w:rsidRDefault="0009536D" w:rsidP="00AB6C46">
            <w:pPr>
              <w:widowControl w:val="0"/>
              <w:autoSpaceDE w:val="0"/>
              <w:autoSpaceDN w:val="0"/>
              <w:adjustRightInd w:val="0"/>
              <w:jc w:val="center"/>
              <w:rPr>
                <w:sz w:val="22"/>
                <w:szCs w:val="22"/>
              </w:rPr>
            </w:pPr>
          </w:p>
        </w:tc>
      </w:tr>
      <w:tr w:rsidR="0009536D" w:rsidRPr="00AD55AA" w14:paraId="3059F5F6" w14:textId="77777777" w:rsidTr="001916FA">
        <w:trPr>
          <w:jc w:val="center"/>
        </w:trPr>
        <w:tc>
          <w:tcPr>
            <w:tcW w:w="0" w:type="auto"/>
            <w:gridSpan w:val="5"/>
            <w:tcBorders>
              <w:left w:val="nil"/>
              <w:right w:val="nil"/>
            </w:tcBorders>
          </w:tcPr>
          <w:p w14:paraId="4C3535B3" w14:textId="39A5D7EE" w:rsidR="0009536D" w:rsidRPr="00AD55AA" w:rsidRDefault="0067117A" w:rsidP="00AB6C46">
            <w:pPr>
              <w:widowControl w:val="0"/>
              <w:autoSpaceDE w:val="0"/>
              <w:autoSpaceDN w:val="0"/>
              <w:adjustRightInd w:val="0"/>
              <w:rPr>
                <w:sz w:val="22"/>
                <w:szCs w:val="22"/>
              </w:rPr>
            </w:pPr>
            <w:r>
              <w:rPr>
                <w:b/>
                <w:sz w:val="22"/>
                <w:szCs w:val="22"/>
              </w:rPr>
              <w:t>Financial c</w:t>
            </w:r>
            <w:r w:rsidR="00FA1757" w:rsidRPr="00AD55AA">
              <w:rPr>
                <w:b/>
                <w:sz w:val="22"/>
                <w:szCs w:val="22"/>
              </w:rPr>
              <w:t>onstraint</w:t>
            </w:r>
            <w:r w:rsidR="007D59C3" w:rsidRPr="00AD55AA">
              <w:rPr>
                <w:b/>
                <w:sz w:val="22"/>
                <w:szCs w:val="22"/>
              </w:rPr>
              <w:t>s</w:t>
            </w:r>
          </w:p>
        </w:tc>
      </w:tr>
      <w:tr w:rsidR="0020264D" w:rsidRPr="00AD55AA" w14:paraId="4CF2FA23" w14:textId="77777777" w:rsidTr="00C22349">
        <w:trPr>
          <w:jc w:val="center"/>
        </w:trPr>
        <w:tc>
          <w:tcPr>
            <w:tcW w:w="0" w:type="auto"/>
            <w:gridSpan w:val="5"/>
            <w:tcBorders>
              <w:left w:val="nil"/>
              <w:bottom w:val="single" w:sz="4" w:space="0" w:color="auto"/>
              <w:right w:val="nil"/>
            </w:tcBorders>
          </w:tcPr>
          <w:p w14:paraId="14B70978" w14:textId="77777777" w:rsidR="0020264D" w:rsidRDefault="0020264D" w:rsidP="00AB6C46">
            <w:pPr>
              <w:widowControl w:val="0"/>
              <w:autoSpaceDE w:val="0"/>
              <w:autoSpaceDN w:val="0"/>
              <w:adjustRightInd w:val="0"/>
              <w:rPr>
                <w:b/>
                <w:sz w:val="22"/>
                <w:szCs w:val="22"/>
              </w:rPr>
            </w:pPr>
          </w:p>
        </w:tc>
      </w:tr>
      <w:tr w:rsidR="00C22349" w:rsidRPr="00AD55AA" w14:paraId="256699C7" w14:textId="77777777" w:rsidTr="00C22349">
        <w:trPr>
          <w:jc w:val="center"/>
        </w:trPr>
        <w:tc>
          <w:tcPr>
            <w:tcW w:w="0" w:type="auto"/>
            <w:tcBorders>
              <w:top w:val="single" w:sz="4" w:space="0" w:color="auto"/>
              <w:left w:val="nil"/>
              <w:right w:val="nil"/>
            </w:tcBorders>
          </w:tcPr>
          <w:p w14:paraId="3168623E" w14:textId="77777777" w:rsidR="00C22349" w:rsidRPr="00AD55AA" w:rsidRDefault="00C22349" w:rsidP="001916FA">
            <w:pPr>
              <w:widowControl w:val="0"/>
              <w:autoSpaceDE w:val="0"/>
              <w:autoSpaceDN w:val="0"/>
              <w:adjustRightInd w:val="0"/>
              <w:rPr>
                <w:sz w:val="22"/>
                <w:szCs w:val="22"/>
              </w:rPr>
            </w:pPr>
          </w:p>
        </w:tc>
        <w:tc>
          <w:tcPr>
            <w:tcW w:w="0" w:type="auto"/>
            <w:tcBorders>
              <w:top w:val="single" w:sz="4" w:space="0" w:color="auto"/>
              <w:left w:val="nil"/>
              <w:right w:val="nil"/>
            </w:tcBorders>
          </w:tcPr>
          <w:p w14:paraId="0C8DC449" w14:textId="77777777" w:rsidR="00C22349" w:rsidRPr="00AD55AA" w:rsidRDefault="00C22349" w:rsidP="001916FA">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35AFDD3E" w14:textId="77777777" w:rsidR="00C22349" w:rsidRPr="00AD55AA" w:rsidRDefault="00C22349" w:rsidP="001916FA">
            <w:pPr>
              <w:widowControl w:val="0"/>
              <w:autoSpaceDE w:val="0"/>
              <w:autoSpaceDN w:val="0"/>
              <w:adjustRightInd w:val="0"/>
              <w:jc w:val="center"/>
              <w:rPr>
                <w:sz w:val="22"/>
                <w:szCs w:val="22"/>
              </w:rPr>
            </w:pPr>
          </w:p>
        </w:tc>
        <w:tc>
          <w:tcPr>
            <w:tcW w:w="0" w:type="auto"/>
            <w:gridSpan w:val="2"/>
            <w:tcBorders>
              <w:top w:val="single" w:sz="4" w:space="0" w:color="auto"/>
              <w:left w:val="nil"/>
              <w:right w:val="nil"/>
            </w:tcBorders>
          </w:tcPr>
          <w:p w14:paraId="18DE5B70" w14:textId="3AD89C20" w:rsidR="00C22349" w:rsidRPr="00AD55AA" w:rsidRDefault="00C22349" w:rsidP="001916FA">
            <w:pPr>
              <w:widowControl w:val="0"/>
              <w:autoSpaceDE w:val="0"/>
              <w:autoSpaceDN w:val="0"/>
              <w:adjustRightInd w:val="0"/>
              <w:jc w:val="center"/>
              <w:rPr>
                <w:sz w:val="22"/>
                <w:szCs w:val="22"/>
              </w:rPr>
            </w:pPr>
            <w:r w:rsidRPr="00AD55AA">
              <w:rPr>
                <w:sz w:val="22"/>
                <w:szCs w:val="22"/>
              </w:rPr>
              <w:t>Capex</w:t>
            </w:r>
          </w:p>
        </w:tc>
      </w:tr>
      <w:tr w:rsidR="001916FA" w:rsidRPr="00AD55AA" w14:paraId="03C0A747" w14:textId="77777777" w:rsidTr="001916FA">
        <w:trPr>
          <w:jc w:val="center"/>
        </w:trPr>
        <w:tc>
          <w:tcPr>
            <w:tcW w:w="0" w:type="auto"/>
            <w:tcBorders>
              <w:left w:val="nil"/>
              <w:right w:val="nil"/>
            </w:tcBorders>
          </w:tcPr>
          <w:p w14:paraId="05C9218F" w14:textId="338703DB" w:rsidR="001916FA" w:rsidRPr="00AD55AA" w:rsidRDefault="001916FA" w:rsidP="001916FA">
            <w:pPr>
              <w:widowControl w:val="0"/>
              <w:autoSpaceDE w:val="0"/>
              <w:autoSpaceDN w:val="0"/>
              <w:adjustRightInd w:val="0"/>
              <w:rPr>
                <w:sz w:val="22"/>
                <w:szCs w:val="22"/>
              </w:rPr>
            </w:pPr>
            <w:r w:rsidRPr="00AD55AA">
              <w:rPr>
                <w:sz w:val="22"/>
                <w:szCs w:val="22"/>
              </w:rPr>
              <w:t>Panel A</w:t>
            </w:r>
          </w:p>
        </w:tc>
        <w:tc>
          <w:tcPr>
            <w:tcW w:w="0" w:type="auto"/>
            <w:tcBorders>
              <w:left w:val="nil"/>
              <w:right w:val="nil"/>
            </w:tcBorders>
          </w:tcPr>
          <w:p w14:paraId="10191CB4" w14:textId="6FE14EEB" w:rsidR="001916FA" w:rsidRPr="00AD55AA" w:rsidRDefault="001916FA" w:rsidP="001916FA">
            <w:pPr>
              <w:widowControl w:val="0"/>
              <w:autoSpaceDE w:val="0"/>
              <w:autoSpaceDN w:val="0"/>
              <w:adjustRightInd w:val="0"/>
              <w:jc w:val="center"/>
              <w:rPr>
                <w:sz w:val="22"/>
                <w:szCs w:val="22"/>
              </w:rPr>
            </w:pPr>
          </w:p>
        </w:tc>
        <w:tc>
          <w:tcPr>
            <w:tcW w:w="0" w:type="auto"/>
            <w:tcBorders>
              <w:left w:val="nil"/>
              <w:right w:val="nil"/>
            </w:tcBorders>
          </w:tcPr>
          <w:p w14:paraId="2E6EF03F" w14:textId="20942F24" w:rsidR="001916FA" w:rsidRPr="00AD55AA" w:rsidRDefault="001916FA" w:rsidP="001916FA">
            <w:pPr>
              <w:widowControl w:val="0"/>
              <w:autoSpaceDE w:val="0"/>
              <w:autoSpaceDN w:val="0"/>
              <w:adjustRightInd w:val="0"/>
              <w:jc w:val="center"/>
              <w:rPr>
                <w:sz w:val="22"/>
                <w:szCs w:val="22"/>
              </w:rPr>
            </w:pPr>
          </w:p>
        </w:tc>
        <w:tc>
          <w:tcPr>
            <w:tcW w:w="0" w:type="auto"/>
            <w:tcBorders>
              <w:left w:val="nil"/>
              <w:right w:val="nil"/>
            </w:tcBorders>
          </w:tcPr>
          <w:p w14:paraId="710365F8" w14:textId="54B37201" w:rsidR="001916FA" w:rsidRPr="00AD55AA" w:rsidRDefault="001916FA" w:rsidP="001916FA">
            <w:pPr>
              <w:widowControl w:val="0"/>
              <w:autoSpaceDE w:val="0"/>
              <w:autoSpaceDN w:val="0"/>
              <w:adjustRightInd w:val="0"/>
              <w:jc w:val="center"/>
              <w:rPr>
                <w:sz w:val="22"/>
                <w:szCs w:val="22"/>
              </w:rPr>
            </w:pPr>
            <w:r w:rsidRPr="00AD55AA">
              <w:rPr>
                <w:sz w:val="22"/>
                <w:szCs w:val="22"/>
              </w:rPr>
              <w:t>Constrained</w:t>
            </w:r>
          </w:p>
        </w:tc>
        <w:tc>
          <w:tcPr>
            <w:tcW w:w="0" w:type="auto"/>
            <w:tcBorders>
              <w:left w:val="nil"/>
              <w:right w:val="nil"/>
            </w:tcBorders>
          </w:tcPr>
          <w:p w14:paraId="2A6BC711" w14:textId="6962E176" w:rsidR="001916FA" w:rsidRPr="00AD55AA" w:rsidRDefault="001916FA" w:rsidP="001916FA">
            <w:pPr>
              <w:widowControl w:val="0"/>
              <w:autoSpaceDE w:val="0"/>
              <w:autoSpaceDN w:val="0"/>
              <w:adjustRightInd w:val="0"/>
              <w:jc w:val="center"/>
              <w:rPr>
                <w:sz w:val="22"/>
                <w:szCs w:val="22"/>
              </w:rPr>
            </w:pPr>
            <w:r w:rsidRPr="00AD55AA">
              <w:rPr>
                <w:sz w:val="22"/>
                <w:szCs w:val="22"/>
              </w:rPr>
              <w:t>Unconstrained</w:t>
            </w:r>
          </w:p>
        </w:tc>
      </w:tr>
      <w:tr w:rsidR="001916FA" w:rsidRPr="00AD55AA" w14:paraId="4001FD8F" w14:textId="77777777" w:rsidTr="001916FA">
        <w:trPr>
          <w:jc w:val="center"/>
        </w:trPr>
        <w:tc>
          <w:tcPr>
            <w:tcW w:w="0" w:type="auto"/>
            <w:tcBorders>
              <w:left w:val="nil"/>
              <w:bottom w:val="single" w:sz="6" w:space="0" w:color="auto"/>
              <w:right w:val="nil"/>
            </w:tcBorders>
          </w:tcPr>
          <w:p w14:paraId="10DE08F1" w14:textId="02630A3D" w:rsidR="001916FA" w:rsidRPr="00AD55AA" w:rsidRDefault="001916FA" w:rsidP="001916FA">
            <w:pPr>
              <w:widowControl w:val="0"/>
              <w:autoSpaceDE w:val="0"/>
              <w:autoSpaceDN w:val="0"/>
              <w:adjustRightInd w:val="0"/>
              <w:rPr>
                <w:sz w:val="22"/>
                <w:szCs w:val="22"/>
              </w:rPr>
            </w:pPr>
            <w:r w:rsidRPr="00AD55AA">
              <w:rPr>
                <w:sz w:val="22"/>
                <w:szCs w:val="22"/>
              </w:rPr>
              <w:t>Size</w:t>
            </w:r>
          </w:p>
        </w:tc>
        <w:tc>
          <w:tcPr>
            <w:tcW w:w="0" w:type="auto"/>
            <w:tcBorders>
              <w:left w:val="nil"/>
              <w:bottom w:val="single" w:sz="6" w:space="0" w:color="auto"/>
              <w:right w:val="nil"/>
            </w:tcBorders>
          </w:tcPr>
          <w:p w14:paraId="3109B73B" w14:textId="018CD1EA" w:rsidR="001916FA" w:rsidRPr="00AD55AA" w:rsidRDefault="001916FA" w:rsidP="001916FA">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5CC71651" w14:textId="319D7B38" w:rsidR="001916FA" w:rsidRPr="00AD55AA" w:rsidRDefault="001916FA" w:rsidP="001916FA">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5CB010FE" w14:textId="1FE3833E" w:rsidR="001916FA" w:rsidRPr="00AD55AA" w:rsidRDefault="001916FA" w:rsidP="001916FA">
            <w:pPr>
              <w:widowControl w:val="0"/>
              <w:autoSpaceDE w:val="0"/>
              <w:autoSpaceDN w:val="0"/>
              <w:adjustRightInd w:val="0"/>
              <w:jc w:val="center"/>
              <w:rPr>
                <w:sz w:val="22"/>
                <w:szCs w:val="22"/>
              </w:rPr>
            </w:pPr>
            <w:r w:rsidRPr="00AD55AA">
              <w:rPr>
                <w:sz w:val="22"/>
                <w:szCs w:val="22"/>
              </w:rPr>
              <w:t>(1)</w:t>
            </w:r>
          </w:p>
        </w:tc>
        <w:tc>
          <w:tcPr>
            <w:tcW w:w="0" w:type="auto"/>
            <w:tcBorders>
              <w:left w:val="nil"/>
              <w:bottom w:val="single" w:sz="6" w:space="0" w:color="auto"/>
              <w:right w:val="nil"/>
            </w:tcBorders>
          </w:tcPr>
          <w:p w14:paraId="6988CBDE" w14:textId="785B4186" w:rsidR="001916FA" w:rsidRPr="00AD55AA" w:rsidRDefault="001916FA" w:rsidP="001916FA">
            <w:pPr>
              <w:widowControl w:val="0"/>
              <w:autoSpaceDE w:val="0"/>
              <w:autoSpaceDN w:val="0"/>
              <w:adjustRightInd w:val="0"/>
              <w:jc w:val="center"/>
              <w:rPr>
                <w:sz w:val="22"/>
                <w:szCs w:val="22"/>
              </w:rPr>
            </w:pPr>
            <w:r w:rsidRPr="00AD55AA">
              <w:rPr>
                <w:sz w:val="22"/>
                <w:szCs w:val="22"/>
              </w:rPr>
              <w:t>(2)</w:t>
            </w:r>
          </w:p>
        </w:tc>
      </w:tr>
      <w:tr w:rsidR="00EF4F55" w:rsidRPr="00AD55AA" w14:paraId="1A6A00EF" w14:textId="77777777" w:rsidTr="001916FA">
        <w:trPr>
          <w:jc w:val="center"/>
        </w:trPr>
        <w:tc>
          <w:tcPr>
            <w:tcW w:w="0" w:type="auto"/>
            <w:tcBorders>
              <w:top w:val="nil"/>
              <w:left w:val="nil"/>
              <w:bottom w:val="nil"/>
              <w:right w:val="nil"/>
            </w:tcBorders>
          </w:tcPr>
          <w:p w14:paraId="176BB5D8" w14:textId="5EAC03B7" w:rsidR="00EF4F55" w:rsidRPr="00AD55AA" w:rsidRDefault="00EF4F55" w:rsidP="00EF4F55">
            <w:pPr>
              <w:widowControl w:val="0"/>
              <w:autoSpaceDE w:val="0"/>
              <w:autoSpaceDN w:val="0"/>
              <w:adjustRightInd w:val="0"/>
              <w:rPr>
                <w:sz w:val="22"/>
                <w:szCs w:val="22"/>
              </w:rPr>
            </w:pPr>
            <w:r w:rsidRPr="00AD55AA">
              <w:rPr>
                <w:sz w:val="22"/>
                <w:szCs w:val="22"/>
              </w:rPr>
              <w:t xml:space="preserve">CFIUS </w:t>
            </w:r>
            <w:r>
              <w:rPr>
                <w:sz w:val="22"/>
                <w:szCs w:val="22"/>
              </w:rPr>
              <w:t>Block</w:t>
            </w:r>
          </w:p>
        </w:tc>
        <w:tc>
          <w:tcPr>
            <w:tcW w:w="0" w:type="auto"/>
            <w:tcBorders>
              <w:top w:val="nil"/>
              <w:left w:val="nil"/>
              <w:bottom w:val="nil"/>
              <w:right w:val="nil"/>
            </w:tcBorders>
          </w:tcPr>
          <w:p w14:paraId="1A2BD725"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1EE95859"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78EF00C1" w14:textId="641F1750" w:rsidR="00EF4F55" w:rsidRPr="00AD55AA" w:rsidRDefault="00EF4F55" w:rsidP="00EF4F55">
            <w:pPr>
              <w:widowControl w:val="0"/>
              <w:autoSpaceDE w:val="0"/>
              <w:autoSpaceDN w:val="0"/>
              <w:adjustRightInd w:val="0"/>
              <w:jc w:val="center"/>
              <w:rPr>
                <w:sz w:val="22"/>
                <w:szCs w:val="22"/>
              </w:rPr>
            </w:pPr>
            <w:r w:rsidRPr="00FD0E80">
              <w:rPr>
                <w:sz w:val="22"/>
              </w:rPr>
              <w:t>-0.238***</w:t>
            </w:r>
          </w:p>
        </w:tc>
        <w:tc>
          <w:tcPr>
            <w:tcW w:w="0" w:type="auto"/>
            <w:tcBorders>
              <w:top w:val="nil"/>
              <w:left w:val="nil"/>
              <w:bottom w:val="nil"/>
              <w:right w:val="nil"/>
            </w:tcBorders>
          </w:tcPr>
          <w:p w14:paraId="03FCF5B0" w14:textId="5CFE3559" w:rsidR="00EF4F55" w:rsidRPr="00AD55AA" w:rsidRDefault="00EF4F55" w:rsidP="00EF4F55">
            <w:pPr>
              <w:widowControl w:val="0"/>
              <w:autoSpaceDE w:val="0"/>
              <w:autoSpaceDN w:val="0"/>
              <w:adjustRightInd w:val="0"/>
              <w:jc w:val="center"/>
              <w:rPr>
                <w:sz w:val="22"/>
                <w:szCs w:val="22"/>
              </w:rPr>
            </w:pPr>
            <w:r w:rsidRPr="00FD0E80">
              <w:rPr>
                <w:sz w:val="22"/>
              </w:rPr>
              <w:t>-0.019</w:t>
            </w:r>
          </w:p>
        </w:tc>
      </w:tr>
      <w:tr w:rsidR="00EF4F55" w:rsidRPr="00AD55AA" w14:paraId="06104EA5" w14:textId="77777777" w:rsidTr="001916FA">
        <w:trPr>
          <w:jc w:val="center"/>
        </w:trPr>
        <w:tc>
          <w:tcPr>
            <w:tcW w:w="0" w:type="auto"/>
            <w:tcBorders>
              <w:top w:val="nil"/>
              <w:left w:val="nil"/>
              <w:bottom w:val="nil"/>
              <w:right w:val="nil"/>
            </w:tcBorders>
          </w:tcPr>
          <w:p w14:paraId="6FB299CD" w14:textId="77777777" w:rsidR="00EF4F55" w:rsidRPr="00AD55AA" w:rsidRDefault="00EF4F55" w:rsidP="00EF4F55">
            <w:pPr>
              <w:widowControl w:val="0"/>
              <w:autoSpaceDE w:val="0"/>
              <w:autoSpaceDN w:val="0"/>
              <w:adjustRightInd w:val="0"/>
              <w:rPr>
                <w:sz w:val="22"/>
                <w:szCs w:val="22"/>
              </w:rPr>
            </w:pPr>
          </w:p>
        </w:tc>
        <w:tc>
          <w:tcPr>
            <w:tcW w:w="0" w:type="auto"/>
            <w:tcBorders>
              <w:top w:val="nil"/>
              <w:left w:val="nil"/>
              <w:bottom w:val="nil"/>
              <w:right w:val="nil"/>
            </w:tcBorders>
          </w:tcPr>
          <w:p w14:paraId="31C34A87"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2C0EFD07"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nil"/>
              <w:right w:val="nil"/>
            </w:tcBorders>
          </w:tcPr>
          <w:p w14:paraId="560DC32B" w14:textId="12473878" w:rsidR="00EF4F55" w:rsidRPr="00AD55AA" w:rsidRDefault="00EF4F55" w:rsidP="00EF4F55">
            <w:pPr>
              <w:widowControl w:val="0"/>
              <w:autoSpaceDE w:val="0"/>
              <w:autoSpaceDN w:val="0"/>
              <w:adjustRightInd w:val="0"/>
              <w:jc w:val="center"/>
              <w:rPr>
                <w:sz w:val="22"/>
                <w:szCs w:val="22"/>
              </w:rPr>
            </w:pPr>
            <w:r w:rsidRPr="00FD0E80">
              <w:rPr>
                <w:sz w:val="22"/>
              </w:rPr>
              <w:t>(-5.41)</w:t>
            </w:r>
          </w:p>
        </w:tc>
        <w:tc>
          <w:tcPr>
            <w:tcW w:w="0" w:type="auto"/>
            <w:tcBorders>
              <w:top w:val="nil"/>
              <w:left w:val="nil"/>
              <w:bottom w:val="nil"/>
              <w:right w:val="nil"/>
            </w:tcBorders>
          </w:tcPr>
          <w:p w14:paraId="6905295A" w14:textId="3C466E9F" w:rsidR="00EF4F55" w:rsidRPr="00AD55AA" w:rsidRDefault="00EF4F55" w:rsidP="00EF4F55">
            <w:pPr>
              <w:widowControl w:val="0"/>
              <w:autoSpaceDE w:val="0"/>
              <w:autoSpaceDN w:val="0"/>
              <w:adjustRightInd w:val="0"/>
              <w:jc w:val="center"/>
              <w:rPr>
                <w:sz w:val="22"/>
                <w:szCs w:val="22"/>
              </w:rPr>
            </w:pPr>
            <w:r w:rsidRPr="00FD0E80">
              <w:rPr>
                <w:sz w:val="22"/>
              </w:rPr>
              <w:t>(-1.23)</w:t>
            </w:r>
          </w:p>
        </w:tc>
      </w:tr>
      <w:tr w:rsidR="0009536D" w:rsidRPr="00AD55AA" w14:paraId="6C09F37C" w14:textId="77777777" w:rsidTr="001916FA">
        <w:trPr>
          <w:jc w:val="center"/>
        </w:trPr>
        <w:tc>
          <w:tcPr>
            <w:tcW w:w="0" w:type="auto"/>
            <w:tcBorders>
              <w:top w:val="nil"/>
              <w:left w:val="nil"/>
              <w:bottom w:val="nil"/>
              <w:right w:val="nil"/>
            </w:tcBorders>
          </w:tcPr>
          <w:p w14:paraId="4A958262" w14:textId="77777777" w:rsidR="0009536D" w:rsidRPr="00AD55AA" w:rsidRDefault="0009536D" w:rsidP="00AB6C46">
            <w:pPr>
              <w:widowControl w:val="0"/>
              <w:autoSpaceDE w:val="0"/>
              <w:autoSpaceDN w:val="0"/>
              <w:adjustRightInd w:val="0"/>
              <w:rPr>
                <w:sz w:val="22"/>
                <w:szCs w:val="22"/>
              </w:rPr>
            </w:pPr>
          </w:p>
        </w:tc>
        <w:tc>
          <w:tcPr>
            <w:tcW w:w="0" w:type="auto"/>
            <w:tcBorders>
              <w:top w:val="nil"/>
              <w:left w:val="nil"/>
              <w:bottom w:val="nil"/>
              <w:right w:val="nil"/>
            </w:tcBorders>
          </w:tcPr>
          <w:p w14:paraId="64B7C490" w14:textId="77777777" w:rsidR="0009536D" w:rsidRPr="00AD55AA" w:rsidRDefault="0009536D"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78FCB5C8" w14:textId="77777777" w:rsidR="0009536D" w:rsidRPr="00AD55AA" w:rsidRDefault="0009536D"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11D6A1F6" w14:textId="77777777" w:rsidR="0009536D" w:rsidRPr="00AD55AA" w:rsidRDefault="0009536D"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721007D9" w14:textId="77777777" w:rsidR="0009536D" w:rsidRPr="00AD55AA" w:rsidRDefault="0009536D" w:rsidP="00AB6C46">
            <w:pPr>
              <w:widowControl w:val="0"/>
              <w:autoSpaceDE w:val="0"/>
              <w:autoSpaceDN w:val="0"/>
              <w:adjustRightInd w:val="0"/>
              <w:jc w:val="center"/>
              <w:rPr>
                <w:sz w:val="22"/>
                <w:szCs w:val="22"/>
              </w:rPr>
            </w:pPr>
          </w:p>
        </w:tc>
      </w:tr>
      <w:tr w:rsidR="0009536D" w:rsidRPr="00AD55AA" w14:paraId="7AEB1751" w14:textId="77777777" w:rsidTr="001916FA">
        <w:trPr>
          <w:jc w:val="center"/>
        </w:trPr>
        <w:tc>
          <w:tcPr>
            <w:tcW w:w="0" w:type="auto"/>
            <w:tcBorders>
              <w:top w:val="nil"/>
              <w:left w:val="nil"/>
              <w:bottom w:val="nil"/>
              <w:right w:val="nil"/>
            </w:tcBorders>
          </w:tcPr>
          <w:p w14:paraId="779DBD75" w14:textId="500E4225" w:rsidR="0009536D" w:rsidRPr="00AD55AA" w:rsidRDefault="0009536D" w:rsidP="0009536D">
            <w:pPr>
              <w:widowControl w:val="0"/>
              <w:autoSpaceDE w:val="0"/>
              <w:autoSpaceDN w:val="0"/>
              <w:adjustRightInd w:val="0"/>
              <w:rPr>
                <w:sz w:val="22"/>
                <w:szCs w:val="22"/>
              </w:rPr>
            </w:pPr>
            <w:r w:rsidRPr="00AD55AA">
              <w:rPr>
                <w:sz w:val="22"/>
                <w:szCs w:val="22"/>
              </w:rPr>
              <w:t>Control variables</w:t>
            </w:r>
          </w:p>
        </w:tc>
        <w:tc>
          <w:tcPr>
            <w:tcW w:w="0" w:type="auto"/>
            <w:tcBorders>
              <w:top w:val="nil"/>
              <w:left w:val="nil"/>
              <w:bottom w:val="nil"/>
              <w:right w:val="nil"/>
            </w:tcBorders>
          </w:tcPr>
          <w:p w14:paraId="797A34B3" w14:textId="2D88E994"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bottom w:val="nil"/>
              <w:right w:val="nil"/>
            </w:tcBorders>
          </w:tcPr>
          <w:p w14:paraId="6044B953" w14:textId="125DA4D3"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bottom w:val="nil"/>
              <w:right w:val="nil"/>
            </w:tcBorders>
          </w:tcPr>
          <w:p w14:paraId="4786A08F" w14:textId="4CF8A129" w:rsidR="0009536D" w:rsidRPr="00AD55AA" w:rsidRDefault="0009536D" w:rsidP="0009536D">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12CA6E03" w14:textId="794B9103" w:rsidR="0009536D" w:rsidRPr="00AD55AA" w:rsidRDefault="0009536D" w:rsidP="0009536D">
            <w:pPr>
              <w:widowControl w:val="0"/>
              <w:autoSpaceDE w:val="0"/>
              <w:autoSpaceDN w:val="0"/>
              <w:adjustRightInd w:val="0"/>
              <w:jc w:val="center"/>
              <w:rPr>
                <w:sz w:val="22"/>
                <w:szCs w:val="22"/>
              </w:rPr>
            </w:pPr>
            <w:r w:rsidRPr="00AD55AA">
              <w:rPr>
                <w:sz w:val="22"/>
                <w:szCs w:val="22"/>
              </w:rPr>
              <w:t>Yes</w:t>
            </w:r>
          </w:p>
        </w:tc>
      </w:tr>
      <w:tr w:rsidR="00E65573" w:rsidRPr="00AD55AA" w14:paraId="6FA71797" w14:textId="77777777" w:rsidTr="001916FA">
        <w:trPr>
          <w:jc w:val="center"/>
        </w:trPr>
        <w:tc>
          <w:tcPr>
            <w:tcW w:w="0" w:type="auto"/>
            <w:tcBorders>
              <w:top w:val="nil"/>
              <w:left w:val="nil"/>
              <w:bottom w:val="nil"/>
              <w:right w:val="nil"/>
            </w:tcBorders>
          </w:tcPr>
          <w:p w14:paraId="27EA8167" w14:textId="3E430B46" w:rsidR="00E65573" w:rsidRPr="00AD55AA" w:rsidRDefault="00E65573" w:rsidP="00E65573">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6A73135F" w14:textId="5236DCE7"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bottom w:val="nil"/>
              <w:right w:val="nil"/>
            </w:tcBorders>
          </w:tcPr>
          <w:p w14:paraId="5BBB243D" w14:textId="78759736"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bottom w:val="nil"/>
              <w:right w:val="nil"/>
            </w:tcBorders>
          </w:tcPr>
          <w:p w14:paraId="356A143F" w14:textId="77777777"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419797CB" w14:textId="77777777"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r>
      <w:tr w:rsidR="00E65573" w:rsidRPr="00AD55AA" w14:paraId="20AA4D10" w14:textId="77777777" w:rsidTr="001916FA">
        <w:trPr>
          <w:jc w:val="center"/>
        </w:trPr>
        <w:tc>
          <w:tcPr>
            <w:tcW w:w="0" w:type="auto"/>
            <w:tcBorders>
              <w:top w:val="nil"/>
              <w:left w:val="nil"/>
              <w:bottom w:val="nil"/>
              <w:right w:val="nil"/>
            </w:tcBorders>
          </w:tcPr>
          <w:p w14:paraId="7840FBAE" w14:textId="7FABCD55" w:rsidR="00E65573" w:rsidRPr="00AD55AA" w:rsidRDefault="00E65573" w:rsidP="00E65573">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bottom w:val="nil"/>
              <w:right w:val="nil"/>
            </w:tcBorders>
          </w:tcPr>
          <w:p w14:paraId="70043DEA" w14:textId="397C908B"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bottom w:val="nil"/>
              <w:right w:val="nil"/>
            </w:tcBorders>
          </w:tcPr>
          <w:p w14:paraId="6DC83603" w14:textId="1DC569E7"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bottom w:val="nil"/>
              <w:right w:val="nil"/>
            </w:tcBorders>
          </w:tcPr>
          <w:p w14:paraId="34CD029B" w14:textId="77777777"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37E9D557" w14:textId="77777777"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r>
      <w:tr w:rsidR="00FA1757" w:rsidRPr="00AD55AA" w14:paraId="2813B894" w14:textId="77777777" w:rsidTr="001916FA">
        <w:trPr>
          <w:jc w:val="center"/>
        </w:trPr>
        <w:tc>
          <w:tcPr>
            <w:tcW w:w="0" w:type="auto"/>
            <w:tcBorders>
              <w:top w:val="nil"/>
              <w:left w:val="nil"/>
              <w:bottom w:val="nil"/>
              <w:right w:val="nil"/>
            </w:tcBorders>
          </w:tcPr>
          <w:p w14:paraId="09ADB836" w14:textId="091E3203" w:rsidR="00FA1757" w:rsidRPr="00AD55AA" w:rsidRDefault="00FA1757" w:rsidP="0009536D">
            <w:pPr>
              <w:widowControl w:val="0"/>
              <w:autoSpaceDE w:val="0"/>
              <w:autoSpaceDN w:val="0"/>
              <w:adjustRightInd w:val="0"/>
              <w:rPr>
                <w:sz w:val="22"/>
                <w:szCs w:val="22"/>
              </w:rPr>
            </w:pPr>
            <w:r w:rsidRPr="00AD55AA">
              <w:rPr>
                <w:sz w:val="22"/>
                <w:szCs w:val="22"/>
              </w:rPr>
              <w:t>Test Con. = Uncon.</w:t>
            </w:r>
          </w:p>
        </w:tc>
        <w:tc>
          <w:tcPr>
            <w:tcW w:w="0" w:type="auto"/>
            <w:gridSpan w:val="2"/>
            <w:tcBorders>
              <w:top w:val="nil"/>
              <w:left w:val="nil"/>
              <w:bottom w:val="nil"/>
              <w:right w:val="nil"/>
            </w:tcBorders>
          </w:tcPr>
          <w:p w14:paraId="2C7EA48D" w14:textId="7AC2053A" w:rsidR="00FA1757" w:rsidRPr="00AD55AA" w:rsidRDefault="00FA1757" w:rsidP="0009536D">
            <w:pPr>
              <w:widowControl w:val="0"/>
              <w:autoSpaceDE w:val="0"/>
              <w:autoSpaceDN w:val="0"/>
              <w:adjustRightInd w:val="0"/>
              <w:jc w:val="center"/>
              <w:rPr>
                <w:sz w:val="22"/>
                <w:szCs w:val="22"/>
              </w:rPr>
            </w:pPr>
          </w:p>
        </w:tc>
        <w:tc>
          <w:tcPr>
            <w:tcW w:w="0" w:type="auto"/>
            <w:gridSpan w:val="2"/>
            <w:tcBorders>
              <w:top w:val="nil"/>
              <w:left w:val="nil"/>
              <w:bottom w:val="nil"/>
              <w:right w:val="nil"/>
            </w:tcBorders>
          </w:tcPr>
          <w:p w14:paraId="4C5D0849" w14:textId="0298E417" w:rsidR="00FA1757" w:rsidRPr="00AD55AA" w:rsidRDefault="00FA1757" w:rsidP="0009536D">
            <w:pPr>
              <w:widowControl w:val="0"/>
              <w:autoSpaceDE w:val="0"/>
              <w:autoSpaceDN w:val="0"/>
              <w:adjustRightInd w:val="0"/>
              <w:jc w:val="center"/>
              <w:rPr>
                <w:sz w:val="22"/>
                <w:szCs w:val="22"/>
              </w:rPr>
            </w:pPr>
            <w:r w:rsidRPr="00AD55AA">
              <w:rPr>
                <w:sz w:val="22"/>
                <w:szCs w:val="22"/>
              </w:rPr>
              <w:t>0.000</w:t>
            </w:r>
          </w:p>
        </w:tc>
      </w:tr>
      <w:tr w:rsidR="00FA1757" w:rsidRPr="00AD55AA" w14:paraId="659CA924" w14:textId="77777777" w:rsidTr="001916FA">
        <w:trPr>
          <w:jc w:val="center"/>
        </w:trPr>
        <w:tc>
          <w:tcPr>
            <w:tcW w:w="0" w:type="auto"/>
            <w:tcBorders>
              <w:top w:val="nil"/>
              <w:left w:val="nil"/>
              <w:right w:val="nil"/>
            </w:tcBorders>
          </w:tcPr>
          <w:p w14:paraId="405B2C37" w14:textId="77777777" w:rsidR="00FA1757" w:rsidRPr="00AD55AA" w:rsidRDefault="00FA1757" w:rsidP="00FA1757">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04BC05D0" w14:textId="0262CA7E" w:rsidR="00FA1757" w:rsidRPr="00AD55AA" w:rsidRDefault="00FA1757" w:rsidP="00FA1757">
            <w:pPr>
              <w:widowControl w:val="0"/>
              <w:autoSpaceDE w:val="0"/>
              <w:autoSpaceDN w:val="0"/>
              <w:adjustRightInd w:val="0"/>
              <w:jc w:val="center"/>
              <w:rPr>
                <w:sz w:val="22"/>
                <w:szCs w:val="22"/>
              </w:rPr>
            </w:pPr>
          </w:p>
        </w:tc>
        <w:tc>
          <w:tcPr>
            <w:tcW w:w="0" w:type="auto"/>
            <w:tcBorders>
              <w:top w:val="nil"/>
              <w:left w:val="nil"/>
              <w:right w:val="nil"/>
            </w:tcBorders>
          </w:tcPr>
          <w:p w14:paraId="3C37A925" w14:textId="004F6F05" w:rsidR="00FA1757" w:rsidRPr="00AD55AA" w:rsidRDefault="00FA1757" w:rsidP="00FA1757">
            <w:pPr>
              <w:widowControl w:val="0"/>
              <w:autoSpaceDE w:val="0"/>
              <w:autoSpaceDN w:val="0"/>
              <w:adjustRightInd w:val="0"/>
              <w:jc w:val="center"/>
              <w:rPr>
                <w:sz w:val="22"/>
                <w:szCs w:val="22"/>
              </w:rPr>
            </w:pPr>
          </w:p>
        </w:tc>
        <w:tc>
          <w:tcPr>
            <w:tcW w:w="0" w:type="auto"/>
            <w:tcBorders>
              <w:top w:val="nil"/>
              <w:left w:val="nil"/>
              <w:right w:val="nil"/>
            </w:tcBorders>
          </w:tcPr>
          <w:p w14:paraId="3E60CD34" w14:textId="4BA02E57" w:rsidR="00FA1757" w:rsidRPr="00AD55AA" w:rsidRDefault="00FA1757" w:rsidP="00FA1757">
            <w:pPr>
              <w:widowControl w:val="0"/>
              <w:autoSpaceDE w:val="0"/>
              <w:autoSpaceDN w:val="0"/>
              <w:adjustRightInd w:val="0"/>
              <w:jc w:val="center"/>
              <w:rPr>
                <w:sz w:val="22"/>
                <w:szCs w:val="22"/>
              </w:rPr>
            </w:pPr>
            <w:r w:rsidRPr="00AD55AA">
              <w:rPr>
                <w:sz w:val="22"/>
                <w:szCs w:val="22"/>
              </w:rPr>
              <w:t>12,573</w:t>
            </w:r>
          </w:p>
        </w:tc>
        <w:tc>
          <w:tcPr>
            <w:tcW w:w="0" w:type="auto"/>
            <w:tcBorders>
              <w:top w:val="nil"/>
              <w:left w:val="nil"/>
              <w:right w:val="nil"/>
            </w:tcBorders>
          </w:tcPr>
          <w:p w14:paraId="22AD18C9" w14:textId="3E1FD10A" w:rsidR="00FA1757" w:rsidRPr="00AD55AA" w:rsidRDefault="00FA1757" w:rsidP="00FA1757">
            <w:pPr>
              <w:widowControl w:val="0"/>
              <w:autoSpaceDE w:val="0"/>
              <w:autoSpaceDN w:val="0"/>
              <w:adjustRightInd w:val="0"/>
              <w:jc w:val="center"/>
              <w:rPr>
                <w:sz w:val="22"/>
                <w:szCs w:val="22"/>
              </w:rPr>
            </w:pPr>
            <w:r w:rsidRPr="00AD55AA">
              <w:rPr>
                <w:sz w:val="22"/>
                <w:szCs w:val="22"/>
              </w:rPr>
              <w:t>12,573</w:t>
            </w:r>
          </w:p>
        </w:tc>
      </w:tr>
      <w:tr w:rsidR="00EF4F55" w:rsidRPr="00AD55AA" w14:paraId="14C5BDD3" w14:textId="77777777" w:rsidTr="001916FA">
        <w:trPr>
          <w:jc w:val="center"/>
        </w:trPr>
        <w:tc>
          <w:tcPr>
            <w:tcW w:w="0" w:type="auto"/>
            <w:tcBorders>
              <w:top w:val="nil"/>
              <w:left w:val="nil"/>
              <w:right w:val="nil"/>
            </w:tcBorders>
          </w:tcPr>
          <w:p w14:paraId="4611A6EA" w14:textId="77777777" w:rsidR="00EF4F55" w:rsidRPr="00AD55AA" w:rsidRDefault="00EF4F55" w:rsidP="00EF4F55">
            <w:pPr>
              <w:widowControl w:val="0"/>
              <w:autoSpaceDE w:val="0"/>
              <w:autoSpaceDN w:val="0"/>
              <w:adjustRightInd w:val="0"/>
              <w:rPr>
                <w:sz w:val="22"/>
                <w:szCs w:val="22"/>
              </w:rPr>
            </w:pPr>
            <w:r w:rsidRPr="00AD55AA">
              <w:rPr>
                <w:sz w:val="22"/>
                <w:szCs w:val="22"/>
              </w:rPr>
              <w:t>Adjusted R-squared</w:t>
            </w:r>
          </w:p>
        </w:tc>
        <w:tc>
          <w:tcPr>
            <w:tcW w:w="0" w:type="auto"/>
            <w:tcBorders>
              <w:top w:val="nil"/>
              <w:left w:val="nil"/>
              <w:right w:val="nil"/>
            </w:tcBorders>
          </w:tcPr>
          <w:p w14:paraId="2E3D3ADF" w14:textId="2A23D504"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7E084B02" w14:textId="22FEF5AE"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1F328F4E" w14:textId="242159C3" w:rsidR="00EF4F55" w:rsidRPr="00AD55AA" w:rsidRDefault="00EF4F55" w:rsidP="00EF4F55">
            <w:pPr>
              <w:widowControl w:val="0"/>
              <w:autoSpaceDE w:val="0"/>
              <w:autoSpaceDN w:val="0"/>
              <w:adjustRightInd w:val="0"/>
              <w:jc w:val="center"/>
              <w:rPr>
                <w:sz w:val="22"/>
                <w:szCs w:val="22"/>
              </w:rPr>
            </w:pPr>
            <w:r w:rsidRPr="00FD0E80">
              <w:rPr>
                <w:sz w:val="22"/>
              </w:rPr>
              <w:t>0.1243</w:t>
            </w:r>
          </w:p>
        </w:tc>
        <w:tc>
          <w:tcPr>
            <w:tcW w:w="0" w:type="auto"/>
            <w:tcBorders>
              <w:top w:val="nil"/>
              <w:left w:val="nil"/>
              <w:right w:val="nil"/>
            </w:tcBorders>
          </w:tcPr>
          <w:p w14:paraId="71B0554F" w14:textId="1A9DBFCB" w:rsidR="00EF4F55" w:rsidRPr="00AD55AA" w:rsidRDefault="00EF4F55" w:rsidP="00EF4F55">
            <w:pPr>
              <w:widowControl w:val="0"/>
              <w:autoSpaceDE w:val="0"/>
              <w:autoSpaceDN w:val="0"/>
              <w:adjustRightInd w:val="0"/>
              <w:jc w:val="center"/>
              <w:rPr>
                <w:sz w:val="22"/>
                <w:szCs w:val="22"/>
              </w:rPr>
            </w:pPr>
            <w:r w:rsidRPr="00FD0E80">
              <w:rPr>
                <w:sz w:val="22"/>
              </w:rPr>
              <w:t>0.4939</w:t>
            </w:r>
          </w:p>
        </w:tc>
      </w:tr>
      <w:tr w:rsidR="001916FA" w:rsidRPr="00AD55AA" w14:paraId="1BC1D5C3" w14:textId="77777777" w:rsidTr="001916FA">
        <w:trPr>
          <w:jc w:val="center"/>
        </w:trPr>
        <w:tc>
          <w:tcPr>
            <w:tcW w:w="0" w:type="auto"/>
            <w:tcBorders>
              <w:top w:val="single" w:sz="4" w:space="0" w:color="auto"/>
              <w:left w:val="nil"/>
              <w:right w:val="nil"/>
            </w:tcBorders>
          </w:tcPr>
          <w:p w14:paraId="767DDD76" w14:textId="209C2607" w:rsidR="001916FA" w:rsidRPr="00AD55AA" w:rsidRDefault="001916FA" w:rsidP="001916FA">
            <w:pPr>
              <w:widowControl w:val="0"/>
              <w:autoSpaceDE w:val="0"/>
              <w:autoSpaceDN w:val="0"/>
              <w:adjustRightInd w:val="0"/>
              <w:rPr>
                <w:sz w:val="22"/>
                <w:szCs w:val="22"/>
              </w:rPr>
            </w:pPr>
            <w:r w:rsidRPr="00AD55AA">
              <w:rPr>
                <w:sz w:val="22"/>
                <w:szCs w:val="22"/>
              </w:rPr>
              <w:t>Panel B</w:t>
            </w:r>
          </w:p>
        </w:tc>
        <w:tc>
          <w:tcPr>
            <w:tcW w:w="0" w:type="auto"/>
            <w:vMerge w:val="restart"/>
            <w:tcBorders>
              <w:top w:val="single" w:sz="4" w:space="0" w:color="auto"/>
              <w:left w:val="nil"/>
              <w:right w:val="nil"/>
            </w:tcBorders>
            <w:vAlign w:val="center"/>
          </w:tcPr>
          <w:p w14:paraId="55A5FF69" w14:textId="5E63FD0C" w:rsidR="001916FA" w:rsidRPr="00AD55AA" w:rsidRDefault="001916FA" w:rsidP="001916FA">
            <w:pPr>
              <w:widowControl w:val="0"/>
              <w:autoSpaceDE w:val="0"/>
              <w:autoSpaceDN w:val="0"/>
              <w:adjustRightInd w:val="0"/>
              <w:jc w:val="center"/>
              <w:rPr>
                <w:sz w:val="22"/>
                <w:szCs w:val="22"/>
              </w:rPr>
            </w:pPr>
          </w:p>
        </w:tc>
        <w:tc>
          <w:tcPr>
            <w:tcW w:w="0" w:type="auto"/>
            <w:vMerge w:val="restart"/>
            <w:tcBorders>
              <w:top w:val="single" w:sz="4" w:space="0" w:color="auto"/>
              <w:left w:val="nil"/>
              <w:right w:val="nil"/>
            </w:tcBorders>
            <w:vAlign w:val="center"/>
          </w:tcPr>
          <w:p w14:paraId="5C444F9C" w14:textId="3BAFB29D" w:rsidR="001916FA" w:rsidRPr="00AD55AA" w:rsidRDefault="001916FA" w:rsidP="001916FA">
            <w:pPr>
              <w:widowControl w:val="0"/>
              <w:autoSpaceDE w:val="0"/>
              <w:autoSpaceDN w:val="0"/>
              <w:adjustRightInd w:val="0"/>
              <w:jc w:val="center"/>
              <w:rPr>
                <w:sz w:val="22"/>
                <w:szCs w:val="22"/>
              </w:rPr>
            </w:pPr>
          </w:p>
        </w:tc>
        <w:tc>
          <w:tcPr>
            <w:tcW w:w="0" w:type="auto"/>
            <w:vMerge w:val="restart"/>
            <w:tcBorders>
              <w:top w:val="single" w:sz="4" w:space="0" w:color="auto"/>
              <w:left w:val="nil"/>
              <w:right w:val="nil"/>
            </w:tcBorders>
            <w:vAlign w:val="center"/>
          </w:tcPr>
          <w:p w14:paraId="43AF062A" w14:textId="4F7B7935" w:rsidR="001916FA" w:rsidRPr="00AD55AA" w:rsidRDefault="001916FA" w:rsidP="001916FA">
            <w:pPr>
              <w:widowControl w:val="0"/>
              <w:autoSpaceDE w:val="0"/>
              <w:autoSpaceDN w:val="0"/>
              <w:adjustRightInd w:val="0"/>
              <w:jc w:val="center"/>
              <w:rPr>
                <w:sz w:val="22"/>
                <w:szCs w:val="22"/>
              </w:rPr>
            </w:pPr>
            <w:r w:rsidRPr="00AD55AA">
              <w:rPr>
                <w:sz w:val="22"/>
                <w:szCs w:val="22"/>
              </w:rPr>
              <w:t>(1)</w:t>
            </w:r>
          </w:p>
        </w:tc>
        <w:tc>
          <w:tcPr>
            <w:tcW w:w="0" w:type="auto"/>
            <w:vMerge w:val="restart"/>
            <w:tcBorders>
              <w:top w:val="single" w:sz="4" w:space="0" w:color="auto"/>
              <w:left w:val="nil"/>
              <w:right w:val="nil"/>
            </w:tcBorders>
            <w:vAlign w:val="center"/>
          </w:tcPr>
          <w:p w14:paraId="2C8C41B7" w14:textId="5D7A7C3C" w:rsidR="001916FA" w:rsidRPr="00AD55AA" w:rsidRDefault="001916FA" w:rsidP="001916FA">
            <w:pPr>
              <w:widowControl w:val="0"/>
              <w:autoSpaceDE w:val="0"/>
              <w:autoSpaceDN w:val="0"/>
              <w:adjustRightInd w:val="0"/>
              <w:jc w:val="center"/>
              <w:rPr>
                <w:sz w:val="22"/>
                <w:szCs w:val="22"/>
              </w:rPr>
            </w:pPr>
            <w:r w:rsidRPr="00AD55AA">
              <w:rPr>
                <w:sz w:val="22"/>
                <w:szCs w:val="22"/>
              </w:rPr>
              <w:t>(2)</w:t>
            </w:r>
          </w:p>
        </w:tc>
      </w:tr>
      <w:tr w:rsidR="006C1582" w:rsidRPr="00AD55AA" w14:paraId="62AFBF15" w14:textId="77777777" w:rsidTr="001916FA">
        <w:trPr>
          <w:jc w:val="center"/>
        </w:trPr>
        <w:tc>
          <w:tcPr>
            <w:tcW w:w="0" w:type="auto"/>
            <w:tcBorders>
              <w:top w:val="nil"/>
              <w:left w:val="nil"/>
              <w:bottom w:val="single" w:sz="4" w:space="0" w:color="auto"/>
              <w:right w:val="nil"/>
            </w:tcBorders>
          </w:tcPr>
          <w:p w14:paraId="59D57798" w14:textId="6A6E0B8C" w:rsidR="006C1582" w:rsidRPr="00AD55AA" w:rsidRDefault="006C1582" w:rsidP="0009536D">
            <w:pPr>
              <w:widowControl w:val="0"/>
              <w:autoSpaceDE w:val="0"/>
              <w:autoSpaceDN w:val="0"/>
              <w:adjustRightInd w:val="0"/>
              <w:rPr>
                <w:sz w:val="22"/>
                <w:szCs w:val="22"/>
              </w:rPr>
            </w:pPr>
            <w:r w:rsidRPr="00AD55AA">
              <w:rPr>
                <w:sz w:val="22"/>
                <w:szCs w:val="22"/>
              </w:rPr>
              <w:t>Payout</w:t>
            </w:r>
          </w:p>
        </w:tc>
        <w:tc>
          <w:tcPr>
            <w:tcW w:w="0" w:type="auto"/>
            <w:vMerge/>
            <w:tcBorders>
              <w:left w:val="nil"/>
              <w:bottom w:val="single" w:sz="4" w:space="0" w:color="auto"/>
              <w:right w:val="nil"/>
            </w:tcBorders>
          </w:tcPr>
          <w:p w14:paraId="6D59DA7B" w14:textId="5775843D" w:rsidR="006C1582" w:rsidRPr="00AD55AA" w:rsidRDefault="006C1582" w:rsidP="0009536D">
            <w:pPr>
              <w:widowControl w:val="0"/>
              <w:autoSpaceDE w:val="0"/>
              <w:autoSpaceDN w:val="0"/>
              <w:adjustRightInd w:val="0"/>
              <w:jc w:val="center"/>
              <w:rPr>
                <w:sz w:val="22"/>
                <w:szCs w:val="22"/>
              </w:rPr>
            </w:pPr>
          </w:p>
        </w:tc>
        <w:tc>
          <w:tcPr>
            <w:tcW w:w="0" w:type="auto"/>
            <w:vMerge/>
            <w:tcBorders>
              <w:left w:val="nil"/>
              <w:bottom w:val="single" w:sz="4" w:space="0" w:color="auto"/>
              <w:right w:val="nil"/>
            </w:tcBorders>
          </w:tcPr>
          <w:p w14:paraId="2B1F9FD7" w14:textId="60686C55" w:rsidR="006C1582" w:rsidRPr="00AD55AA" w:rsidRDefault="006C1582" w:rsidP="0009536D">
            <w:pPr>
              <w:widowControl w:val="0"/>
              <w:autoSpaceDE w:val="0"/>
              <w:autoSpaceDN w:val="0"/>
              <w:adjustRightInd w:val="0"/>
              <w:jc w:val="center"/>
              <w:rPr>
                <w:sz w:val="22"/>
                <w:szCs w:val="22"/>
              </w:rPr>
            </w:pPr>
          </w:p>
        </w:tc>
        <w:tc>
          <w:tcPr>
            <w:tcW w:w="0" w:type="auto"/>
            <w:vMerge/>
            <w:tcBorders>
              <w:left w:val="nil"/>
              <w:bottom w:val="single" w:sz="4" w:space="0" w:color="auto"/>
              <w:right w:val="nil"/>
            </w:tcBorders>
          </w:tcPr>
          <w:p w14:paraId="7743B805" w14:textId="29C145E5" w:rsidR="006C1582" w:rsidRPr="00AD55AA" w:rsidRDefault="006C1582" w:rsidP="0009536D">
            <w:pPr>
              <w:widowControl w:val="0"/>
              <w:autoSpaceDE w:val="0"/>
              <w:autoSpaceDN w:val="0"/>
              <w:adjustRightInd w:val="0"/>
              <w:jc w:val="center"/>
              <w:rPr>
                <w:sz w:val="22"/>
                <w:szCs w:val="22"/>
              </w:rPr>
            </w:pPr>
          </w:p>
        </w:tc>
        <w:tc>
          <w:tcPr>
            <w:tcW w:w="0" w:type="auto"/>
            <w:vMerge/>
            <w:tcBorders>
              <w:left w:val="nil"/>
              <w:bottom w:val="single" w:sz="4" w:space="0" w:color="auto"/>
              <w:right w:val="nil"/>
            </w:tcBorders>
          </w:tcPr>
          <w:p w14:paraId="7BF78B81" w14:textId="5371FCC9" w:rsidR="006C1582" w:rsidRPr="00AD55AA" w:rsidRDefault="006C1582" w:rsidP="0009536D">
            <w:pPr>
              <w:widowControl w:val="0"/>
              <w:autoSpaceDE w:val="0"/>
              <w:autoSpaceDN w:val="0"/>
              <w:adjustRightInd w:val="0"/>
              <w:jc w:val="center"/>
              <w:rPr>
                <w:sz w:val="22"/>
                <w:szCs w:val="22"/>
              </w:rPr>
            </w:pPr>
          </w:p>
        </w:tc>
      </w:tr>
      <w:tr w:rsidR="00EF4F55" w:rsidRPr="00AD55AA" w14:paraId="5DF77C58" w14:textId="77777777" w:rsidTr="001916FA">
        <w:trPr>
          <w:jc w:val="center"/>
        </w:trPr>
        <w:tc>
          <w:tcPr>
            <w:tcW w:w="0" w:type="auto"/>
            <w:tcBorders>
              <w:top w:val="nil"/>
              <w:left w:val="nil"/>
              <w:right w:val="nil"/>
            </w:tcBorders>
          </w:tcPr>
          <w:p w14:paraId="676BF724" w14:textId="642E1C70" w:rsidR="00EF4F55" w:rsidRPr="00AD55AA" w:rsidRDefault="00EF4F55" w:rsidP="00EF4F55">
            <w:pPr>
              <w:widowControl w:val="0"/>
              <w:autoSpaceDE w:val="0"/>
              <w:autoSpaceDN w:val="0"/>
              <w:adjustRightInd w:val="0"/>
              <w:rPr>
                <w:sz w:val="22"/>
                <w:szCs w:val="22"/>
              </w:rPr>
            </w:pPr>
            <w:r w:rsidRPr="00AD55AA">
              <w:rPr>
                <w:sz w:val="22"/>
                <w:szCs w:val="22"/>
              </w:rPr>
              <w:t xml:space="preserve">CFIUS </w:t>
            </w:r>
            <w:r>
              <w:rPr>
                <w:sz w:val="22"/>
                <w:szCs w:val="22"/>
              </w:rPr>
              <w:t>Block</w:t>
            </w:r>
          </w:p>
        </w:tc>
        <w:tc>
          <w:tcPr>
            <w:tcW w:w="0" w:type="auto"/>
            <w:tcBorders>
              <w:top w:val="nil"/>
              <w:left w:val="nil"/>
              <w:right w:val="nil"/>
            </w:tcBorders>
          </w:tcPr>
          <w:p w14:paraId="33F5157E"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5C464E73"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103C7D27" w14:textId="0691EE3C" w:rsidR="00EF4F55" w:rsidRPr="00AD55AA" w:rsidRDefault="00EF4F55" w:rsidP="00EF4F55">
            <w:pPr>
              <w:widowControl w:val="0"/>
              <w:autoSpaceDE w:val="0"/>
              <w:autoSpaceDN w:val="0"/>
              <w:adjustRightInd w:val="0"/>
              <w:jc w:val="center"/>
              <w:rPr>
                <w:sz w:val="22"/>
                <w:szCs w:val="22"/>
              </w:rPr>
            </w:pPr>
            <w:r w:rsidRPr="00BE2F5D">
              <w:rPr>
                <w:sz w:val="22"/>
              </w:rPr>
              <w:t>-0.116***</w:t>
            </w:r>
          </w:p>
        </w:tc>
        <w:tc>
          <w:tcPr>
            <w:tcW w:w="0" w:type="auto"/>
            <w:tcBorders>
              <w:top w:val="nil"/>
              <w:left w:val="nil"/>
              <w:right w:val="nil"/>
            </w:tcBorders>
          </w:tcPr>
          <w:p w14:paraId="7B99FFCE" w14:textId="24097D44" w:rsidR="00EF4F55" w:rsidRPr="00AD55AA" w:rsidRDefault="00EF4F55" w:rsidP="00EF4F55">
            <w:pPr>
              <w:widowControl w:val="0"/>
              <w:autoSpaceDE w:val="0"/>
              <w:autoSpaceDN w:val="0"/>
              <w:adjustRightInd w:val="0"/>
              <w:jc w:val="center"/>
              <w:rPr>
                <w:sz w:val="22"/>
                <w:szCs w:val="22"/>
              </w:rPr>
            </w:pPr>
            <w:r w:rsidRPr="00BE2F5D">
              <w:rPr>
                <w:sz w:val="22"/>
              </w:rPr>
              <w:t>-0.003</w:t>
            </w:r>
          </w:p>
        </w:tc>
      </w:tr>
      <w:tr w:rsidR="00EF4F55" w:rsidRPr="00AD55AA" w14:paraId="27E0BD4A" w14:textId="77777777" w:rsidTr="001916FA">
        <w:trPr>
          <w:jc w:val="center"/>
        </w:trPr>
        <w:tc>
          <w:tcPr>
            <w:tcW w:w="0" w:type="auto"/>
            <w:tcBorders>
              <w:top w:val="nil"/>
              <w:left w:val="nil"/>
              <w:right w:val="nil"/>
            </w:tcBorders>
          </w:tcPr>
          <w:p w14:paraId="3EAEB2CC" w14:textId="77777777" w:rsidR="00EF4F55" w:rsidRPr="00AD55AA" w:rsidRDefault="00EF4F55" w:rsidP="00EF4F55">
            <w:pPr>
              <w:widowControl w:val="0"/>
              <w:autoSpaceDE w:val="0"/>
              <w:autoSpaceDN w:val="0"/>
              <w:adjustRightInd w:val="0"/>
              <w:rPr>
                <w:sz w:val="22"/>
                <w:szCs w:val="22"/>
              </w:rPr>
            </w:pPr>
          </w:p>
        </w:tc>
        <w:tc>
          <w:tcPr>
            <w:tcW w:w="0" w:type="auto"/>
            <w:tcBorders>
              <w:top w:val="nil"/>
              <w:left w:val="nil"/>
              <w:right w:val="nil"/>
            </w:tcBorders>
          </w:tcPr>
          <w:p w14:paraId="4F0E06F6"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682DF6D0"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46627589" w14:textId="68298D2F" w:rsidR="00EF4F55" w:rsidRPr="00AD55AA" w:rsidRDefault="00EF4F55" w:rsidP="00EF4F55">
            <w:pPr>
              <w:widowControl w:val="0"/>
              <w:autoSpaceDE w:val="0"/>
              <w:autoSpaceDN w:val="0"/>
              <w:adjustRightInd w:val="0"/>
              <w:jc w:val="center"/>
              <w:rPr>
                <w:sz w:val="22"/>
                <w:szCs w:val="22"/>
              </w:rPr>
            </w:pPr>
            <w:r w:rsidRPr="00BE2F5D">
              <w:rPr>
                <w:sz w:val="22"/>
              </w:rPr>
              <w:t>(-3.51)</w:t>
            </w:r>
          </w:p>
        </w:tc>
        <w:tc>
          <w:tcPr>
            <w:tcW w:w="0" w:type="auto"/>
            <w:tcBorders>
              <w:top w:val="nil"/>
              <w:left w:val="nil"/>
              <w:right w:val="nil"/>
            </w:tcBorders>
          </w:tcPr>
          <w:p w14:paraId="4A43D8CB" w14:textId="0EE900F3" w:rsidR="00EF4F55" w:rsidRPr="00AD55AA" w:rsidRDefault="00EF4F55" w:rsidP="00EF4F55">
            <w:pPr>
              <w:widowControl w:val="0"/>
              <w:autoSpaceDE w:val="0"/>
              <w:autoSpaceDN w:val="0"/>
              <w:adjustRightInd w:val="0"/>
              <w:jc w:val="center"/>
              <w:rPr>
                <w:sz w:val="22"/>
                <w:szCs w:val="22"/>
              </w:rPr>
            </w:pPr>
            <w:r w:rsidRPr="00BE2F5D">
              <w:rPr>
                <w:sz w:val="22"/>
              </w:rPr>
              <w:t>(-0.18)</w:t>
            </w:r>
          </w:p>
        </w:tc>
      </w:tr>
      <w:tr w:rsidR="0009536D" w:rsidRPr="00AD55AA" w14:paraId="20619C90" w14:textId="77777777" w:rsidTr="001916FA">
        <w:trPr>
          <w:jc w:val="center"/>
        </w:trPr>
        <w:tc>
          <w:tcPr>
            <w:tcW w:w="0" w:type="auto"/>
            <w:tcBorders>
              <w:top w:val="nil"/>
              <w:left w:val="nil"/>
              <w:right w:val="nil"/>
            </w:tcBorders>
          </w:tcPr>
          <w:p w14:paraId="48B6BB7B" w14:textId="77777777" w:rsidR="0009536D" w:rsidRPr="00AD55AA" w:rsidRDefault="0009536D" w:rsidP="0009536D">
            <w:pPr>
              <w:widowControl w:val="0"/>
              <w:autoSpaceDE w:val="0"/>
              <w:autoSpaceDN w:val="0"/>
              <w:adjustRightInd w:val="0"/>
              <w:rPr>
                <w:sz w:val="22"/>
                <w:szCs w:val="22"/>
              </w:rPr>
            </w:pPr>
          </w:p>
        </w:tc>
        <w:tc>
          <w:tcPr>
            <w:tcW w:w="0" w:type="auto"/>
            <w:tcBorders>
              <w:top w:val="nil"/>
              <w:left w:val="nil"/>
              <w:right w:val="nil"/>
            </w:tcBorders>
          </w:tcPr>
          <w:p w14:paraId="25432864" w14:textId="77777777"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1C713B7A" w14:textId="77777777"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3F03852C" w14:textId="77777777"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0518B843" w14:textId="77777777" w:rsidR="0009536D" w:rsidRPr="00AD55AA" w:rsidRDefault="0009536D" w:rsidP="0009536D">
            <w:pPr>
              <w:widowControl w:val="0"/>
              <w:autoSpaceDE w:val="0"/>
              <w:autoSpaceDN w:val="0"/>
              <w:adjustRightInd w:val="0"/>
              <w:jc w:val="center"/>
              <w:rPr>
                <w:sz w:val="22"/>
                <w:szCs w:val="22"/>
              </w:rPr>
            </w:pPr>
          </w:p>
        </w:tc>
      </w:tr>
      <w:tr w:rsidR="0009536D" w:rsidRPr="00AD55AA" w14:paraId="6DF3C7FF" w14:textId="77777777" w:rsidTr="001916FA">
        <w:trPr>
          <w:jc w:val="center"/>
        </w:trPr>
        <w:tc>
          <w:tcPr>
            <w:tcW w:w="0" w:type="auto"/>
            <w:tcBorders>
              <w:top w:val="nil"/>
              <w:left w:val="nil"/>
              <w:right w:val="nil"/>
            </w:tcBorders>
          </w:tcPr>
          <w:p w14:paraId="2281DB57" w14:textId="01CFE4A4" w:rsidR="0009536D" w:rsidRPr="00AD55AA" w:rsidRDefault="0009536D" w:rsidP="0009536D">
            <w:pPr>
              <w:widowControl w:val="0"/>
              <w:autoSpaceDE w:val="0"/>
              <w:autoSpaceDN w:val="0"/>
              <w:adjustRightInd w:val="0"/>
              <w:rPr>
                <w:sz w:val="22"/>
                <w:szCs w:val="22"/>
              </w:rPr>
            </w:pPr>
            <w:r w:rsidRPr="00AD55AA">
              <w:rPr>
                <w:sz w:val="22"/>
                <w:szCs w:val="22"/>
              </w:rPr>
              <w:t>Control variables</w:t>
            </w:r>
          </w:p>
        </w:tc>
        <w:tc>
          <w:tcPr>
            <w:tcW w:w="0" w:type="auto"/>
            <w:tcBorders>
              <w:top w:val="nil"/>
              <w:left w:val="nil"/>
              <w:right w:val="nil"/>
            </w:tcBorders>
          </w:tcPr>
          <w:p w14:paraId="6AC86208" w14:textId="51CA95DB"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2465CD69" w14:textId="3CEFACF2"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7085FC66" w14:textId="55D8E1B8" w:rsidR="0009536D" w:rsidRPr="00AD55AA" w:rsidRDefault="0009536D" w:rsidP="0009536D">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5F30CB4A" w14:textId="7C582CD4" w:rsidR="0009536D" w:rsidRPr="00AD55AA" w:rsidRDefault="0009536D" w:rsidP="0009536D">
            <w:pPr>
              <w:widowControl w:val="0"/>
              <w:autoSpaceDE w:val="0"/>
              <w:autoSpaceDN w:val="0"/>
              <w:adjustRightInd w:val="0"/>
              <w:jc w:val="center"/>
              <w:rPr>
                <w:sz w:val="22"/>
                <w:szCs w:val="22"/>
              </w:rPr>
            </w:pPr>
            <w:r w:rsidRPr="00AD55AA">
              <w:rPr>
                <w:sz w:val="22"/>
                <w:szCs w:val="22"/>
              </w:rPr>
              <w:t>Yes</w:t>
            </w:r>
          </w:p>
        </w:tc>
      </w:tr>
      <w:tr w:rsidR="00E65573" w:rsidRPr="00AD55AA" w14:paraId="7A2647FA" w14:textId="77777777" w:rsidTr="001916FA">
        <w:trPr>
          <w:jc w:val="center"/>
        </w:trPr>
        <w:tc>
          <w:tcPr>
            <w:tcW w:w="0" w:type="auto"/>
            <w:tcBorders>
              <w:top w:val="nil"/>
              <w:left w:val="nil"/>
              <w:right w:val="nil"/>
            </w:tcBorders>
          </w:tcPr>
          <w:p w14:paraId="72076217" w14:textId="360D9FAA" w:rsidR="00E65573" w:rsidRPr="00AD55AA" w:rsidRDefault="00E65573" w:rsidP="00E65573">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right w:val="nil"/>
            </w:tcBorders>
          </w:tcPr>
          <w:p w14:paraId="204B0F7B" w14:textId="371C4018"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7A9DB6B9" w14:textId="63E3D982"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0F77DDA2" w14:textId="28D71512"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047E3E3C" w14:textId="5E500A16"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r>
      <w:tr w:rsidR="00E65573" w:rsidRPr="00AD55AA" w14:paraId="7BD0DC0F" w14:textId="77777777" w:rsidTr="001916FA">
        <w:trPr>
          <w:jc w:val="center"/>
        </w:trPr>
        <w:tc>
          <w:tcPr>
            <w:tcW w:w="0" w:type="auto"/>
            <w:tcBorders>
              <w:top w:val="nil"/>
              <w:left w:val="nil"/>
              <w:right w:val="nil"/>
            </w:tcBorders>
          </w:tcPr>
          <w:p w14:paraId="638987E5" w14:textId="448E6A42" w:rsidR="00E65573" w:rsidRPr="00AD55AA" w:rsidRDefault="00E65573" w:rsidP="00E65573">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right w:val="nil"/>
            </w:tcBorders>
          </w:tcPr>
          <w:p w14:paraId="2E2F34FC" w14:textId="428CBD14"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64106463" w14:textId="51D3B9D3"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63E816AF" w14:textId="24BF232B"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59BB26EB" w14:textId="53B4FABE"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r>
      <w:tr w:rsidR="00FA1757" w:rsidRPr="00AD55AA" w14:paraId="591BB833" w14:textId="77777777" w:rsidTr="001916FA">
        <w:trPr>
          <w:jc w:val="center"/>
        </w:trPr>
        <w:tc>
          <w:tcPr>
            <w:tcW w:w="0" w:type="auto"/>
            <w:tcBorders>
              <w:top w:val="nil"/>
              <w:left w:val="nil"/>
              <w:right w:val="nil"/>
            </w:tcBorders>
          </w:tcPr>
          <w:p w14:paraId="463B2E08" w14:textId="610427DC" w:rsidR="00FA1757" w:rsidRPr="00AD55AA" w:rsidRDefault="00FA1757" w:rsidP="0009536D">
            <w:pPr>
              <w:widowControl w:val="0"/>
              <w:autoSpaceDE w:val="0"/>
              <w:autoSpaceDN w:val="0"/>
              <w:adjustRightInd w:val="0"/>
              <w:rPr>
                <w:sz w:val="22"/>
                <w:szCs w:val="22"/>
              </w:rPr>
            </w:pPr>
            <w:r w:rsidRPr="00AD55AA">
              <w:rPr>
                <w:sz w:val="22"/>
                <w:szCs w:val="22"/>
              </w:rPr>
              <w:t>Test Con. = Uncon.</w:t>
            </w:r>
          </w:p>
        </w:tc>
        <w:tc>
          <w:tcPr>
            <w:tcW w:w="0" w:type="auto"/>
            <w:gridSpan w:val="2"/>
            <w:tcBorders>
              <w:top w:val="nil"/>
              <w:left w:val="nil"/>
              <w:right w:val="nil"/>
            </w:tcBorders>
          </w:tcPr>
          <w:p w14:paraId="2D47E1C0" w14:textId="2C3E718C" w:rsidR="00FA1757" w:rsidRPr="00AD55AA" w:rsidRDefault="00FA1757" w:rsidP="0009536D">
            <w:pPr>
              <w:widowControl w:val="0"/>
              <w:autoSpaceDE w:val="0"/>
              <w:autoSpaceDN w:val="0"/>
              <w:adjustRightInd w:val="0"/>
              <w:jc w:val="center"/>
              <w:rPr>
                <w:sz w:val="22"/>
                <w:szCs w:val="22"/>
              </w:rPr>
            </w:pPr>
          </w:p>
        </w:tc>
        <w:tc>
          <w:tcPr>
            <w:tcW w:w="0" w:type="auto"/>
            <w:gridSpan w:val="2"/>
            <w:tcBorders>
              <w:top w:val="nil"/>
              <w:left w:val="nil"/>
              <w:right w:val="nil"/>
            </w:tcBorders>
          </w:tcPr>
          <w:p w14:paraId="201ECFEF" w14:textId="4D496AF2" w:rsidR="00FA1757" w:rsidRPr="00AD55AA" w:rsidRDefault="00EF4F55" w:rsidP="0009536D">
            <w:pPr>
              <w:widowControl w:val="0"/>
              <w:autoSpaceDE w:val="0"/>
              <w:autoSpaceDN w:val="0"/>
              <w:adjustRightInd w:val="0"/>
              <w:jc w:val="center"/>
              <w:rPr>
                <w:sz w:val="22"/>
                <w:szCs w:val="22"/>
              </w:rPr>
            </w:pPr>
            <w:r>
              <w:rPr>
                <w:sz w:val="22"/>
                <w:szCs w:val="22"/>
              </w:rPr>
              <w:t>0.001</w:t>
            </w:r>
          </w:p>
        </w:tc>
      </w:tr>
      <w:tr w:rsidR="00E600B4" w:rsidRPr="00AD55AA" w14:paraId="2F8F084A" w14:textId="77777777" w:rsidTr="001916FA">
        <w:trPr>
          <w:jc w:val="center"/>
        </w:trPr>
        <w:tc>
          <w:tcPr>
            <w:tcW w:w="0" w:type="auto"/>
            <w:tcBorders>
              <w:top w:val="nil"/>
              <w:left w:val="nil"/>
              <w:right w:val="nil"/>
            </w:tcBorders>
          </w:tcPr>
          <w:p w14:paraId="4070809E" w14:textId="7779FEC8" w:rsidR="00FA1757" w:rsidRPr="00AD55AA" w:rsidRDefault="00FA1757" w:rsidP="00FA1757">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370314CD" w14:textId="1F52393D" w:rsidR="00FA1757" w:rsidRPr="00AD55AA" w:rsidRDefault="00FA1757" w:rsidP="00FA1757">
            <w:pPr>
              <w:widowControl w:val="0"/>
              <w:autoSpaceDE w:val="0"/>
              <w:autoSpaceDN w:val="0"/>
              <w:adjustRightInd w:val="0"/>
              <w:jc w:val="center"/>
              <w:rPr>
                <w:sz w:val="22"/>
                <w:szCs w:val="22"/>
              </w:rPr>
            </w:pPr>
          </w:p>
        </w:tc>
        <w:tc>
          <w:tcPr>
            <w:tcW w:w="0" w:type="auto"/>
            <w:tcBorders>
              <w:top w:val="nil"/>
              <w:left w:val="nil"/>
              <w:right w:val="nil"/>
            </w:tcBorders>
          </w:tcPr>
          <w:p w14:paraId="0C41C96D" w14:textId="7296D40F" w:rsidR="00FA1757" w:rsidRPr="00AD55AA" w:rsidRDefault="00FA1757" w:rsidP="00FA1757">
            <w:pPr>
              <w:widowControl w:val="0"/>
              <w:autoSpaceDE w:val="0"/>
              <w:autoSpaceDN w:val="0"/>
              <w:adjustRightInd w:val="0"/>
              <w:jc w:val="center"/>
              <w:rPr>
                <w:sz w:val="22"/>
                <w:szCs w:val="22"/>
              </w:rPr>
            </w:pPr>
          </w:p>
        </w:tc>
        <w:tc>
          <w:tcPr>
            <w:tcW w:w="0" w:type="auto"/>
            <w:tcBorders>
              <w:top w:val="nil"/>
              <w:left w:val="nil"/>
              <w:right w:val="nil"/>
            </w:tcBorders>
          </w:tcPr>
          <w:p w14:paraId="52D922FA" w14:textId="7C614978" w:rsidR="00FA1757" w:rsidRPr="00AD55AA" w:rsidRDefault="00FA1757" w:rsidP="00FA1757">
            <w:pPr>
              <w:widowControl w:val="0"/>
              <w:autoSpaceDE w:val="0"/>
              <w:autoSpaceDN w:val="0"/>
              <w:adjustRightInd w:val="0"/>
              <w:jc w:val="center"/>
              <w:rPr>
                <w:sz w:val="22"/>
                <w:szCs w:val="22"/>
              </w:rPr>
            </w:pPr>
            <w:r w:rsidRPr="00AD55AA">
              <w:rPr>
                <w:sz w:val="22"/>
                <w:szCs w:val="22"/>
              </w:rPr>
              <w:t>22,370</w:t>
            </w:r>
          </w:p>
        </w:tc>
        <w:tc>
          <w:tcPr>
            <w:tcW w:w="0" w:type="auto"/>
            <w:tcBorders>
              <w:top w:val="nil"/>
              <w:left w:val="nil"/>
              <w:right w:val="nil"/>
            </w:tcBorders>
          </w:tcPr>
          <w:p w14:paraId="6F1FBC7D" w14:textId="01B67B45" w:rsidR="00FA1757" w:rsidRPr="00AD55AA" w:rsidRDefault="00FA1757" w:rsidP="00FA1757">
            <w:pPr>
              <w:widowControl w:val="0"/>
              <w:autoSpaceDE w:val="0"/>
              <w:autoSpaceDN w:val="0"/>
              <w:adjustRightInd w:val="0"/>
              <w:jc w:val="center"/>
              <w:rPr>
                <w:sz w:val="22"/>
                <w:szCs w:val="22"/>
              </w:rPr>
            </w:pPr>
            <w:r w:rsidRPr="00AD55AA">
              <w:rPr>
                <w:sz w:val="22"/>
                <w:szCs w:val="22"/>
              </w:rPr>
              <w:t>19,548</w:t>
            </w:r>
          </w:p>
        </w:tc>
      </w:tr>
      <w:tr w:rsidR="00EF4F55" w:rsidRPr="00AD55AA" w14:paraId="1AC499FE" w14:textId="77777777" w:rsidTr="001916FA">
        <w:trPr>
          <w:jc w:val="center"/>
        </w:trPr>
        <w:tc>
          <w:tcPr>
            <w:tcW w:w="0" w:type="auto"/>
            <w:tcBorders>
              <w:top w:val="nil"/>
              <w:left w:val="nil"/>
              <w:bottom w:val="single" w:sz="4" w:space="0" w:color="auto"/>
              <w:right w:val="nil"/>
            </w:tcBorders>
          </w:tcPr>
          <w:p w14:paraId="6B4617F7" w14:textId="04898836" w:rsidR="00EF4F55" w:rsidRPr="00AD55AA" w:rsidRDefault="00EF4F55" w:rsidP="00EF4F55">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7B125497" w14:textId="05BB7732"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09441A6C" w14:textId="306AA151"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14B65490" w14:textId="7DA08521" w:rsidR="00EF4F55" w:rsidRPr="00AD55AA" w:rsidRDefault="00EF4F55" w:rsidP="00EF4F55">
            <w:pPr>
              <w:widowControl w:val="0"/>
              <w:autoSpaceDE w:val="0"/>
              <w:autoSpaceDN w:val="0"/>
              <w:adjustRightInd w:val="0"/>
              <w:jc w:val="center"/>
              <w:rPr>
                <w:sz w:val="22"/>
                <w:szCs w:val="22"/>
              </w:rPr>
            </w:pPr>
            <w:r w:rsidRPr="00BE2F5D">
              <w:rPr>
                <w:sz w:val="22"/>
              </w:rPr>
              <w:t>0.1389</w:t>
            </w:r>
          </w:p>
        </w:tc>
        <w:tc>
          <w:tcPr>
            <w:tcW w:w="0" w:type="auto"/>
            <w:tcBorders>
              <w:top w:val="nil"/>
              <w:left w:val="nil"/>
              <w:bottom w:val="single" w:sz="4" w:space="0" w:color="auto"/>
              <w:right w:val="nil"/>
            </w:tcBorders>
          </w:tcPr>
          <w:p w14:paraId="31D6DC0D" w14:textId="78575C38" w:rsidR="00EF4F55" w:rsidRPr="00AD55AA" w:rsidRDefault="00EF4F55" w:rsidP="00EF4F55">
            <w:pPr>
              <w:widowControl w:val="0"/>
              <w:autoSpaceDE w:val="0"/>
              <w:autoSpaceDN w:val="0"/>
              <w:adjustRightInd w:val="0"/>
              <w:jc w:val="center"/>
              <w:rPr>
                <w:sz w:val="22"/>
                <w:szCs w:val="22"/>
              </w:rPr>
            </w:pPr>
            <w:r w:rsidRPr="00BE2F5D">
              <w:rPr>
                <w:sz w:val="22"/>
              </w:rPr>
              <w:t>0.3731</w:t>
            </w:r>
          </w:p>
        </w:tc>
      </w:tr>
      <w:tr w:rsidR="001916FA" w:rsidRPr="00AD55AA" w14:paraId="4457B615" w14:textId="77777777" w:rsidTr="001916FA">
        <w:trPr>
          <w:jc w:val="center"/>
        </w:trPr>
        <w:tc>
          <w:tcPr>
            <w:tcW w:w="0" w:type="auto"/>
            <w:tcBorders>
              <w:top w:val="single" w:sz="4" w:space="0" w:color="auto"/>
              <w:left w:val="nil"/>
              <w:right w:val="nil"/>
            </w:tcBorders>
          </w:tcPr>
          <w:p w14:paraId="4FB19E0C" w14:textId="56D543C2" w:rsidR="001916FA" w:rsidRPr="00AD55AA" w:rsidRDefault="001916FA" w:rsidP="001916FA">
            <w:pPr>
              <w:widowControl w:val="0"/>
              <w:autoSpaceDE w:val="0"/>
              <w:autoSpaceDN w:val="0"/>
              <w:adjustRightInd w:val="0"/>
              <w:rPr>
                <w:sz w:val="22"/>
                <w:szCs w:val="22"/>
              </w:rPr>
            </w:pPr>
            <w:r w:rsidRPr="00AD55AA">
              <w:rPr>
                <w:sz w:val="22"/>
                <w:szCs w:val="22"/>
              </w:rPr>
              <w:t>Panel C</w:t>
            </w:r>
          </w:p>
        </w:tc>
        <w:tc>
          <w:tcPr>
            <w:tcW w:w="0" w:type="auto"/>
            <w:vMerge w:val="restart"/>
            <w:tcBorders>
              <w:top w:val="single" w:sz="4" w:space="0" w:color="auto"/>
              <w:left w:val="nil"/>
              <w:right w:val="nil"/>
            </w:tcBorders>
            <w:vAlign w:val="center"/>
          </w:tcPr>
          <w:p w14:paraId="6C091C02" w14:textId="22C0CAC0" w:rsidR="001916FA" w:rsidRPr="00AD55AA" w:rsidRDefault="001916FA" w:rsidP="001916FA">
            <w:pPr>
              <w:widowControl w:val="0"/>
              <w:autoSpaceDE w:val="0"/>
              <w:autoSpaceDN w:val="0"/>
              <w:adjustRightInd w:val="0"/>
              <w:jc w:val="center"/>
              <w:rPr>
                <w:sz w:val="22"/>
                <w:szCs w:val="22"/>
              </w:rPr>
            </w:pPr>
          </w:p>
        </w:tc>
        <w:tc>
          <w:tcPr>
            <w:tcW w:w="0" w:type="auto"/>
            <w:vMerge w:val="restart"/>
            <w:tcBorders>
              <w:top w:val="single" w:sz="4" w:space="0" w:color="auto"/>
              <w:left w:val="nil"/>
              <w:right w:val="nil"/>
            </w:tcBorders>
            <w:vAlign w:val="center"/>
          </w:tcPr>
          <w:p w14:paraId="348456EA" w14:textId="03D879AE" w:rsidR="001916FA" w:rsidRPr="00AD55AA" w:rsidRDefault="001916FA" w:rsidP="001916FA">
            <w:pPr>
              <w:widowControl w:val="0"/>
              <w:autoSpaceDE w:val="0"/>
              <w:autoSpaceDN w:val="0"/>
              <w:adjustRightInd w:val="0"/>
              <w:jc w:val="center"/>
              <w:rPr>
                <w:sz w:val="22"/>
                <w:szCs w:val="22"/>
              </w:rPr>
            </w:pPr>
          </w:p>
        </w:tc>
        <w:tc>
          <w:tcPr>
            <w:tcW w:w="0" w:type="auto"/>
            <w:vMerge w:val="restart"/>
            <w:tcBorders>
              <w:top w:val="single" w:sz="4" w:space="0" w:color="auto"/>
              <w:left w:val="nil"/>
              <w:right w:val="nil"/>
            </w:tcBorders>
            <w:vAlign w:val="center"/>
          </w:tcPr>
          <w:p w14:paraId="54070EEC" w14:textId="6BD9AB42" w:rsidR="001916FA" w:rsidRPr="00AD55AA" w:rsidRDefault="001916FA" w:rsidP="001916FA">
            <w:pPr>
              <w:widowControl w:val="0"/>
              <w:autoSpaceDE w:val="0"/>
              <w:autoSpaceDN w:val="0"/>
              <w:adjustRightInd w:val="0"/>
              <w:jc w:val="center"/>
              <w:rPr>
                <w:sz w:val="22"/>
                <w:szCs w:val="22"/>
              </w:rPr>
            </w:pPr>
            <w:r w:rsidRPr="00AD55AA">
              <w:rPr>
                <w:sz w:val="22"/>
                <w:szCs w:val="22"/>
              </w:rPr>
              <w:t>(1)</w:t>
            </w:r>
          </w:p>
        </w:tc>
        <w:tc>
          <w:tcPr>
            <w:tcW w:w="0" w:type="auto"/>
            <w:vMerge w:val="restart"/>
            <w:tcBorders>
              <w:top w:val="single" w:sz="4" w:space="0" w:color="auto"/>
              <w:left w:val="nil"/>
              <w:right w:val="nil"/>
            </w:tcBorders>
            <w:vAlign w:val="center"/>
          </w:tcPr>
          <w:p w14:paraId="2DD44B41" w14:textId="4A049FD7" w:rsidR="001916FA" w:rsidRPr="00AD55AA" w:rsidRDefault="001916FA" w:rsidP="001916FA">
            <w:pPr>
              <w:widowControl w:val="0"/>
              <w:autoSpaceDE w:val="0"/>
              <w:autoSpaceDN w:val="0"/>
              <w:adjustRightInd w:val="0"/>
              <w:jc w:val="center"/>
              <w:rPr>
                <w:sz w:val="22"/>
                <w:szCs w:val="22"/>
              </w:rPr>
            </w:pPr>
            <w:r w:rsidRPr="00AD55AA">
              <w:rPr>
                <w:sz w:val="22"/>
                <w:szCs w:val="22"/>
              </w:rPr>
              <w:t>(2)</w:t>
            </w:r>
          </w:p>
        </w:tc>
      </w:tr>
      <w:tr w:rsidR="006C1582" w:rsidRPr="00AD55AA" w14:paraId="67361DC2" w14:textId="77777777" w:rsidTr="001916FA">
        <w:trPr>
          <w:jc w:val="center"/>
        </w:trPr>
        <w:tc>
          <w:tcPr>
            <w:tcW w:w="0" w:type="auto"/>
            <w:tcBorders>
              <w:top w:val="nil"/>
              <w:left w:val="nil"/>
              <w:bottom w:val="single" w:sz="4" w:space="0" w:color="auto"/>
              <w:right w:val="nil"/>
            </w:tcBorders>
          </w:tcPr>
          <w:p w14:paraId="61314720" w14:textId="03E74516" w:rsidR="006C1582" w:rsidRPr="00AD55AA" w:rsidRDefault="006C1582" w:rsidP="0009536D">
            <w:pPr>
              <w:widowControl w:val="0"/>
              <w:autoSpaceDE w:val="0"/>
              <w:autoSpaceDN w:val="0"/>
              <w:adjustRightInd w:val="0"/>
              <w:rPr>
                <w:sz w:val="22"/>
                <w:szCs w:val="22"/>
              </w:rPr>
            </w:pPr>
            <w:r w:rsidRPr="00AD55AA">
              <w:rPr>
                <w:sz w:val="22"/>
                <w:szCs w:val="22"/>
              </w:rPr>
              <w:t>Whited-Wu index</w:t>
            </w:r>
          </w:p>
        </w:tc>
        <w:tc>
          <w:tcPr>
            <w:tcW w:w="0" w:type="auto"/>
            <w:vMerge/>
            <w:tcBorders>
              <w:left w:val="nil"/>
              <w:bottom w:val="single" w:sz="4" w:space="0" w:color="auto"/>
              <w:right w:val="nil"/>
            </w:tcBorders>
          </w:tcPr>
          <w:p w14:paraId="3A827962" w14:textId="22E3E10A" w:rsidR="006C1582" w:rsidRPr="00AD55AA" w:rsidRDefault="006C1582" w:rsidP="0009536D">
            <w:pPr>
              <w:widowControl w:val="0"/>
              <w:autoSpaceDE w:val="0"/>
              <w:autoSpaceDN w:val="0"/>
              <w:adjustRightInd w:val="0"/>
              <w:jc w:val="center"/>
              <w:rPr>
                <w:sz w:val="22"/>
                <w:szCs w:val="22"/>
              </w:rPr>
            </w:pPr>
          </w:p>
        </w:tc>
        <w:tc>
          <w:tcPr>
            <w:tcW w:w="0" w:type="auto"/>
            <w:vMerge/>
            <w:tcBorders>
              <w:left w:val="nil"/>
              <w:bottom w:val="single" w:sz="4" w:space="0" w:color="auto"/>
              <w:right w:val="nil"/>
            </w:tcBorders>
          </w:tcPr>
          <w:p w14:paraId="3A776783" w14:textId="1933197F" w:rsidR="006C1582" w:rsidRPr="00AD55AA" w:rsidRDefault="006C1582" w:rsidP="0009536D">
            <w:pPr>
              <w:widowControl w:val="0"/>
              <w:autoSpaceDE w:val="0"/>
              <w:autoSpaceDN w:val="0"/>
              <w:adjustRightInd w:val="0"/>
              <w:jc w:val="center"/>
              <w:rPr>
                <w:sz w:val="22"/>
                <w:szCs w:val="22"/>
              </w:rPr>
            </w:pPr>
          </w:p>
        </w:tc>
        <w:tc>
          <w:tcPr>
            <w:tcW w:w="0" w:type="auto"/>
            <w:vMerge/>
            <w:tcBorders>
              <w:left w:val="nil"/>
              <w:bottom w:val="single" w:sz="4" w:space="0" w:color="auto"/>
              <w:right w:val="nil"/>
            </w:tcBorders>
          </w:tcPr>
          <w:p w14:paraId="11CAEE4D" w14:textId="729A7379" w:rsidR="006C1582" w:rsidRPr="00AD55AA" w:rsidRDefault="006C1582" w:rsidP="0009536D">
            <w:pPr>
              <w:widowControl w:val="0"/>
              <w:autoSpaceDE w:val="0"/>
              <w:autoSpaceDN w:val="0"/>
              <w:adjustRightInd w:val="0"/>
              <w:jc w:val="center"/>
              <w:rPr>
                <w:sz w:val="22"/>
                <w:szCs w:val="22"/>
              </w:rPr>
            </w:pPr>
          </w:p>
        </w:tc>
        <w:tc>
          <w:tcPr>
            <w:tcW w:w="0" w:type="auto"/>
            <w:vMerge/>
            <w:tcBorders>
              <w:left w:val="nil"/>
              <w:bottom w:val="single" w:sz="4" w:space="0" w:color="auto"/>
              <w:right w:val="nil"/>
            </w:tcBorders>
          </w:tcPr>
          <w:p w14:paraId="3124AE0E" w14:textId="79255D88" w:rsidR="006C1582" w:rsidRPr="00AD55AA" w:rsidRDefault="006C1582" w:rsidP="0009536D">
            <w:pPr>
              <w:widowControl w:val="0"/>
              <w:autoSpaceDE w:val="0"/>
              <w:autoSpaceDN w:val="0"/>
              <w:adjustRightInd w:val="0"/>
              <w:jc w:val="center"/>
              <w:rPr>
                <w:sz w:val="22"/>
                <w:szCs w:val="22"/>
              </w:rPr>
            </w:pPr>
          </w:p>
        </w:tc>
      </w:tr>
      <w:tr w:rsidR="00EF4F55" w:rsidRPr="00AD55AA" w14:paraId="4CEBB816" w14:textId="77777777" w:rsidTr="001916FA">
        <w:trPr>
          <w:jc w:val="center"/>
        </w:trPr>
        <w:tc>
          <w:tcPr>
            <w:tcW w:w="0" w:type="auto"/>
            <w:tcBorders>
              <w:top w:val="nil"/>
              <w:left w:val="nil"/>
              <w:right w:val="nil"/>
            </w:tcBorders>
          </w:tcPr>
          <w:p w14:paraId="1CFAB5BF" w14:textId="4D992B6D" w:rsidR="00EF4F55" w:rsidRPr="00AD55AA" w:rsidRDefault="00EF4F55" w:rsidP="00EF4F55">
            <w:pPr>
              <w:widowControl w:val="0"/>
              <w:autoSpaceDE w:val="0"/>
              <w:autoSpaceDN w:val="0"/>
              <w:adjustRightInd w:val="0"/>
              <w:rPr>
                <w:sz w:val="22"/>
                <w:szCs w:val="22"/>
              </w:rPr>
            </w:pPr>
            <w:r w:rsidRPr="00AD55AA">
              <w:rPr>
                <w:sz w:val="22"/>
                <w:szCs w:val="22"/>
              </w:rPr>
              <w:t xml:space="preserve">CFIUS </w:t>
            </w:r>
            <w:r>
              <w:rPr>
                <w:sz w:val="22"/>
                <w:szCs w:val="22"/>
              </w:rPr>
              <w:t>Block</w:t>
            </w:r>
            <w:r w:rsidRPr="00AD55AA">
              <w:rPr>
                <w:sz w:val="22"/>
                <w:szCs w:val="22"/>
              </w:rPr>
              <w:t xml:space="preserve"> </w:t>
            </w:r>
          </w:p>
        </w:tc>
        <w:tc>
          <w:tcPr>
            <w:tcW w:w="0" w:type="auto"/>
            <w:tcBorders>
              <w:top w:val="nil"/>
              <w:left w:val="nil"/>
              <w:right w:val="nil"/>
            </w:tcBorders>
          </w:tcPr>
          <w:p w14:paraId="591B1C41"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0017C87A"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2B72A226" w14:textId="3C1E5F65" w:rsidR="00EF4F55" w:rsidRPr="00AD55AA" w:rsidRDefault="00EF4F55" w:rsidP="00EF4F55">
            <w:pPr>
              <w:widowControl w:val="0"/>
              <w:autoSpaceDE w:val="0"/>
              <w:autoSpaceDN w:val="0"/>
              <w:adjustRightInd w:val="0"/>
              <w:jc w:val="center"/>
              <w:rPr>
                <w:sz w:val="22"/>
                <w:szCs w:val="22"/>
              </w:rPr>
            </w:pPr>
            <w:r w:rsidRPr="00126E45">
              <w:rPr>
                <w:sz w:val="22"/>
              </w:rPr>
              <w:t>-0.172***</w:t>
            </w:r>
          </w:p>
        </w:tc>
        <w:tc>
          <w:tcPr>
            <w:tcW w:w="0" w:type="auto"/>
            <w:tcBorders>
              <w:top w:val="nil"/>
              <w:left w:val="nil"/>
              <w:right w:val="nil"/>
            </w:tcBorders>
          </w:tcPr>
          <w:p w14:paraId="67C35DA0" w14:textId="1D16D16D" w:rsidR="00EF4F55" w:rsidRPr="00AD55AA" w:rsidRDefault="00EF4F55" w:rsidP="00EF4F55">
            <w:pPr>
              <w:widowControl w:val="0"/>
              <w:autoSpaceDE w:val="0"/>
              <w:autoSpaceDN w:val="0"/>
              <w:adjustRightInd w:val="0"/>
              <w:jc w:val="center"/>
              <w:rPr>
                <w:sz w:val="22"/>
                <w:szCs w:val="22"/>
              </w:rPr>
            </w:pPr>
            <w:r w:rsidRPr="00126E45">
              <w:rPr>
                <w:sz w:val="22"/>
              </w:rPr>
              <w:t>-0.001</w:t>
            </w:r>
          </w:p>
        </w:tc>
      </w:tr>
      <w:tr w:rsidR="00EF4F55" w:rsidRPr="00AD55AA" w14:paraId="3F6CE4E7" w14:textId="77777777" w:rsidTr="001916FA">
        <w:trPr>
          <w:jc w:val="center"/>
        </w:trPr>
        <w:tc>
          <w:tcPr>
            <w:tcW w:w="0" w:type="auto"/>
            <w:tcBorders>
              <w:top w:val="nil"/>
              <w:left w:val="nil"/>
              <w:right w:val="nil"/>
            </w:tcBorders>
          </w:tcPr>
          <w:p w14:paraId="0A08C449" w14:textId="77777777" w:rsidR="00EF4F55" w:rsidRPr="00AD55AA" w:rsidRDefault="00EF4F55" w:rsidP="00EF4F55">
            <w:pPr>
              <w:widowControl w:val="0"/>
              <w:autoSpaceDE w:val="0"/>
              <w:autoSpaceDN w:val="0"/>
              <w:adjustRightInd w:val="0"/>
              <w:rPr>
                <w:sz w:val="22"/>
                <w:szCs w:val="22"/>
              </w:rPr>
            </w:pPr>
          </w:p>
        </w:tc>
        <w:tc>
          <w:tcPr>
            <w:tcW w:w="0" w:type="auto"/>
            <w:tcBorders>
              <w:top w:val="nil"/>
              <w:left w:val="nil"/>
              <w:right w:val="nil"/>
            </w:tcBorders>
          </w:tcPr>
          <w:p w14:paraId="0D5ECCD6"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08E4D695" w14:textId="77777777"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right w:val="nil"/>
            </w:tcBorders>
          </w:tcPr>
          <w:p w14:paraId="4E08C561" w14:textId="62E1004C" w:rsidR="00EF4F55" w:rsidRPr="00AD55AA" w:rsidRDefault="00EF4F55" w:rsidP="00EF4F55">
            <w:pPr>
              <w:widowControl w:val="0"/>
              <w:autoSpaceDE w:val="0"/>
              <w:autoSpaceDN w:val="0"/>
              <w:adjustRightInd w:val="0"/>
              <w:jc w:val="center"/>
              <w:rPr>
                <w:sz w:val="22"/>
                <w:szCs w:val="22"/>
              </w:rPr>
            </w:pPr>
            <w:r w:rsidRPr="00126E45">
              <w:rPr>
                <w:sz w:val="22"/>
              </w:rPr>
              <w:t>(-5.87)</w:t>
            </w:r>
          </w:p>
        </w:tc>
        <w:tc>
          <w:tcPr>
            <w:tcW w:w="0" w:type="auto"/>
            <w:tcBorders>
              <w:top w:val="nil"/>
              <w:left w:val="nil"/>
              <w:right w:val="nil"/>
            </w:tcBorders>
          </w:tcPr>
          <w:p w14:paraId="4188FD5E" w14:textId="4C49EEF3" w:rsidR="00EF4F55" w:rsidRPr="00AD55AA" w:rsidRDefault="00EF4F55" w:rsidP="00EF4F55">
            <w:pPr>
              <w:widowControl w:val="0"/>
              <w:autoSpaceDE w:val="0"/>
              <w:autoSpaceDN w:val="0"/>
              <w:adjustRightInd w:val="0"/>
              <w:jc w:val="center"/>
              <w:rPr>
                <w:sz w:val="22"/>
                <w:szCs w:val="22"/>
              </w:rPr>
            </w:pPr>
            <w:r w:rsidRPr="00126E45">
              <w:rPr>
                <w:sz w:val="22"/>
              </w:rPr>
              <w:t>(-0.11)</w:t>
            </w:r>
          </w:p>
        </w:tc>
      </w:tr>
      <w:tr w:rsidR="0009536D" w:rsidRPr="00AD55AA" w14:paraId="4C48685D" w14:textId="77777777" w:rsidTr="001916FA">
        <w:trPr>
          <w:jc w:val="center"/>
        </w:trPr>
        <w:tc>
          <w:tcPr>
            <w:tcW w:w="0" w:type="auto"/>
            <w:tcBorders>
              <w:top w:val="nil"/>
              <w:left w:val="nil"/>
              <w:right w:val="nil"/>
            </w:tcBorders>
          </w:tcPr>
          <w:p w14:paraId="17162184" w14:textId="77777777" w:rsidR="0009536D" w:rsidRPr="00AD55AA" w:rsidRDefault="0009536D" w:rsidP="0009536D">
            <w:pPr>
              <w:widowControl w:val="0"/>
              <w:autoSpaceDE w:val="0"/>
              <w:autoSpaceDN w:val="0"/>
              <w:adjustRightInd w:val="0"/>
              <w:rPr>
                <w:sz w:val="22"/>
                <w:szCs w:val="22"/>
              </w:rPr>
            </w:pPr>
          </w:p>
        </w:tc>
        <w:tc>
          <w:tcPr>
            <w:tcW w:w="0" w:type="auto"/>
            <w:tcBorders>
              <w:top w:val="nil"/>
              <w:left w:val="nil"/>
              <w:right w:val="nil"/>
            </w:tcBorders>
          </w:tcPr>
          <w:p w14:paraId="471073EF" w14:textId="77777777"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5D3C6D64" w14:textId="77777777"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723D7FCC" w14:textId="77777777"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3C5CB995" w14:textId="77777777" w:rsidR="0009536D" w:rsidRPr="00AD55AA" w:rsidRDefault="0009536D" w:rsidP="0009536D">
            <w:pPr>
              <w:widowControl w:val="0"/>
              <w:autoSpaceDE w:val="0"/>
              <w:autoSpaceDN w:val="0"/>
              <w:adjustRightInd w:val="0"/>
              <w:jc w:val="center"/>
              <w:rPr>
                <w:sz w:val="22"/>
                <w:szCs w:val="22"/>
              </w:rPr>
            </w:pPr>
          </w:p>
        </w:tc>
      </w:tr>
      <w:tr w:rsidR="0009536D" w:rsidRPr="00AD55AA" w14:paraId="2B5F27A2" w14:textId="77777777" w:rsidTr="001916FA">
        <w:trPr>
          <w:jc w:val="center"/>
        </w:trPr>
        <w:tc>
          <w:tcPr>
            <w:tcW w:w="0" w:type="auto"/>
            <w:tcBorders>
              <w:top w:val="nil"/>
              <w:left w:val="nil"/>
              <w:right w:val="nil"/>
            </w:tcBorders>
          </w:tcPr>
          <w:p w14:paraId="17FC4920" w14:textId="574AE8FE" w:rsidR="0009536D" w:rsidRPr="00AD55AA" w:rsidRDefault="0009536D" w:rsidP="0009536D">
            <w:pPr>
              <w:widowControl w:val="0"/>
              <w:autoSpaceDE w:val="0"/>
              <w:autoSpaceDN w:val="0"/>
              <w:adjustRightInd w:val="0"/>
              <w:rPr>
                <w:sz w:val="22"/>
                <w:szCs w:val="22"/>
              </w:rPr>
            </w:pPr>
            <w:r w:rsidRPr="00AD55AA">
              <w:rPr>
                <w:sz w:val="22"/>
                <w:szCs w:val="22"/>
              </w:rPr>
              <w:t>Control variables</w:t>
            </w:r>
          </w:p>
        </w:tc>
        <w:tc>
          <w:tcPr>
            <w:tcW w:w="0" w:type="auto"/>
            <w:tcBorders>
              <w:top w:val="nil"/>
              <w:left w:val="nil"/>
              <w:right w:val="nil"/>
            </w:tcBorders>
          </w:tcPr>
          <w:p w14:paraId="448E224C" w14:textId="7751FE15"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1BC69700" w14:textId="592EE69D" w:rsidR="0009536D" w:rsidRPr="00AD55AA" w:rsidRDefault="0009536D" w:rsidP="0009536D">
            <w:pPr>
              <w:widowControl w:val="0"/>
              <w:autoSpaceDE w:val="0"/>
              <w:autoSpaceDN w:val="0"/>
              <w:adjustRightInd w:val="0"/>
              <w:jc w:val="center"/>
              <w:rPr>
                <w:sz w:val="22"/>
                <w:szCs w:val="22"/>
              </w:rPr>
            </w:pPr>
          </w:p>
        </w:tc>
        <w:tc>
          <w:tcPr>
            <w:tcW w:w="0" w:type="auto"/>
            <w:tcBorders>
              <w:top w:val="nil"/>
              <w:left w:val="nil"/>
              <w:right w:val="nil"/>
            </w:tcBorders>
          </w:tcPr>
          <w:p w14:paraId="2C9BA93A" w14:textId="346C89EE" w:rsidR="0009536D" w:rsidRPr="00AD55AA" w:rsidRDefault="0009536D" w:rsidP="0009536D">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6AB7E1D2" w14:textId="3139BA4F" w:rsidR="0009536D" w:rsidRPr="00AD55AA" w:rsidRDefault="0009536D" w:rsidP="0009536D">
            <w:pPr>
              <w:widowControl w:val="0"/>
              <w:autoSpaceDE w:val="0"/>
              <w:autoSpaceDN w:val="0"/>
              <w:adjustRightInd w:val="0"/>
              <w:jc w:val="center"/>
              <w:rPr>
                <w:sz w:val="22"/>
                <w:szCs w:val="22"/>
              </w:rPr>
            </w:pPr>
            <w:r w:rsidRPr="00AD55AA">
              <w:rPr>
                <w:sz w:val="22"/>
                <w:szCs w:val="22"/>
              </w:rPr>
              <w:t>Yes</w:t>
            </w:r>
          </w:p>
        </w:tc>
      </w:tr>
      <w:tr w:rsidR="00E65573" w:rsidRPr="00AD55AA" w14:paraId="0794FAF9" w14:textId="77777777" w:rsidTr="001916FA">
        <w:trPr>
          <w:jc w:val="center"/>
        </w:trPr>
        <w:tc>
          <w:tcPr>
            <w:tcW w:w="0" w:type="auto"/>
            <w:tcBorders>
              <w:top w:val="nil"/>
              <w:left w:val="nil"/>
              <w:right w:val="nil"/>
            </w:tcBorders>
          </w:tcPr>
          <w:p w14:paraId="6EE70D44" w14:textId="3F17C1F2" w:rsidR="00E65573" w:rsidRPr="00AD55AA" w:rsidRDefault="00E65573" w:rsidP="00E65573">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right w:val="nil"/>
            </w:tcBorders>
          </w:tcPr>
          <w:p w14:paraId="30F4CCC2" w14:textId="0D7A72A2"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3A600D69" w14:textId="1F8D5ECC"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11EF544E" w14:textId="6999CE59"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2582020A" w14:textId="02D9D1C5"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r>
      <w:tr w:rsidR="00E65573" w:rsidRPr="00AD55AA" w14:paraId="49CC9CA2" w14:textId="77777777" w:rsidTr="001916FA">
        <w:trPr>
          <w:jc w:val="center"/>
        </w:trPr>
        <w:tc>
          <w:tcPr>
            <w:tcW w:w="0" w:type="auto"/>
            <w:tcBorders>
              <w:top w:val="nil"/>
              <w:left w:val="nil"/>
              <w:right w:val="nil"/>
            </w:tcBorders>
          </w:tcPr>
          <w:p w14:paraId="21FF82D7" w14:textId="58533135" w:rsidR="00E65573" w:rsidRPr="00AD55AA" w:rsidRDefault="00E65573" w:rsidP="00E65573">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right w:val="nil"/>
            </w:tcBorders>
          </w:tcPr>
          <w:p w14:paraId="624B3623" w14:textId="7D25A55E"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7A68DA37" w14:textId="2D8C5F02" w:rsidR="00E65573" w:rsidRPr="00AD55AA" w:rsidRDefault="00E65573" w:rsidP="00E65573">
            <w:pPr>
              <w:widowControl w:val="0"/>
              <w:autoSpaceDE w:val="0"/>
              <w:autoSpaceDN w:val="0"/>
              <w:adjustRightInd w:val="0"/>
              <w:jc w:val="center"/>
              <w:rPr>
                <w:sz w:val="22"/>
                <w:szCs w:val="22"/>
              </w:rPr>
            </w:pPr>
          </w:p>
        </w:tc>
        <w:tc>
          <w:tcPr>
            <w:tcW w:w="0" w:type="auto"/>
            <w:tcBorders>
              <w:top w:val="nil"/>
              <w:left w:val="nil"/>
              <w:right w:val="nil"/>
            </w:tcBorders>
          </w:tcPr>
          <w:p w14:paraId="238879B3" w14:textId="47C5079F"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45B19C79" w14:textId="6CC24C3B" w:rsidR="00E65573" w:rsidRPr="00AD55AA" w:rsidRDefault="00E65573" w:rsidP="00E65573">
            <w:pPr>
              <w:widowControl w:val="0"/>
              <w:autoSpaceDE w:val="0"/>
              <w:autoSpaceDN w:val="0"/>
              <w:adjustRightInd w:val="0"/>
              <w:jc w:val="center"/>
              <w:rPr>
                <w:sz w:val="22"/>
                <w:szCs w:val="22"/>
              </w:rPr>
            </w:pPr>
            <w:r w:rsidRPr="00AD55AA">
              <w:rPr>
                <w:sz w:val="22"/>
                <w:szCs w:val="22"/>
              </w:rPr>
              <w:t>Yes</w:t>
            </w:r>
          </w:p>
        </w:tc>
      </w:tr>
      <w:tr w:rsidR="00FA1757" w:rsidRPr="00AD55AA" w14:paraId="5375B758" w14:textId="77777777" w:rsidTr="001916FA">
        <w:trPr>
          <w:jc w:val="center"/>
        </w:trPr>
        <w:tc>
          <w:tcPr>
            <w:tcW w:w="0" w:type="auto"/>
            <w:tcBorders>
              <w:top w:val="nil"/>
              <w:left w:val="nil"/>
              <w:right w:val="nil"/>
            </w:tcBorders>
          </w:tcPr>
          <w:p w14:paraId="430D5427" w14:textId="74F35BBB" w:rsidR="00FA1757" w:rsidRPr="00AD55AA" w:rsidRDefault="00FA1757" w:rsidP="0009536D">
            <w:pPr>
              <w:widowControl w:val="0"/>
              <w:autoSpaceDE w:val="0"/>
              <w:autoSpaceDN w:val="0"/>
              <w:adjustRightInd w:val="0"/>
              <w:rPr>
                <w:sz w:val="22"/>
                <w:szCs w:val="22"/>
              </w:rPr>
            </w:pPr>
            <w:r w:rsidRPr="00AD55AA">
              <w:rPr>
                <w:sz w:val="22"/>
                <w:szCs w:val="22"/>
              </w:rPr>
              <w:t>Test Con. = Uncon.</w:t>
            </w:r>
          </w:p>
        </w:tc>
        <w:tc>
          <w:tcPr>
            <w:tcW w:w="0" w:type="auto"/>
            <w:gridSpan w:val="2"/>
            <w:tcBorders>
              <w:top w:val="nil"/>
              <w:left w:val="nil"/>
              <w:right w:val="nil"/>
            </w:tcBorders>
          </w:tcPr>
          <w:p w14:paraId="612EABD8" w14:textId="2845F897" w:rsidR="00FA1757" w:rsidRPr="00AD55AA" w:rsidRDefault="00FA1757" w:rsidP="0009536D">
            <w:pPr>
              <w:widowControl w:val="0"/>
              <w:autoSpaceDE w:val="0"/>
              <w:autoSpaceDN w:val="0"/>
              <w:adjustRightInd w:val="0"/>
              <w:jc w:val="center"/>
              <w:rPr>
                <w:sz w:val="22"/>
                <w:szCs w:val="22"/>
              </w:rPr>
            </w:pPr>
          </w:p>
        </w:tc>
        <w:tc>
          <w:tcPr>
            <w:tcW w:w="0" w:type="auto"/>
            <w:gridSpan w:val="2"/>
            <w:tcBorders>
              <w:top w:val="nil"/>
              <w:left w:val="nil"/>
              <w:right w:val="nil"/>
            </w:tcBorders>
          </w:tcPr>
          <w:p w14:paraId="091DB357" w14:textId="7900711A" w:rsidR="00FA1757" w:rsidRPr="00AD55AA" w:rsidRDefault="00FA1757" w:rsidP="0009536D">
            <w:pPr>
              <w:widowControl w:val="0"/>
              <w:autoSpaceDE w:val="0"/>
              <w:autoSpaceDN w:val="0"/>
              <w:adjustRightInd w:val="0"/>
              <w:jc w:val="center"/>
              <w:rPr>
                <w:sz w:val="22"/>
                <w:szCs w:val="22"/>
              </w:rPr>
            </w:pPr>
            <w:r w:rsidRPr="00AD55AA">
              <w:rPr>
                <w:sz w:val="22"/>
                <w:szCs w:val="22"/>
              </w:rPr>
              <w:t>0.000</w:t>
            </w:r>
          </w:p>
        </w:tc>
      </w:tr>
      <w:tr w:rsidR="00FA1757" w:rsidRPr="00AD55AA" w14:paraId="7A43E972" w14:textId="77777777" w:rsidTr="0020264D">
        <w:trPr>
          <w:jc w:val="center"/>
        </w:trPr>
        <w:tc>
          <w:tcPr>
            <w:tcW w:w="0" w:type="auto"/>
            <w:tcBorders>
              <w:top w:val="nil"/>
              <w:left w:val="nil"/>
              <w:right w:val="nil"/>
            </w:tcBorders>
          </w:tcPr>
          <w:p w14:paraId="60C5A409" w14:textId="37130F24" w:rsidR="00FA1757" w:rsidRPr="00AD55AA" w:rsidRDefault="00FA1757" w:rsidP="00FA1757">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1932E934" w14:textId="0A3A07D2" w:rsidR="00FA1757" w:rsidRPr="00AD55AA" w:rsidRDefault="00FA1757" w:rsidP="00FA1757">
            <w:pPr>
              <w:widowControl w:val="0"/>
              <w:autoSpaceDE w:val="0"/>
              <w:autoSpaceDN w:val="0"/>
              <w:adjustRightInd w:val="0"/>
              <w:jc w:val="center"/>
              <w:rPr>
                <w:sz w:val="22"/>
                <w:szCs w:val="22"/>
              </w:rPr>
            </w:pPr>
          </w:p>
        </w:tc>
        <w:tc>
          <w:tcPr>
            <w:tcW w:w="0" w:type="auto"/>
            <w:tcBorders>
              <w:top w:val="nil"/>
              <w:left w:val="nil"/>
              <w:right w:val="nil"/>
            </w:tcBorders>
          </w:tcPr>
          <w:p w14:paraId="51293400" w14:textId="1F5E92FF" w:rsidR="00FA1757" w:rsidRPr="00AD55AA" w:rsidRDefault="00FA1757" w:rsidP="00FA1757">
            <w:pPr>
              <w:widowControl w:val="0"/>
              <w:autoSpaceDE w:val="0"/>
              <w:autoSpaceDN w:val="0"/>
              <w:adjustRightInd w:val="0"/>
              <w:jc w:val="center"/>
              <w:rPr>
                <w:sz w:val="22"/>
                <w:szCs w:val="22"/>
              </w:rPr>
            </w:pPr>
          </w:p>
        </w:tc>
        <w:tc>
          <w:tcPr>
            <w:tcW w:w="0" w:type="auto"/>
            <w:tcBorders>
              <w:top w:val="nil"/>
              <w:left w:val="nil"/>
              <w:right w:val="nil"/>
            </w:tcBorders>
          </w:tcPr>
          <w:p w14:paraId="34BCC21C" w14:textId="3FFF96F9" w:rsidR="00FA1757" w:rsidRPr="00AD55AA" w:rsidRDefault="00FA1757" w:rsidP="00FA1757">
            <w:pPr>
              <w:widowControl w:val="0"/>
              <w:autoSpaceDE w:val="0"/>
              <w:autoSpaceDN w:val="0"/>
              <w:adjustRightInd w:val="0"/>
              <w:jc w:val="center"/>
              <w:rPr>
                <w:sz w:val="22"/>
                <w:szCs w:val="22"/>
              </w:rPr>
            </w:pPr>
            <w:r w:rsidRPr="00AD55AA">
              <w:rPr>
                <w:sz w:val="22"/>
                <w:szCs w:val="22"/>
              </w:rPr>
              <w:t>11,612</w:t>
            </w:r>
          </w:p>
        </w:tc>
        <w:tc>
          <w:tcPr>
            <w:tcW w:w="0" w:type="auto"/>
            <w:tcBorders>
              <w:top w:val="nil"/>
              <w:left w:val="nil"/>
              <w:right w:val="nil"/>
            </w:tcBorders>
          </w:tcPr>
          <w:p w14:paraId="486F8B68" w14:textId="4A6B381C" w:rsidR="00FA1757" w:rsidRPr="00AD55AA" w:rsidRDefault="00FA1757" w:rsidP="00FA1757">
            <w:pPr>
              <w:widowControl w:val="0"/>
              <w:autoSpaceDE w:val="0"/>
              <w:autoSpaceDN w:val="0"/>
              <w:adjustRightInd w:val="0"/>
              <w:jc w:val="center"/>
              <w:rPr>
                <w:sz w:val="22"/>
                <w:szCs w:val="22"/>
              </w:rPr>
            </w:pPr>
            <w:r w:rsidRPr="00AD55AA">
              <w:rPr>
                <w:sz w:val="22"/>
                <w:szCs w:val="22"/>
              </w:rPr>
              <w:t>11,612</w:t>
            </w:r>
          </w:p>
        </w:tc>
      </w:tr>
      <w:tr w:rsidR="00EF4F55" w:rsidRPr="00AD55AA" w14:paraId="61D27BBB" w14:textId="77777777" w:rsidTr="0020264D">
        <w:trPr>
          <w:jc w:val="center"/>
        </w:trPr>
        <w:tc>
          <w:tcPr>
            <w:tcW w:w="0" w:type="auto"/>
            <w:tcBorders>
              <w:top w:val="nil"/>
              <w:left w:val="nil"/>
              <w:bottom w:val="single" w:sz="4" w:space="0" w:color="auto"/>
              <w:right w:val="nil"/>
            </w:tcBorders>
          </w:tcPr>
          <w:p w14:paraId="54FA92A2" w14:textId="618EFD0A" w:rsidR="00EF4F55" w:rsidRPr="00AD55AA" w:rsidRDefault="00EF4F55" w:rsidP="00EF4F55">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2BD83868" w14:textId="238869E4"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20F8B0B2" w14:textId="6F4ACC31" w:rsidR="00EF4F55" w:rsidRPr="00AD55AA" w:rsidRDefault="00EF4F55" w:rsidP="00EF4F55">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7F9F5801" w14:textId="7730FFF3" w:rsidR="00EF4F55" w:rsidRPr="00AD55AA" w:rsidRDefault="00EF4F55" w:rsidP="00EF4F55">
            <w:pPr>
              <w:widowControl w:val="0"/>
              <w:autoSpaceDE w:val="0"/>
              <w:autoSpaceDN w:val="0"/>
              <w:adjustRightInd w:val="0"/>
              <w:jc w:val="center"/>
              <w:rPr>
                <w:sz w:val="22"/>
                <w:szCs w:val="22"/>
              </w:rPr>
            </w:pPr>
            <w:r w:rsidRPr="00126E45">
              <w:rPr>
                <w:sz w:val="22"/>
              </w:rPr>
              <w:t>0.1098</w:t>
            </w:r>
          </w:p>
        </w:tc>
        <w:tc>
          <w:tcPr>
            <w:tcW w:w="0" w:type="auto"/>
            <w:tcBorders>
              <w:top w:val="nil"/>
              <w:left w:val="nil"/>
              <w:bottom w:val="single" w:sz="4" w:space="0" w:color="auto"/>
              <w:right w:val="nil"/>
            </w:tcBorders>
          </w:tcPr>
          <w:p w14:paraId="1F00192C" w14:textId="50DB23D9" w:rsidR="00EF4F55" w:rsidRPr="00AD55AA" w:rsidRDefault="00EF4F55" w:rsidP="00EF4F55">
            <w:pPr>
              <w:widowControl w:val="0"/>
              <w:autoSpaceDE w:val="0"/>
              <w:autoSpaceDN w:val="0"/>
              <w:adjustRightInd w:val="0"/>
              <w:jc w:val="center"/>
              <w:rPr>
                <w:sz w:val="22"/>
                <w:szCs w:val="22"/>
              </w:rPr>
            </w:pPr>
            <w:r w:rsidRPr="00126E45">
              <w:rPr>
                <w:sz w:val="22"/>
              </w:rPr>
              <w:t>0.5178</w:t>
            </w:r>
          </w:p>
        </w:tc>
      </w:tr>
      <w:tr w:rsidR="0020264D" w:rsidRPr="00AD55AA" w14:paraId="78650D35" w14:textId="77777777" w:rsidTr="0020264D">
        <w:trPr>
          <w:jc w:val="center"/>
        </w:trPr>
        <w:tc>
          <w:tcPr>
            <w:tcW w:w="0" w:type="auto"/>
            <w:tcBorders>
              <w:top w:val="single" w:sz="4" w:space="0" w:color="auto"/>
              <w:left w:val="nil"/>
              <w:right w:val="nil"/>
            </w:tcBorders>
          </w:tcPr>
          <w:p w14:paraId="5418FF61" w14:textId="77777777" w:rsidR="0020264D" w:rsidRPr="00AD55AA" w:rsidRDefault="0020264D" w:rsidP="00FA1757">
            <w:pPr>
              <w:widowControl w:val="0"/>
              <w:autoSpaceDE w:val="0"/>
              <w:autoSpaceDN w:val="0"/>
              <w:adjustRightInd w:val="0"/>
              <w:rPr>
                <w:sz w:val="22"/>
                <w:szCs w:val="22"/>
              </w:rPr>
            </w:pPr>
          </w:p>
        </w:tc>
        <w:tc>
          <w:tcPr>
            <w:tcW w:w="0" w:type="auto"/>
            <w:tcBorders>
              <w:top w:val="single" w:sz="4" w:space="0" w:color="auto"/>
              <w:left w:val="nil"/>
              <w:right w:val="nil"/>
            </w:tcBorders>
          </w:tcPr>
          <w:p w14:paraId="5E0A1E47" w14:textId="77777777" w:rsidR="0020264D" w:rsidRPr="00AD55AA" w:rsidRDefault="0020264D" w:rsidP="00FA1757">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4538752A" w14:textId="77777777" w:rsidR="0020264D" w:rsidRPr="00AD55AA" w:rsidRDefault="0020264D" w:rsidP="00FA1757">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21F3B143" w14:textId="77777777" w:rsidR="0020264D" w:rsidRPr="00AD55AA" w:rsidRDefault="0020264D" w:rsidP="00FA1757">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1CE42B7D" w14:textId="77777777" w:rsidR="0020264D" w:rsidRPr="00AD55AA" w:rsidRDefault="0020264D" w:rsidP="00FA1757">
            <w:pPr>
              <w:widowControl w:val="0"/>
              <w:autoSpaceDE w:val="0"/>
              <w:autoSpaceDN w:val="0"/>
              <w:adjustRightInd w:val="0"/>
              <w:jc w:val="center"/>
              <w:rPr>
                <w:sz w:val="22"/>
                <w:szCs w:val="22"/>
              </w:rPr>
            </w:pPr>
          </w:p>
        </w:tc>
      </w:tr>
      <w:tr w:rsidR="0020264D" w:rsidRPr="00AD55AA" w14:paraId="60367D3C" w14:textId="77777777" w:rsidTr="0020264D">
        <w:trPr>
          <w:jc w:val="center"/>
        </w:trPr>
        <w:tc>
          <w:tcPr>
            <w:tcW w:w="0" w:type="auto"/>
            <w:gridSpan w:val="5"/>
            <w:tcBorders>
              <w:top w:val="nil"/>
              <w:left w:val="nil"/>
              <w:right w:val="nil"/>
            </w:tcBorders>
          </w:tcPr>
          <w:p w14:paraId="4F1E808D" w14:textId="70E7C416" w:rsidR="0020264D" w:rsidRPr="00AD55AA" w:rsidRDefault="0020264D" w:rsidP="0020264D">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 </w:t>
            </w:r>
            <w:r w:rsidRPr="00AD55AA">
              <w:rPr>
                <w:sz w:val="22"/>
                <w:szCs w:val="22"/>
              </w:rPr>
              <w:t xml:space="preserve">the results of the financial constraints analysis. </w:t>
            </w:r>
            <w:r w:rsidRPr="000108CA">
              <w:rPr>
                <w:sz w:val="22"/>
                <w:szCs w:val="22"/>
              </w:rPr>
              <w:t xml:space="preserve">Observations are assigned to the constrained and unconstrained subsamples depending </w:t>
            </w:r>
            <w:r w:rsidR="00B745F1">
              <w:rPr>
                <w:sz w:val="22"/>
                <w:szCs w:val="22"/>
              </w:rPr>
              <w:t>on S</w:t>
            </w:r>
            <w:r w:rsidRPr="00AD55AA">
              <w:rPr>
                <w:sz w:val="22"/>
                <w:szCs w:val="22"/>
              </w:rPr>
              <w:t>ize (</w:t>
            </w:r>
            <w:r>
              <w:rPr>
                <w:sz w:val="22"/>
                <w:szCs w:val="22"/>
              </w:rPr>
              <w:t>P</w:t>
            </w:r>
            <w:r w:rsidRPr="00AD55AA">
              <w:rPr>
                <w:sz w:val="22"/>
                <w:szCs w:val="22"/>
              </w:rPr>
              <w:t xml:space="preserve">anel A), </w:t>
            </w:r>
            <w:r w:rsidR="00B745F1">
              <w:rPr>
                <w:sz w:val="22"/>
                <w:szCs w:val="22"/>
              </w:rPr>
              <w:t>P</w:t>
            </w:r>
            <w:r w:rsidRPr="00AD55AA">
              <w:rPr>
                <w:sz w:val="22"/>
                <w:szCs w:val="22"/>
              </w:rPr>
              <w:t>ayout (</w:t>
            </w:r>
            <w:r>
              <w:rPr>
                <w:sz w:val="22"/>
                <w:szCs w:val="22"/>
              </w:rPr>
              <w:t>P</w:t>
            </w:r>
            <w:r w:rsidRPr="00AD55AA">
              <w:rPr>
                <w:sz w:val="22"/>
                <w:szCs w:val="22"/>
              </w:rPr>
              <w:t>anel B), and Whited-Wu index (</w:t>
            </w:r>
            <w:r>
              <w:rPr>
                <w:sz w:val="22"/>
                <w:szCs w:val="22"/>
              </w:rPr>
              <w:t>P</w:t>
            </w:r>
            <w:r w:rsidRPr="00AD55AA">
              <w:rPr>
                <w:sz w:val="22"/>
                <w:szCs w:val="22"/>
              </w:rPr>
              <w:t xml:space="preserve">anel C). Test Constrained = Unconstrained is a t-test of equality of the coefficients between the subsamples. </w:t>
            </w:r>
            <w:r w:rsidR="00B745F1" w:rsidRPr="00AD55AA">
              <w:rPr>
                <w:sz w:val="22"/>
                <w:szCs w:val="22"/>
              </w:rPr>
              <w:t>Specifications include the full set of control variables</w:t>
            </w:r>
            <w:r w:rsidRPr="00AD55AA">
              <w:rPr>
                <w:sz w:val="22"/>
                <w:szCs w:val="22"/>
              </w:rPr>
              <w:t>, but results are not presented for parsimony.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14ECAD79" w14:textId="05765AA7" w:rsidR="00195629" w:rsidRPr="00AD55AA" w:rsidRDefault="00C850BA" w:rsidP="00C850BA">
      <w:pPr>
        <w:spacing w:after="160" w:line="259" w:lineRule="auto"/>
        <w:rPr>
          <w:sz w:val="22"/>
          <w:szCs w:val="22"/>
        </w:rPr>
      </w:pPr>
      <w:r>
        <w:rPr>
          <w:sz w:val="22"/>
          <w:szCs w:val="22"/>
        </w:rPr>
        <w:br w:type="page"/>
      </w:r>
    </w:p>
    <w:p w14:paraId="00104E47" w14:textId="6D69892F" w:rsidR="005D06CA" w:rsidRPr="00AD55AA" w:rsidRDefault="005D06CA" w:rsidP="00245A4A">
      <w:pPr>
        <w:rPr>
          <w:sz w:val="22"/>
          <w:szCs w:val="22"/>
        </w:rPr>
      </w:pPr>
    </w:p>
    <w:tbl>
      <w:tblPr>
        <w:tblW w:w="5000" w:type="pct"/>
        <w:jc w:val="center"/>
        <w:tblCellMar>
          <w:left w:w="75" w:type="dxa"/>
          <w:right w:w="75" w:type="dxa"/>
        </w:tblCellMar>
        <w:tblLook w:val="0000" w:firstRow="0" w:lastRow="0" w:firstColumn="0" w:lastColumn="0" w:noHBand="0" w:noVBand="0"/>
      </w:tblPr>
      <w:tblGrid>
        <w:gridCol w:w="4192"/>
        <w:gridCol w:w="323"/>
        <w:gridCol w:w="325"/>
        <w:gridCol w:w="2114"/>
        <w:gridCol w:w="2113"/>
      </w:tblGrid>
      <w:tr w:rsidR="00AA47D1" w:rsidRPr="00AD55AA" w14:paraId="00017CF5" w14:textId="77777777" w:rsidTr="00AE405B">
        <w:trPr>
          <w:jc w:val="center"/>
        </w:trPr>
        <w:tc>
          <w:tcPr>
            <w:tcW w:w="2312" w:type="pct"/>
            <w:tcBorders>
              <w:left w:val="nil"/>
              <w:right w:val="nil"/>
            </w:tcBorders>
          </w:tcPr>
          <w:p w14:paraId="462AE0BC" w14:textId="4258A169" w:rsidR="00AA47D1" w:rsidRPr="00AD55AA" w:rsidRDefault="00AA47D1" w:rsidP="00C22349">
            <w:pPr>
              <w:widowControl w:val="0"/>
              <w:autoSpaceDE w:val="0"/>
              <w:autoSpaceDN w:val="0"/>
              <w:adjustRightInd w:val="0"/>
              <w:rPr>
                <w:sz w:val="22"/>
                <w:szCs w:val="22"/>
              </w:rPr>
            </w:pPr>
            <w:r w:rsidRPr="00AD55AA">
              <w:rPr>
                <w:b/>
                <w:sz w:val="22"/>
                <w:szCs w:val="22"/>
              </w:rPr>
              <w:t xml:space="preserve">Table </w:t>
            </w:r>
            <w:r w:rsidR="00C22349">
              <w:rPr>
                <w:b/>
                <w:sz w:val="22"/>
                <w:szCs w:val="22"/>
              </w:rPr>
              <w:t>10</w:t>
            </w:r>
          </w:p>
        </w:tc>
        <w:tc>
          <w:tcPr>
            <w:tcW w:w="357" w:type="pct"/>
            <w:gridSpan w:val="2"/>
            <w:tcBorders>
              <w:left w:val="nil"/>
              <w:right w:val="nil"/>
            </w:tcBorders>
          </w:tcPr>
          <w:p w14:paraId="75FC72CC" w14:textId="77777777" w:rsidR="00AA47D1" w:rsidRPr="00AD55AA" w:rsidRDefault="00AA47D1" w:rsidP="00AB6C46">
            <w:pPr>
              <w:widowControl w:val="0"/>
              <w:autoSpaceDE w:val="0"/>
              <w:autoSpaceDN w:val="0"/>
              <w:adjustRightInd w:val="0"/>
              <w:jc w:val="center"/>
              <w:rPr>
                <w:sz w:val="22"/>
                <w:szCs w:val="22"/>
              </w:rPr>
            </w:pPr>
          </w:p>
        </w:tc>
        <w:tc>
          <w:tcPr>
            <w:tcW w:w="2331" w:type="pct"/>
            <w:gridSpan w:val="2"/>
            <w:tcBorders>
              <w:left w:val="nil"/>
              <w:right w:val="nil"/>
            </w:tcBorders>
          </w:tcPr>
          <w:p w14:paraId="70CCE887" w14:textId="77777777" w:rsidR="00AA47D1" w:rsidRPr="00AD55AA" w:rsidRDefault="00AA47D1" w:rsidP="00AB6C46">
            <w:pPr>
              <w:widowControl w:val="0"/>
              <w:autoSpaceDE w:val="0"/>
              <w:autoSpaceDN w:val="0"/>
              <w:adjustRightInd w:val="0"/>
              <w:jc w:val="center"/>
              <w:rPr>
                <w:sz w:val="22"/>
                <w:szCs w:val="22"/>
              </w:rPr>
            </w:pPr>
          </w:p>
        </w:tc>
      </w:tr>
      <w:tr w:rsidR="00AA47D1" w:rsidRPr="00AD55AA" w14:paraId="6CD33D65" w14:textId="77777777" w:rsidTr="00AE405B">
        <w:trPr>
          <w:jc w:val="center"/>
        </w:trPr>
        <w:tc>
          <w:tcPr>
            <w:tcW w:w="5000" w:type="pct"/>
            <w:gridSpan w:val="5"/>
            <w:tcBorders>
              <w:left w:val="nil"/>
              <w:right w:val="nil"/>
            </w:tcBorders>
          </w:tcPr>
          <w:p w14:paraId="5423647F" w14:textId="53945636" w:rsidR="00AA47D1" w:rsidRPr="00AD55AA" w:rsidRDefault="00F83901" w:rsidP="00AB6C46">
            <w:pPr>
              <w:widowControl w:val="0"/>
              <w:autoSpaceDE w:val="0"/>
              <w:autoSpaceDN w:val="0"/>
              <w:adjustRightInd w:val="0"/>
              <w:rPr>
                <w:sz w:val="22"/>
                <w:szCs w:val="22"/>
              </w:rPr>
            </w:pPr>
            <w:r>
              <w:rPr>
                <w:b/>
                <w:sz w:val="22"/>
                <w:szCs w:val="22"/>
              </w:rPr>
              <w:t>Foreign i</w:t>
            </w:r>
            <w:r w:rsidR="00195629" w:rsidRPr="00AD55AA">
              <w:rPr>
                <w:b/>
                <w:sz w:val="22"/>
                <w:szCs w:val="22"/>
              </w:rPr>
              <w:t>nvestments</w:t>
            </w:r>
          </w:p>
        </w:tc>
      </w:tr>
      <w:tr w:rsidR="00AA47D1" w:rsidRPr="00AD55AA" w14:paraId="26AB15A9" w14:textId="77777777" w:rsidTr="00C22349">
        <w:trPr>
          <w:jc w:val="center"/>
        </w:trPr>
        <w:tc>
          <w:tcPr>
            <w:tcW w:w="2312" w:type="pct"/>
            <w:tcBorders>
              <w:left w:val="nil"/>
              <w:bottom w:val="single" w:sz="4" w:space="0" w:color="auto"/>
              <w:right w:val="nil"/>
            </w:tcBorders>
          </w:tcPr>
          <w:p w14:paraId="24F1E326" w14:textId="77777777" w:rsidR="00AA47D1" w:rsidRPr="00AD55AA" w:rsidRDefault="00AA47D1" w:rsidP="00AB6C46">
            <w:pPr>
              <w:widowControl w:val="0"/>
              <w:autoSpaceDE w:val="0"/>
              <w:autoSpaceDN w:val="0"/>
              <w:adjustRightInd w:val="0"/>
              <w:rPr>
                <w:sz w:val="22"/>
                <w:szCs w:val="22"/>
              </w:rPr>
            </w:pPr>
          </w:p>
        </w:tc>
        <w:tc>
          <w:tcPr>
            <w:tcW w:w="357" w:type="pct"/>
            <w:gridSpan w:val="2"/>
            <w:tcBorders>
              <w:left w:val="nil"/>
              <w:bottom w:val="single" w:sz="4" w:space="0" w:color="auto"/>
              <w:right w:val="nil"/>
            </w:tcBorders>
          </w:tcPr>
          <w:p w14:paraId="6EA3E87E" w14:textId="77777777" w:rsidR="00AA47D1" w:rsidRPr="00AD55AA" w:rsidRDefault="00AA47D1" w:rsidP="00AB6C46">
            <w:pPr>
              <w:widowControl w:val="0"/>
              <w:autoSpaceDE w:val="0"/>
              <w:autoSpaceDN w:val="0"/>
              <w:adjustRightInd w:val="0"/>
              <w:jc w:val="center"/>
              <w:rPr>
                <w:sz w:val="22"/>
                <w:szCs w:val="22"/>
              </w:rPr>
            </w:pPr>
          </w:p>
        </w:tc>
        <w:tc>
          <w:tcPr>
            <w:tcW w:w="2331" w:type="pct"/>
            <w:gridSpan w:val="2"/>
            <w:tcBorders>
              <w:left w:val="nil"/>
              <w:bottom w:val="single" w:sz="4" w:space="0" w:color="auto"/>
              <w:right w:val="nil"/>
            </w:tcBorders>
          </w:tcPr>
          <w:p w14:paraId="211B12C0" w14:textId="77777777" w:rsidR="00AA47D1" w:rsidRPr="00AD55AA" w:rsidRDefault="00AA47D1" w:rsidP="00AB6C46">
            <w:pPr>
              <w:widowControl w:val="0"/>
              <w:autoSpaceDE w:val="0"/>
              <w:autoSpaceDN w:val="0"/>
              <w:adjustRightInd w:val="0"/>
              <w:jc w:val="center"/>
              <w:rPr>
                <w:sz w:val="22"/>
                <w:szCs w:val="22"/>
              </w:rPr>
            </w:pPr>
          </w:p>
        </w:tc>
      </w:tr>
      <w:tr w:rsidR="00C22349" w:rsidRPr="00AD55AA" w14:paraId="086FAE67" w14:textId="77777777" w:rsidTr="00C22349">
        <w:trPr>
          <w:jc w:val="center"/>
        </w:trPr>
        <w:tc>
          <w:tcPr>
            <w:tcW w:w="2312" w:type="pct"/>
            <w:tcBorders>
              <w:top w:val="single" w:sz="4" w:space="0" w:color="auto"/>
              <w:left w:val="nil"/>
              <w:right w:val="nil"/>
            </w:tcBorders>
          </w:tcPr>
          <w:p w14:paraId="69E8874A" w14:textId="77777777" w:rsidR="00C22349" w:rsidRPr="00AD55AA" w:rsidRDefault="00C22349" w:rsidP="00AE405B">
            <w:pPr>
              <w:widowControl w:val="0"/>
              <w:autoSpaceDE w:val="0"/>
              <w:autoSpaceDN w:val="0"/>
              <w:adjustRightInd w:val="0"/>
              <w:rPr>
                <w:sz w:val="22"/>
                <w:szCs w:val="22"/>
              </w:rPr>
            </w:pPr>
          </w:p>
        </w:tc>
        <w:tc>
          <w:tcPr>
            <w:tcW w:w="178" w:type="pct"/>
            <w:tcBorders>
              <w:top w:val="single" w:sz="4" w:space="0" w:color="auto"/>
              <w:left w:val="nil"/>
              <w:right w:val="nil"/>
            </w:tcBorders>
          </w:tcPr>
          <w:p w14:paraId="189B0DEF" w14:textId="77777777" w:rsidR="00C22349" w:rsidRPr="00AD55AA" w:rsidRDefault="00C22349" w:rsidP="00AE405B">
            <w:pPr>
              <w:widowControl w:val="0"/>
              <w:autoSpaceDE w:val="0"/>
              <w:autoSpaceDN w:val="0"/>
              <w:adjustRightInd w:val="0"/>
              <w:jc w:val="center"/>
              <w:rPr>
                <w:sz w:val="22"/>
                <w:szCs w:val="22"/>
              </w:rPr>
            </w:pPr>
          </w:p>
        </w:tc>
        <w:tc>
          <w:tcPr>
            <w:tcW w:w="179" w:type="pct"/>
            <w:tcBorders>
              <w:top w:val="single" w:sz="4" w:space="0" w:color="auto"/>
              <w:left w:val="nil"/>
              <w:right w:val="nil"/>
            </w:tcBorders>
          </w:tcPr>
          <w:p w14:paraId="0F723A75" w14:textId="77777777" w:rsidR="00C22349" w:rsidRPr="00AD55AA" w:rsidRDefault="00C22349" w:rsidP="00AE405B">
            <w:pPr>
              <w:widowControl w:val="0"/>
              <w:autoSpaceDE w:val="0"/>
              <w:autoSpaceDN w:val="0"/>
              <w:adjustRightInd w:val="0"/>
              <w:jc w:val="center"/>
              <w:rPr>
                <w:sz w:val="22"/>
                <w:szCs w:val="22"/>
              </w:rPr>
            </w:pPr>
          </w:p>
        </w:tc>
        <w:tc>
          <w:tcPr>
            <w:tcW w:w="2331" w:type="pct"/>
            <w:gridSpan w:val="2"/>
            <w:tcBorders>
              <w:top w:val="single" w:sz="4" w:space="0" w:color="auto"/>
              <w:left w:val="nil"/>
              <w:right w:val="nil"/>
            </w:tcBorders>
          </w:tcPr>
          <w:p w14:paraId="2CC7CF7D" w14:textId="60D1B4B6" w:rsidR="00C22349" w:rsidRPr="00AD55AA" w:rsidRDefault="00C22349" w:rsidP="00AE405B">
            <w:pPr>
              <w:widowControl w:val="0"/>
              <w:autoSpaceDE w:val="0"/>
              <w:autoSpaceDN w:val="0"/>
              <w:adjustRightInd w:val="0"/>
              <w:jc w:val="center"/>
              <w:rPr>
                <w:sz w:val="22"/>
                <w:szCs w:val="22"/>
              </w:rPr>
            </w:pPr>
            <w:r w:rsidRPr="00AD55AA">
              <w:rPr>
                <w:sz w:val="22"/>
                <w:szCs w:val="22"/>
              </w:rPr>
              <w:t>Capex</w:t>
            </w:r>
          </w:p>
        </w:tc>
      </w:tr>
      <w:tr w:rsidR="00AE405B" w:rsidRPr="00AD55AA" w14:paraId="3AEEFAAC" w14:textId="77777777" w:rsidTr="00C22349">
        <w:trPr>
          <w:jc w:val="center"/>
        </w:trPr>
        <w:tc>
          <w:tcPr>
            <w:tcW w:w="2312" w:type="pct"/>
            <w:tcBorders>
              <w:left w:val="nil"/>
              <w:right w:val="nil"/>
            </w:tcBorders>
          </w:tcPr>
          <w:p w14:paraId="2F0375DC" w14:textId="77777777" w:rsidR="00AE405B" w:rsidRPr="00AD55AA" w:rsidRDefault="00AE405B" w:rsidP="00AE405B">
            <w:pPr>
              <w:widowControl w:val="0"/>
              <w:autoSpaceDE w:val="0"/>
              <w:autoSpaceDN w:val="0"/>
              <w:adjustRightInd w:val="0"/>
              <w:rPr>
                <w:sz w:val="22"/>
                <w:szCs w:val="22"/>
              </w:rPr>
            </w:pPr>
          </w:p>
        </w:tc>
        <w:tc>
          <w:tcPr>
            <w:tcW w:w="178" w:type="pct"/>
            <w:tcBorders>
              <w:left w:val="nil"/>
              <w:right w:val="nil"/>
            </w:tcBorders>
          </w:tcPr>
          <w:p w14:paraId="32CD42E1" w14:textId="640CAA74" w:rsidR="00AE405B" w:rsidRPr="00AD55AA" w:rsidRDefault="00AE405B" w:rsidP="00AE405B">
            <w:pPr>
              <w:widowControl w:val="0"/>
              <w:autoSpaceDE w:val="0"/>
              <w:autoSpaceDN w:val="0"/>
              <w:adjustRightInd w:val="0"/>
              <w:jc w:val="center"/>
              <w:rPr>
                <w:sz w:val="22"/>
                <w:szCs w:val="22"/>
              </w:rPr>
            </w:pPr>
          </w:p>
        </w:tc>
        <w:tc>
          <w:tcPr>
            <w:tcW w:w="179" w:type="pct"/>
            <w:tcBorders>
              <w:left w:val="nil"/>
              <w:right w:val="nil"/>
            </w:tcBorders>
          </w:tcPr>
          <w:p w14:paraId="078B6FEF" w14:textId="108F49BE" w:rsidR="00AE405B" w:rsidRPr="00AD55AA" w:rsidRDefault="00AE405B" w:rsidP="00AE405B">
            <w:pPr>
              <w:widowControl w:val="0"/>
              <w:autoSpaceDE w:val="0"/>
              <w:autoSpaceDN w:val="0"/>
              <w:adjustRightInd w:val="0"/>
              <w:jc w:val="center"/>
              <w:rPr>
                <w:sz w:val="22"/>
                <w:szCs w:val="22"/>
              </w:rPr>
            </w:pPr>
          </w:p>
        </w:tc>
        <w:tc>
          <w:tcPr>
            <w:tcW w:w="1166" w:type="pct"/>
            <w:tcBorders>
              <w:left w:val="nil"/>
              <w:right w:val="nil"/>
            </w:tcBorders>
          </w:tcPr>
          <w:p w14:paraId="0B51CE2A" w14:textId="518FEF9F" w:rsidR="00AE405B" w:rsidRPr="00AD55AA" w:rsidRDefault="00AE405B" w:rsidP="00AE405B">
            <w:pPr>
              <w:widowControl w:val="0"/>
              <w:autoSpaceDE w:val="0"/>
              <w:autoSpaceDN w:val="0"/>
              <w:adjustRightInd w:val="0"/>
              <w:jc w:val="center"/>
              <w:rPr>
                <w:sz w:val="22"/>
                <w:szCs w:val="22"/>
              </w:rPr>
            </w:pPr>
            <w:r w:rsidRPr="00AD55AA">
              <w:rPr>
                <w:sz w:val="22"/>
                <w:szCs w:val="22"/>
              </w:rPr>
              <w:t>Low FDI</w:t>
            </w:r>
          </w:p>
        </w:tc>
        <w:tc>
          <w:tcPr>
            <w:tcW w:w="1165" w:type="pct"/>
            <w:tcBorders>
              <w:left w:val="nil"/>
              <w:right w:val="nil"/>
            </w:tcBorders>
          </w:tcPr>
          <w:p w14:paraId="5C5EC66C" w14:textId="08C5582C" w:rsidR="00AE405B" w:rsidRPr="00AD55AA" w:rsidRDefault="00AE405B" w:rsidP="00AE405B">
            <w:pPr>
              <w:widowControl w:val="0"/>
              <w:autoSpaceDE w:val="0"/>
              <w:autoSpaceDN w:val="0"/>
              <w:adjustRightInd w:val="0"/>
              <w:jc w:val="center"/>
              <w:rPr>
                <w:sz w:val="22"/>
                <w:szCs w:val="22"/>
              </w:rPr>
            </w:pPr>
            <w:r w:rsidRPr="00AD55AA">
              <w:rPr>
                <w:sz w:val="22"/>
                <w:szCs w:val="22"/>
              </w:rPr>
              <w:t>High FDI</w:t>
            </w:r>
          </w:p>
        </w:tc>
      </w:tr>
      <w:tr w:rsidR="00AE405B" w:rsidRPr="00AD55AA" w14:paraId="3B3A4CA4" w14:textId="77777777" w:rsidTr="00C22349">
        <w:trPr>
          <w:jc w:val="center"/>
        </w:trPr>
        <w:tc>
          <w:tcPr>
            <w:tcW w:w="2312" w:type="pct"/>
            <w:tcBorders>
              <w:left w:val="nil"/>
              <w:bottom w:val="single" w:sz="6" w:space="0" w:color="auto"/>
              <w:right w:val="nil"/>
            </w:tcBorders>
          </w:tcPr>
          <w:p w14:paraId="5A9F22A7" w14:textId="77777777" w:rsidR="00AE405B" w:rsidRPr="00AD55AA" w:rsidRDefault="00AE405B" w:rsidP="00AE405B">
            <w:pPr>
              <w:widowControl w:val="0"/>
              <w:autoSpaceDE w:val="0"/>
              <w:autoSpaceDN w:val="0"/>
              <w:adjustRightInd w:val="0"/>
              <w:rPr>
                <w:sz w:val="22"/>
                <w:szCs w:val="22"/>
              </w:rPr>
            </w:pPr>
            <w:r w:rsidRPr="00AD55AA">
              <w:rPr>
                <w:sz w:val="22"/>
                <w:szCs w:val="22"/>
              </w:rPr>
              <w:t>Variable:</w:t>
            </w:r>
          </w:p>
        </w:tc>
        <w:tc>
          <w:tcPr>
            <w:tcW w:w="178" w:type="pct"/>
            <w:tcBorders>
              <w:left w:val="nil"/>
              <w:bottom w:val="single" w:sz="6" w:space="0" w:color="auto"/>
              <w:right w:val="nil"/>
            </w:tcBorders>
          </w:tcPr>
          <w:p w14:paraId="26013CE8" w14:textId="337C88A7" w:rsidR="00AE405B" w:rsidRPr="00AD55AA" w:rsidRDefault="00AE405B" w:rsidP="00AE405B">
            <w:pPr>
              <w:widowControl w:val="0"/>
              <w:autoSpaceDE w:val="0"/>
              <w:autoSpaceDN w:val="0"/>
              <w:adjustRightInd w:val="0"/>
              <w:jc w:val="center"/>
              <w:rPr>
                <w:sz w:val="22"/>
                <w:szCs w:val="22"/>
              </w:rPr>
            </w:pPr>
          </w:p>
        </w:tc>
        <w:tc>
          <w:tcPr>
            <w:tcW w:w="179" w:type="pct"/>
            <w:tcBorders>
              <w:left w:val="nil"/>
              <w:bottom w:val="single" w:sz="6" w:space="0" w:color="auto"/>
              <w:right w:val="nil"/>
            </w:tcBorders>
          </w:tcPr>
          <w:p w14:paraId="188A5AC3" w14:textId="54F41954" w:rsidR="00AE405B" w:rsidRPr="00AD55AA" w:rsidRDefault="00AE405B" w:rsidP="00AE405B">
            <w:pPr>
              <w:widowControl w:val="0"/>
              <w:autoSpaceDE w:val="0"/>
              <w:autoSpaceDN w:val="0"/>
              <w:adjustRightInd w:val="0"/>
              <w:jc w:val="center"/>
              <w:rPr>
                <w:sz w:val="22"/>
                <w:szCs w:val="22"/>
              </w:rPr>
            </w:pPr>
          </w:p>
        </w:tc>
        <w:tc>
          <w:tcPr>
            <w:tcW w:w="1166" w:type="pct"/>
            <w:tcBorders>
              <w:left w:val="nil"/>
              <w:bottom w:val="single" w:sz="6" w:space="0" w:color="auto"/>
              <w:right w:val="nil"/>
            </w:tcBorders>
          </w:tcPr>
          <w:p w14:paraId="0EC8B373" w14:textId="0A1EA3B3" w:rsidR="00AE405B" w:rsidRPr="00AD55AA" w:rsidRDefault="00AE405B" w:rsidP="00AE405B">
            <w:pPr>
              <w:widowControl w:val="0"/>
              <w:autoSpaceDE w:val="0"/>
              <w:autoSpaceDN w:val="0"/>
              <w:adjustRightInd w:val="0"/>
              <w:jc w:val="center"/>
              <w:rPr>
                <w:sz w:val="22"/>
                <w:szCs w:val="22"/>
              </w:rPr>
            </w:pPr>
            <w:r w:rsidRPr="00AD55AA">
              <w:rPr>
                <w:sz w:val="22"/>
                <w:szCs w:val="22"/>
              </w:rPr>
              <w:t>(1)</w:t>
            </w:r>
          </w:p>
        </w:tc>
        <w:tc>
          <w:tcPr>
            <w:tcW w:w="1165" w:type="pct"/>
            <w:tcBorders>
              <w:left w:val="nil"/>
              <w:bottom w:val="single" w:sz="6" w:space="0" w:color="auto"/>
              <w:right w:val="nil"/>
            </w:tcBorders>
          </w:tcPr>
          <w:p w14:paraId="4498F6A1" w14:textId="044349D9" w:rsidR="00AE405B" w:rsidRPr="00AD55AA" w:rsidRDefault="00AE405B" w:rsidP="00AE405B">
            <w:pPr>
              <w:widowControl w:val="0"/>
              <w:autoSpaceDE w:val="0"/>
              <w:autoSpaceDN w:val="0"/>
              <w:adjustRightInd w:val="0"/>
              <w:jc w:val="center"/>
              <w:rPr>
                <w:sz w:val="22"/>
                <w:szCs w:val="22"/>
              </w:rPr>
            </w:pPr>
            <w:r w:rsidRPr="00AD55AA">
              <w:rPr>
                <w:sz w:val="22"/>
                <w:szCs w:val="22"/>
              </w:rPr>
              <w:t>(2)</w:t>
            </w:r>
          </w:p>
        </w:tc>
      </w:tr>
      <w:tr w:rsidR="00452B16" w:rsidRPr="00AD55AA" w14:paraId="2F48D081" w14:textId="77777777" w:rsidTr="00C22349">
        <w:trPr>
          <w:jc w:val="center"/>
        </w:trPr>
        <w:tc>
          <w:tcPr>
            <w:tcW w:w="2312" w:type="pct"/>
            <w:tcBorders>
              <w:top w:val="nil"/>
              <w:left w:val="nil"/>
              <w:bottom w:val="nil"/>
              <w:right w:val="nil"/>
            </w:tcBorders>
          </w:tcPr>
          <w:p w14:paraId="469AF45D" w14:textId="77777777" w:rsidR="00452B16" w:rsidRPr="00AD55AA" w:rsidRDefault="00452B16" w:rsidP="00452B16">
            <w:pPr>
              <w:widowControl w:val="0"/>
              <w:autoSpaceDE w:val="0"/>
              <w:autoSpaceDN w:val="0"/>
              <w:adjustRightInd w:val="0"/>
              <w:rPr>
                <w:sz w:val="22"/>
                <w:szCs w:val="22"/>
              </w:rPr>
            </w:pPr>
          </w:p>
        </w:tc>
        <w:tc>
          <w:tcPr>
            <w:tcW w:w="178" w:type="pct"/>
            <w:tcBorders>
              <w:top w:val="nil"/>
              <w:left w:val="nil"/>
              <w:bottom w:val="nil"/>
              <w:right w:val="nil"/>
            </w:tcBorders>
          </w:tcPr>
          <w:p w14:paraId="419D63E2" w14:textId="77777777" w:rsidR="00452B16" w:rsidRPr="00AD55AA" w:rsidRDefault="00452B16" w:rsidP="00452B16">
            <w:pPr>
              <w:widowControl w:val="0"/>
              <w:autoSpaceDE w:val="0"/>
              <w:autoSpaceDN w:val="0"/>
              <w:adjustRightInd w:val="0"/>
              <w:jc w:val="center"/>
              <w:rPr>
                <w:sz w:val="22"/>
                <w:szCs w:val="22"/>
              </w:rPr>
            </w:pPr>
          </w:p>
        </w:tc>
        <w:tc>
          <w:tcPr>
            <w:tcW w:w="179" w:type="pct"/>
            <w:tcBorders>
              <w:top w:val="nil"/>
              <w:left w:val="nil"/>
              <w:bottom w:val="nil"/>
              <w:right w:val="nil"/>
            </w:tcBorders>
          </w:tcPr>
          <w:p w14:paraId="4E0DB59C" w14:textId="77777777" w:rsidR="00452B16" w:rsidRPr="00AD55AA" w:rsidRDefault="00452B16" w:rsidP="00452B16">
            <w:pPr>
              <w:widowControl w:val="0"/>
              <w:autoSpaceDE w:val="0"/>
              <w:autoSpaceDN w:val="0"/>
              <w:adjustRightInd w:val="0"/>
              <w:jc w:val="center"/>
              <w:rPr>
                <w:sz w:val="22"/>
                <w:szCs w:val="22"/>
              </w:rPr>
            </w:pPr>
          </w:p>
        </w:tc>
        <w:tc>
          <w:tcPr>
            <w:tcW w:w="1166" w:type="pct"/>
            <w:tcBorders>
              <w:top w:val="nil"/>
              <w:left w:val="nil"/>
              <w:bottom w:val="nil"/>
              <w:right w:val="nil"/>
            </w:tcBorders>
          </w:tcPr>
          <w:p w14:paraId="7EFCF9B6" w14:textId="77777777" w:rsidR="00452B16" w:rsidRPr="00AD55AA" w:rsidRDefault="00452B16" w:rsidP="00452B16">
            <w:pPr>
              <w:widowControl w:val="0"/>
              <w:autoSpaceDE w:val="0"/>
              <w:autoSpaceDN w:val="0"/>
              <w:adjustRightInd w:val="0"/>
              <w:jc w:val="center"/>
              <w:rPr>
                <w:sz w:val="22"/>
                <w:szCs w:val="22"/>
              </w:rPr>
            </w:pPr>
          </w:p>
        </w:tc>
        <w:tc>
          <w:tcPr>
            <w:tcW w:w="1165" w:type="pct"/>
            <w:tcBorders>
              <w:top w:val="nil"/>
              <w:left w:val="nil"/>
              <w:bottom w:val="nil"/>
              <w:right w:val="nil"/>
            </w:tcBorders>
          </w:tcPr>
          <w:p w14:paraId="4A04A55D" w14:textId="77777777" w:rsidR="00452B16" w:rsidRPr="00AD55AA" w:rsidRDefault="00452B16" w:rsidP="00452B16">
            <w:pPr>
              <w:widowControl w:val="0"/>
              <w:autoSpaceDE w:val="0"/>
              <w:autoSpaceDN w:val="0"/>
              <w:adjustRightInd w:val="0"/>
              <w:jc w:val="center"/>
              <w:rPr>
                <w:sz w:val="22"/>
                <w:szCs w:val="22"/>
              </w:rPr>
            </w:pPr>
          </w:p>
        </w:tc>
      </w:tr>
      <w:tr w:rsidR="00A2569C" w:rsidRPr="00AD55AA" w14:paraId="3A5A6EF9" w14:textId="77777777" w:rsidTr="00C22349">
        <w:trPr>
          <w:jc w:val="center"/>
        </w:trPr>
        <w:tc>
          <w:tcPr>
            <w:tcW w:w="2312" w:type="pct"/>
            <w:tcBorders>
              <w:top w:val="nil"/>
              <w:left w:val="nil"/>
              <w:bottom w:val="nil"/>
              <w:right w:val="nil"/>
            </w:tcBorders>
          </w:tcPr>
          <w:p w14:paraId="1773B809" w14:textId="6E284656" w:rsidR="00A2569C" w:rsidRPr="00AD55AA" w:rsidRDefault="00A2569C" w:rsidP="00A2569C">
            <w:pPr>
              <w:widowControl w:val="0"/>
              <w:autoSpaceDE w:val="0"/>
              <w:autoSpaceDN w:val="0"/>
              <w:adjustRightInd w:val="0"/>
              <w:rPr>
                <w:sz w:val="22"/>
                <w:szCs w:val="22"/>
              </w:rPr>
            </w:pPr>
            <w:r w:rsidRPr="00AD55AA">
              <w:rPr>
                <w:sz w:val="22"/>
                <w:szCs w:val="22"/>
              </w:rPr>
              <w:t xml:space="preserve">CFIUS </w:t>
            </w:r>
            <w:r>
              <w:rPr>
                <w:sz w:val="22"/>
                <w:szCs w:val="22"/>
              </w:rPr>
              <w:t xml:space="preserve">Block </w:t>
            </w:r>
          </w:p>
        </w:tc>
        <w:tc>
          <w:tcPr>
            <w:tcW w:w="178" w:type="pct"/>
            <w:tcBorders>
              <w:top w:val="nil"/>
              <w:left w:val="nil"/>
              <w:bottom w:val="nil"/>
              <w:right w:val="nil"/>
            </w:tcBorders>
          </w:tcPr>
          <w:p w14:paraId="4D67FC92" w14:textId="38C2C9A7"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29515BEF" w14:textId="550B9793"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3140B312" w14:textId="28D87FFF" w:rsidR="00A2569C" w:rsidRPr="00AD55AA" w:rsidRDefault="00A2569C" w:rsidP="00A2569C">
            <w:pPr>
              <w:widowControl w:val="0"/>
              <w:autoSpaceDE w:val="0"/>
              <w:autoSpaceDN w:val="0"/>
              <w:adjustRightInd w:val="0"/>
              <w:jc w:val="center"/>
              <w:rPr>
                <w:sz w:val="22"/>
                <w:szCs w:val="22"/>
              </w:rPr>
            </w:pPr>
            <w:r w:rsidRPr="00036E10">
              <w:rPr>
                <w:sz w:val="22"/>
                <w:szCs w:val="22"/>
              </w:rPr>
              <w:t>-0.035</w:t>
            </w:r>
          </w:p>
        </w:tc>
        <w:tc>
          <w:tcPr>
            <w:tcW w:w="1165" w:type="pct"/>
            <w:tcBorders>
              <w:top w:val="nil"/>
              <w:left w:val="nil"/>
              <w:bottom w:val="nil"/>
              <w:right w:val="nil"/>
            </w:tcBorders>
          </w:tcPr>
          <w:p w14:paraId="1A228BD0" w14:textId="36B7046E" w:rsidR="00A2569C" w:rsidRPr="00AD55AA" w:rsidRDefault="00A2569C" w:rsidP="00A2569C">
            <w:pPr>
              <w:widowControl w:val="0"/>
              <w:autoSpaceDE w:val="0"/>
              <w:autoSpaceDN w:val="0"/>
              <w:adjustRightInd w:val="0"/>
              <w:jc w:val="center"/>
              <w:rPr>
                <w:sz w:val="22"/>
                <w:szCs w:val="22"/>
              </w:rPr>
            </w:pPr>
            <w:r w:rsidRPr="00036E10">
              <w:rPr>
                <w:sz w:val="22"/>
                <w:szCs w:val="22"/>
              </w:rPr>
              <w:t>-0.102**</w:t>
            </w:r>
          </w:p>
        </w:tc>
      </w:tr>
      <w:tr w:rsidR="00A2569C" w:rsidRPr="00AD55AA" w14:paraId="4694DA00" w14:textId="77777777" w:rsidTr="00C22349">
        <w:trPr>
          <w:jc w:val="center"/>
        </w:trPr>
        <w:tc>
          <w:tcPr>
            <w:tcW w:w="2312" w:type="pct"/>
            <w:tcBorders>
              <w:top w:val="nil"/>
              <w:left w:val="nil"/>
              <w:bottom w:val="nil"/>
              <w:right w:val="nil"/>
            </w:tcBorders>
          </w:tcPr>
          <w:p w14:paraId="3A601A14" w14:textId="77777777" w:rsidR="00A2569C" w:rsidRPr="00AD55AA" w:rsidRDefault="00A2569C" w:rsidP="00A2569C">
            <w:pPr>
              <w:widowControl w:val="0"/>
              <w:autoSpaceDE w:val="0"/>
              <w:autoSpaceDN w:val="0"/>
              <w:adjustRightInd w:val="0"/>
              <w:rPr>
                <w:sz w:val="22"/>
                <w:szCs w:val="22"/>
              </w:rPr>
            </w:pPr>
          </w:p>
        </w:tc>
        <w:tc>
          <w:tcPr>
            <w:tcW w:w="178" w:type="pct"/>
            <w:tcBorders>
              <w:top w:val="nil"/>
              <w:left w:val="nil"/>
              <w:bottom w:val="nil"/>
              <w:right w:val="nil"/>
            </w:tcBorders>
          </w:tcPr>
          <w:p w14:paraId="13D54005" w14:textId="6F3229FB"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7705AF9E" w14:textId="23BEF10C"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302F3C42" w14:textId="5BC4B56C" w:rsidR="00A2569C" w:rsidRPr="00AD55AA" w:rsidRDefault="00A2569C" w:rsidP="00A2569C">
            <w:pPr>
              <w:widowControl w:val="0"/>
              <w:autoSpaceDE w:val="0"/>
              <w:autoSpaceDN w:val="0"/>
              <w:adjustRightInd w:val="0"/>
              <w:jc w:val="center"/>
              <w:rPr>
                <w:sz w:val="22"/>
                <w:szCs w:val="22"/>
              </w:rPr>
            </w:pPr>
            <w:r w:rsidRPr="00036E10">
              <w:rPr>
                <w:sz w:val="22"/>
                <w:szCs w:val="22"/>
              </w:rPr>
              <w:t>(-1.24)</w:t>
            </w:r>
          </w:p>
        </w:tc>
        <w:tc>
          <w:tcPr>
            <w:tcW w:w="1165" w:type="pct"/>
            <w:tcBorders>
              <w:top w:val="nil"/>
              <w:left w:val="nil"/>
              <w:bottom w:val="nil"/>
              <w:right w:val="nil"/>
            </w:tcBorders>
          </w:tcPr>
          <w:p w14:paraId="1F276D32" w14:textId="1A889896" w:rsidR="00A2569C" w:rsidRPr="00AD55AA" w:rsidRDefault="00A2569C" w:rsidP="00A2569C">
            <w:pPr>
              <w:widowControl w:val="0"/>
              <w:autoSpaceDE w:val="0"/>
              <w:autoSpaceDN w:val="0"/>
              <w:adjustRightInd w:val="0"/>
              <w:jc w:val="center"/>
              <w:rPr>
                <w:sz w:val="22"/>
                <w:szCs w:val="22"/>
              </w:rPr>
            </w:pPr>
            <w:r w:rsidRPr="00036E10">
              <w:rPr>
                <w:sz w:val="22"/>
                <w:szCs w:val="22"/>
              </w:rPr>
              <w:t>(-2.56)</w:t>
            </w:r>
          </w:p>
        </w:tc>
      </w:tr>
      <w:tr w:rsidR="00A2569C" w:rsidRPr="00AD55AA" w14:paraId="7BD1F1FF" w14:textId="77777777" w:rsidTr="00C22349">
        <w:trPr>
          <w:jc w:val="center"/>
        </w:trPr>
        <w:tc>
          <w:tcPr>
            <w:tcW w:w="2312" w:type="pct"/>
            <w:tcBorders>
              <w:top w:val="nil"/>
              <w:left w:val="nil"/>
              <w:bottom w:val="nil"/>
              <w:right w:val="nil"/>
            </w:tcBorders>
          </w:tcPr>
          <w:p w14:paraId="577C0CBD" w14:textId="3F254CEB" w:rsidR="00A2569C" w:rsidRPr="00AD55AA" w:rsidRDefault="00A2569C" w:rsidP="00A2569C">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178" w:type="pct"/>
            <w:tcBorders>
              <w:top w:val="nil"/>
              <w:left w:val="nil"/>
              <w:bottom w:val="nil"/>
              <w:right w:val="nil"/>
            </w:tcBorders>
          </w:tcPr>
          <w:p w14:paraId="4D01873A" w14:textId="6F20DA74"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4EAD8A5F" w14:textId="687F1A4D"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72A2313B" w14:textId="49BEF77C" w:rsidR="00A2569C" w:rsidRPr="00AD55AA" w:rsidRDefault="00A2569C" w:rsidP="00A2569C">
            <w:pPr>
              <w:widowControl w:val="0"/>
              <w:autoSpaceDE w:val="0"/>
              <w:autoSpaceDN w:val="0"/>
              <w:adjustRightInd w:val="0"/>
              <w:jc w:val="center"/>
              <w:rPr>
                <w:sz w:val="22"/>
                <w:szCs w:val="22"/>
              </w:rPr>
            </w:pPr>
            <w:r w:rsidRPr="00036E10">
              <w:rPr>
                <w:sz w:val="22"/>
                <w:szCs w:val="22"/>
              </w:rPr>
              <w:t>0.135***</w:t>
            </w:r>
          </w:p>
        </w:tc>
        <w:tc>
          <w:tcPr>
            <w:tcW w:w="1165" w:type="pct"/>
            <w:tcBorders>
              <w:top w:val="nil"/>
              <w:left w:val="nil"/>
              <w:bottom w:val="nil"/>
              <w:right w:val="nil"/>
            </w:tcBorders>
          </w:tcPr>
          <w:p w14:paraId="534792A7" w14:textId="4AAC0CFC" w:rsidR="00A2569C" w:rsidRPr="00AD55AA" w:rsidRDefault="00A2569C" w:rsidP="00A2569C">
            <w:pPr>
              <w:widowControl w:val="0"/>
              <w:autoSpaceDE w:val="0"/>
              <w:autoSpaceDN w:val="0"/>
              <w:adjustRightInd w:val="0"/>
              <w:jc w:val="center"/>
              <w:rPr>
                <w:sz w:val="22"/>
                <w:szCs w:val="22"/>
              </w:rPr>
            </w:pPr>
            <w:r w:rsidRPr="00036E10">
              <w:rPr>
                <w:sz w:val="22"/>
                <w:szCs w:val="22"/>
              </w:rPr>
              <w:t>0.199***</w:t>
            </w:r>
          </w:p>
        </w:tc>
      </w:tr>
      <w:tr w:rsidR="00A2569C" w:rsidRPr="00AD55AA" w14:paraId="60C62CFE" w14:textId="77777777" w:rsidTr="00C22349">
        <w:trPr>
          <w:jc w:val="center"/>
        </w:trPr>
        <w:tc>
          <w:tcPr>
            <w:tcW w:w="2312" w:type="pct"/>
            <w:tcBorders>
              <w:top w:val="nil"/>
              <w:left w:val="nil"/>
              <w:bottom w:val="nil"/>
              <w:right w:val="nil"/>
            </w:tcBorders>
          </w:tcPr>
          <w:p w14:paraId="403DC1F7" w14:textId="77777777" w:rsidR="00A2569C" w:rsidRPr="00AD55AA" w:rsidRDefault="00A2569C" w:rsidP="00A2569C">
            <w:pPr>
              <w:widowControl w:val="0"/>
              <w:autoSpaceDE w:val="0"/>
              <w:autoSpaceDN w:val="0"/>
              <w:adjustRightInd w:val="0"/>
              <w:rPr>
                <w:sz w:val="22"/>
                <w:szCs w:val="22"/>
              </w:rPr>
            </w:pPr>
          </w:p>
        </w:tc>
        <w:tc>
          <w:tcPr>
            <w:tcW w:w="178" w:type="pct"/>
            <w:tcBorders>
              <w:top w:val="nil"/>
              <w:left w:val="nil"/>
              <w:bottom w:val="nil"/>
              <w:right w:val="nil"/>
            </w:tcBorders>
          </w:tcPr>
          <w:p w14:paraId="1C47042A" w14:textId="1FB4A269"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6B777428" w14:textId="5A699637"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60B00583" w14:textId="18AA290E" w:rsidR="00A2569C" w:rsidRPr="00AD55AA" w:rsidRDefault="00A2569C" w:rsidP="00A2569C">
            <w:pPr>
              <w:widowControl w:val="0"/>
              <w:autoSpaceDE w:val="0"/>
              <w:autoSpaceDN w:val="0"/>
              <w:adjustRightInd w:val="0"/>
              <w:jc w:val="center"/>
              <w:rPr>
                <w:sz w:val="22"/>
                <w:szCs w:val="22"/>
              </w:rPr>
            </w:pPr>
            <w:r w:rsidRPr="00036E10">
              <w:rPr>
                <w:sz w:val="22"/>
                <w:szCs w:val="22"/>
              </w:rPr>
              <w:t>(3.35)</w:t>
            </w:r>
          </w:p>
        </w:tc>
        <w:tc>
          <w:tcPr>
            <w:tcW w:w="1165" w:type="pct"/>
            <w:tcBorders>
              <w:top w:val="nil"/>
              <w:left w:val="nil"/>
              <w:bottom w:val="nil"/>
              <w:right w:val="nil"/>
            </w:tcBorders>
          </w:tcPr>
          <w:p w14:paraId="5BD04A7B" w14:textId="38645F12" w:rsidR="00A2569C" w:rsidRPr="00AD55AA" w:rsidRDefault="00A2569C" w:rsidP="00A2569C">
            <w:pPr>
              <w:widowControl w:val="0"/>
              <w:autoSpaceDE w:val="0"/>
              <w:autoSpaceDN w:val="0"/>
              <w:adjustRightInd w:val="0"/>
              <w:jc w:val="center"/>
              <w:rPr>
                <w:sz w:val="22"/>
                <w:szCs w:val="22"/>
              </w:rPr>
            </w:pPr>
            <w:r w:rsidRPr="00036E10">
              <w:rPr>
                <w:sz w:val="22"/>
                <w:szCs w:val="22"/>
              </w:rPr>
              <w:t>(6.76)</w:t>
            </w:r>
          </w:p>
        </w:tc>
      </w:tr>
      <w:tr w:rsidR="00A2569C" w:rsidRPr="00AD55AA" w14:paraId="5F04D46D" w14:textId="77777777" w:rsidTr="00C22349">
        <w:trPr>
          <w:jc w:val="center"/>
        </w:trPr>
        <w:tc>
          <w:tcPr>
            <w:tcW w:w="2312" w:type="pct"/>
            <w:tcBorders>
              <w:top w:val="nil"/>
              <w:left w:val="nil"/>
              <w:bottom w:val="nil"/>
              <w:right w:val="nil"/>
            </w:tcBorders>
          </w:tcPr>
          <w:p w14:paraId="2DB90416" w14:textId="7058D812" w:rsidR="00A2569C" w:rsidRPr="00AD55AA" w:rsidRDefault="00A2569C" w:rsidP="00A2569C">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178" w:type="pct"/>
            <w:tcBorders>
              <w:top w:val="nil"/>
              <w:left w:val="nil"/>
              <w:bottom w:val="nil"/>
              <w:right w:val="nil"/>
            </w:tcBorders>
          </w:tcPr>
          <w:p w14:paraId="2DDE847A" w14:textId="4D1DB663"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4C8D16E8" w14:textId="6FC7553B"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5BB4B346" w14:textId="7D4A72A3" w:rsidR="00A2569C" w:rsidRPr="00AD55AA" w:rsidRDefault="00A2569C" w:rsidP="00A2569C">
            <w:pPr>
              <w:widowControl w:val="0"/>
              <w:autoSpaceDE w:val="0"/>
              <w:autoSpaceDN w:val="0"/>
              <w:adjustRightInd w:val="0"/>
              <w:jc w:val="center"/>
              <w:rPr>
                <w:sz w:val="22"/>
                <w:szCs w:val="22"/>
              </w:rPr>
            </w:pPr>
            <w:r w:rsidRPr="00036E10">
              <w:rPr>
                <w:sz w:val="22"/>
                <w:szCs w:val="22"/>
              </w:rPr>
              <w:t>-0.087***</w:t>
            </w:r>
          </w:p>
        </w:tc>
        <w:tc>
          <w:tcPr>
            <w:tcW w:w="1165" w:type="pct"/>
            <w:tcBorders>
              <w:top w:val="nil"/>
              <w:left w:val="nil"/>
              <w:bottom w:val="nil"/>
              <w:right w:val="nil"/>
            </w:tcBorders>
          </w:tcPr>
          <w:p w14:paraId="3E4E5AF9" w14:textId="66A116B9" w:rsidR="00A2569C" w:rsidRPr="00AD55AA" w:rsidRDefault="00A2569C" w:rsidP="00A2569C">
            <w:pPr>
              <w:widowControl w:val="0"/>
              <w:autoSpaceDE w:val="0"/>
              <w:autoSpaceDN w:val="0"/>
              <w:adjustRightInd w:val="0"/>
              <w:jc w:val="center"/>
              <w:rPr>
                <w:sz w:val="22"/>
                <w:szCs w:val="22"/>
              </w:rPr>
            </w:pPr>
            <w:r w:rsidRPr="00036E10">
              <w:rPr>
                <w:sz w:val="22"/>
                <w:szCs w:val="22"/>
              </w:rPr>
              <w:t>-0.077***</w:t>
            </w:r>
          </w:p>
        </w:tc>
      </w:tr>
      <w:tr w:rsidR="00A2569C" w:rsidRPr="00AD55AA" w14:paraId="6E437B72" w14:textId="77777777" w:rsidTr="00C22349">
        <w:trPr>
          <w:jc w:val="center"/>
        </w:trPr>
        <w:tc>
          <w:tcPr>
            <w:tcW w:w="2312" w:type="pct"/>
            <w:tcBorders>
              <w:top w:val="nil"/>
              <w:left w:val="nil"/>
              <w:bottom w:val="nil"/>
              <w:right w:val="nil"/>
            </w:tcBorders>
          </w:tcPr>
          <w:p w14:paraId="57564EDC" w14:textId="77777777" w:rsidR="00A2569C" w:rsidRPr="00AD55AA" w:rsidRDefault="00A2569C" w:rsidP="00A2569C">
            <w:pPr>
              <w:widowControl w:val="0"/>
              <w:autoSpaceDE w:val="0"/>
              <w:autoSpaceDN w:val="0"/>
              <w:adjustRightInd w:val="0"/>
              <w:rPr>
                <w:sz w:val="22"/>
                <w:szCs w:val="22"/>
              </w:rPr>
            </w:pPr>
          </w:p>
        </w:tc>
        <w:tc>
          <w:tcPr>
            <w:tcW w:w="178" w:type="pct"/>
            <w:tcBorders>
              <w:top w:val="nil"/>
              <w:left w:val="nil"/>
              <w:bottom w:val="nil"/>
              <w:right w:val="nil"/>
            </w:tcBorders>
          </w:tcPr>
          <w:p w14:paraId="251C3207" w14:textId="57DA5301"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45B803CB" w14:textId="07EADAD8"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3F766700" w14:textId="6E303EAC" w:rsidR="00A2569C" w:rsidRPr="00AD55AA" w:rsidRDefault="00A2569C" w:rsidP="00A2569C">
            <w:pPr>
              <w:widowControl w:val="0"/>
              <w:autoSpaceDE w:val="0"/>
              <w:autoSpaceDN w:val="0"/>
              <w:adjustRightInd w:val="0"/>
              <w:jc w:val="center"/>
              <w:rPr>
                <w:sz w:val="22"/>
                <w:szCs w:val="22"/>
              </w:rPr>
            </w:pPr>
            <w:r w:rsidRPr="00036E10">
              <w:rPr>
                <w:sz w:val="22"/>
                <w:szCs w:val="22"/>
              </w:rPr>
              <w:t>(-3.35)</w:t>
            </w:r>
          </w:p>
        </w:tc>
        <w:tc>
          <w:tcPr>
            <w:tcW w:w="1165" w:type="pct"/>
            <w:tcBorders>
              <w:top w:val="nil"/>
              <w:left w:val="nil"/>
              <w:bottom w:val="nil"/>
              <w:right w:val="nil"/>
            </w:tcBorders>
          </w:tcPr>
          <w:p w14:paraId="3C5A4630" w14:textId="1859E663" w:rsidR="00A2569C" w:rsidRPr="00AD55AA" w:rsidRDefault="00A2569C" w:rsidP="00A2569C">
            <w:pPr>
              <w:widowControl w:val="0"/>
              <w:autoSpaceDE w:val="0"/>
              <w:autoSpaceDN w:val="0"/>
              <w:adjustRightInd w:val="0"/>
              <w:jc w:val="center"/>
              <w:rPr>
                <w:sz w:val="22"/>
                <w:szCs w:val="22"/>
              </w:rPr>
            </w:pPr>
            <w:r w:rsidRPr="00036E10">
              <w:rPr>
                <w:sz w:val="22"/>
                <w:szCs w:val="22"/>
              </w:rPr>
              <w:t>(-4.98)</w:t>
            </w:r>
          </w:p>
        </w:tc>
      </w:tr>
      <w:tr w:rsidR="00A2569C" w:rsidRPr="00AD55AA" w14:paraId="50D12C07" w14:textId="77777777" w:rsidTr="00C22349">
        <w:trPr>
          <w:jc w:val="center"/>
        </w:trPr>
        <w:tc>
          <w:tcPr>
            <w:tcW w:w="2312" w:type="pct"/>
            <w:tcBorders>
              <w:top w:val="nil"/>
              <w:left w:val="nil"/>
              <w:bottom w:val="nil"/>
              <w:right w:val="nil"/>
            </w:tcBorders>
          </w:tcPr>
          <w:p w14:paraId="2DE3C6B7" w14:textId="36A58DAD" w:rsidR="00A2569C" w:rsidRPr="00AD55AA" w:rsidRDefault="00A2569C" w:rsidP="00A2569C">
            <w:pPr>
              <w:widowControl w:val="0"/>
              <w:autoSpaceDE w:val="0"/>
              <w:autoSpaceDN w:val="0"/>
              <w:adjustRightInd w:val="0"/>
              <w:rPr>
                <w:sz w:val="22"/>
                <w:szCs w:val="22"/>
              </w:rPr>
            </w:pPr>
            <w:r w:rsidRPr="00AD55AA">
              <w:rPr>
                <w:sz w:val="22"/>
                <w:szCs w:val="22"/>
              </w:rPr>
              <w:t>Size</w:t>
            </w:r>
            <w:r>
              <w:rPr>
                <w:sz w:val="22"/>
                <w:szCs w:val="22"/>
              </w:rPr>
              <w:t xml:space="preserve"> </w:t>
            </w:r>
          </w:p>
        </w:tc>
        <w:tc>
          <w:tcPr>
            <w:tcW w:w="178" w:type="pct"/>
            <w:tcBorders>
              <w:top w:val="nil"/>
              <w:left w:val="nil"/>
              <w:bottom w:val="nil"/>
              <w:right w:val="nil"/>
            </w:tcBorders>
          </w:tcPr>
          <w:p w14:paraId="164B2F87" w14:textId="7534B3E7"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5D6B07BC" w14:textId="6DAF3297"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6E14B240" w14:textId="22AFB206" w:rsidR="00A2569C" w:rsidRPr="00AD55AA" w:rsidRDefault="00A2569C" w:rsidP="00A2569C">
            <w:pPr>
              <w:widowControl w:val="0"/>
              <w:autoSpaceDE w:val="0"/>
              <w:autoSpaceDN w:val="0"/>
              <w:adjustRightInd w:val="0"/>
              <w:jc w:val="center"/>
              <w:rPr>
                <w:sz w:val="22"/>
                <w:szCs w:val="22"/>
              </w:rPr>
            </w:pPr>
            <w:r w:rsidRPr="00036E10">
              <w:rPr>
                <w:sz w:val="22"/>
                <w:szCs w:val="22"/>
              </w:rPr>
              <w:t>-0.120***</w:t>
            </w:r>
          </w:p>
        </w:tc>
        <w:tc>
          <w:tcPr>
            <w:tcW w:w="1165" w:type="pct"/>
            <w:tcBorders>
              <w:top w:val="nil"/>
              <w:left w:val="nil"/>
              <w:bottom w:val="nil"/>
              <w:right w:val="nil"/>
            </w:tcBorders>
          </w:tcPr>
          <w:p w14:paraId="2B07443A" w14:textId="39847804" w:rsidR="00A2569C" w:rsidRPr="00AD55AA" w:rsidRDefault="00A2569C" w:rsidP="00A2569C">
            <w:pPr>
              <w:widowControl w:val="0"/>
              <w:autoSpaceDE w:val="0"/>
              <w:autoSpaceDN w:val="0"/>
              <w:adjustRightInd w:val="0"/>
              <w:jc w:val="center"/>
              <w:rPr>
                <w:sz w:val="22"/>
                <w:szCs w:val="22"/>
              </w:rPr>
            </w:pPr>
            <w:r w:rsidRPr="00036E10">
              <w:rPr>
                <w:sz w:val="22"/>
                <w:szCs w:val="22"/>
              </w:rPr>
              <w:t>-0.151***</w:t>
            </w:r>
          </w:p>
        </w:tc>
      </w:tr>
      <w:tr w:rsidR="00A2569C" w:rsidRPr="00AD55AA" w14:paraId="45FF563A" w14:textId="77777777" w:rsidTr="00C22349">
        <w:trPr>
          <w:jc w:val="center"/>
        </w:trPr>
        <w:tc>
          <w:tcPr>
            <w:tcW w:w="2312" w:type="pct"/>
            <w:tcBorders>
              <w:top w:val="nil"/>
              <w:left w:val="nil"/>
              <w:bottom w:val="nil"/>
              <w:right w:val="nil"/>
            </w:tcBorders>
          </w:tcPr>
          <w:p w14:paraId="0392E2E9" w14:textId="77777777" w:rsidR="00A2569C" w:rsidRPr="00AD55AA" w:rsidRDefault="00A2569C" w:rsidP="00A2569C">
            <w:pPr>
              <w:widowControl w:val="0"/>
              <w:autoSpaceDE w:val="0"/>
              <w:autoSpaceDN w:val="0"/>
              <w:adjustRightInd w:val="0"/>
              <w:rPr>
                <w:sz w:val="22"/>
                <w:szCs w:val="22"/>
              </w:rPr>
            </w:pPr>
          </w:p>
        </w:tc>
        <w:tc>
          <w:tcPr>
            <w:tcW w:w="178" w:type="pct"/>
            <w:tcBorders>
              <w:top w:val="nil"/>
              <w:left w:val="nil"/>
              <w:bottom w:val="nil"/>
              <w:right w:val="nil"/>
            </w:tcBorders>
          </w:tcPr>
          <w:p w14:paraId="3517BA5E" w14:textId="066AFE42"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6A558B0D" w14:textId="01E6983D"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6EC468EE" w14:textId="6A343E99" w:rsidR="00A2569C" w:rsidRPr="00AD55AA" w:rsidRDefault="00A2569C" w:rsidP="00A2569C">
            <w:pPr>
              <w:widowControl w:val="0"/>
              <w:autoSpaceDE w:val="0"/>
              <w:autoSpaceDN w:val="0"/>
              <w:adjustRightInd w:val="0"/>
              <w:jc w:val="center"/>
              <w:rPr>
                <w:sz w:val="22"/>
                <w:szCs w:val="22"/>
              </w:rPr>
            </w:pPr>
            <w:r w:rsidRPr="00036E10">
              <w:rPr>
                <w:sz w:val="22"/>
                <w:szCs w:val="22"/>
              </w:rPr>
              <w:t>(-4.82)</w:t>
            </w:r>
          </w:p>
        </w:tc>
        <w:tc>
          <w:tcPr>
            <w:tcW w:w="1165" w:type="pct"/>
            <w:tcBorders>
              <w:top w:val="nil"/>
              <w:left w:val="nil"/>
              <w:bottom w:val="nil"/>
              <w:right w:val="nil"/>
            </w:tcBorders>
          </w:tcPr>
          <w:p w14:paraId="7FFA7249" w14:textId="024DA1EA" w:rsidR="00A2569C" w:rsidRPr="00AD55AA" w:rsidRDefault="00A2569C" w:rsidP="00A2569C">
            <w:pPr>
              <w:widowControl w:val="0"/>
              <w:autoSpaceDE w:val="0"/>
              <w:autoSpaceDN w:val="0"/>
              <w:adjustRightInd w:val="0"/>
              <w:jc w:val="center"/>
              <w:rPr>
                <w:sz w:val="22"/>
                <w:szCs w:val="22"/>
              </w:rPr>
            </w:pPr>
            <w:r w:rsidRPr="00036E10">
              <w:rPr>
                <w:sz w:val="22"/>
                <w:szCs w:val="22"/>
              </w:rPr>
              <w:t>(-7.32)</w:t>
            </w:r>
          </w:p>
        </w:tc>
      </w:tr>
      <w:tr w:rsidR="00A2569C" w:rsidRPr="00AD55AA" w14:paraId="7FB80E5A" w14:textId="77777777" w:rsidTr="00C22349">
        <w:trPr>
          <w:jc w:val="center"/>
        </w:trPr>
        <w:tc>
          <w:tcPr>
            <w:tcW w:w="2312" w:type="pct"/>
            <w:tcBorders>
              <w:top w:val="nil"/>
              <w:left w:val="nil"/>
              <w:bottom w:val="nil"/>
              <w:right w:val="nil"/>
            </w:tcBorders>
          </w:tcPr>
          <w:p w14:paraId="6F9BC4B6" w14:textId="0A269D9C" w:rsidR="00A2569C" w:rsidRPr="00AD55AA" w:rsidRDefault="00A2569C" w:rsidP="00A2569C">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178" w:type="pct"/>
            <w:tcBorders>
              <w:top w:val="nil"/>
              <w:left w:val="nil"/>
              <w:bottom w:val="nil"/>
              <w:right w:val="nil"/>
            </w:tcBorders>
          </w:tcPr>
          <w:p w14:paraId="45D66B8F" w14:textId="543C4B37"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4DE92716" w14:textId="51A8CFE4"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048D648B" w14:textId="4D5FA661" w:rsidR="00A2569C" w:rsidRPr="00AD55AA" w:rsidRDefault="00A2569C" w:rsidP="00A2569C">
            <w:pPr>
              <w:widowControl w:val="0"/>
              <w:autoSpaceDE w:val="0"/>
              <w:autoSpaceDN w:val="0"/>
              <w:adjustRightInd w:val="0"/>
              <w:jc w:val="center"/>
              <w:rPr>
                <w:sz w:val="22"/>
                <w:szCs w:val="22"/>
              </w:rPr>
            </w:pPr>
            <w:r w:rsidRPr="00036E10">
              <w:rPr>
                <w:sz w:val="22"/>
                <w:szCs w:val="22"/>
              </w:rPr>
              <w:t>0.008***</w:t>
            </w:r>
          </w:p>
        </w:tc>
        <w:tc>
          <w:tcPr>
            <w:tcW w:w="1165" w:type="pct"/>
            <w:tcBorders>
              <w:top w:val="nil"/>
              <w:left w:val="nil"/>
              <w:bottom w:val="nil"/>
              <w:right w:val="nil"/>
            </w:tcBorders>
          </w:tcPr>
          <w:p w14:paraId="3F56CB0A" w14:textId="3E89C4D9" w:rsidR="00A2569C" w:rsidRPr="00AD55AA" w:rsidRDefault="00A2569C" w:rsidP="00A2569C">
            <w:pPr>
              <w:widowControl w:val="0"/>
              <w:autoSpaceDE w:val="0"/>
              <w:autoSpaceDN w:val="0"/>
              <w:adjustRightInd w:val="0"/>
              <w:jc w:val="center"/>
              <w:rPr>
                <w:sz w:val="22"/>
                <w:szCs w:val="22"/>
              </w:rPr>
            </w:pPr>
            <w:r w:rsidRPr="00036E10">
              <w:rPr>
                <w:sz w:val="22"/>
                <w:szCs w:val="22"/>
              </w:rPr>
              <w:t>0.008***</w:t>
            </w:r>
          </w:p>
        </w:tc>
      </w:tr>
      <w:tr w:rsidR="00A2569C" w:rsidRPr="00AD55AA" w14:paraId="56C9125C" w14:textId="77777777" w:rsidTr="00C22349">
        <w:trPr>
          <w:jc w:val="center"/>
        </w:trPr>
        <w:tc>
          <w:tcPr>
            <w:tcW w:w="2312" w:type="pct"/>
            <w:tcBorders>
              <w:top w:val="nil"/>
              <w:left w:val="nil"/>
              <w:bottom w:val="nil"/>
              <w:right w:val="nil"/>
            </w:tcBorders>
          </w:tcPr>
          <w:p w14:paraId="530B9D16" w14:textId="77777777" w:rsidR="00A2569C" w:rsidRPr="00AD55AA" w:rsidRDefault="00A2569C" w:rsidP="00A2569C">
            <w:pPr>
              <w:widowControl w:val="0"/>
              <w:autoSpaceDE w:val="0"/>
              <w:autoSpaceDN w:val="0"/>
              <w:adjustRightInd w:val="0"/>
              <w:rPr>
                <w:sz w:val="22"/>
                <w:szCs w:val="22"/>
              </w:rPr>
            </w:pPr>
          </w:p>
        </w:tc>
        <w:tc>
          <w:tcPr>
            <w:tcW w:w="178" w:type="pct"/>
            <w:tcBorders>
              <w:top w:val="nil"/>
              <w:left w:val="nil"/>
              <w:bottom w:val="nil"/>
              <w:right w:val="nil"/>
            </w:tcBorders>
          </w:tcPr>
          <w:p w14:paraId="7F9641B6" w14:textId="2DCA956A"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4263D276" w14:textId="281E4F07"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0A8DCFB6" w14:textId="434F1854" w:rsidR="00A2569C" w:rsidRPr="00AD55AA" w:rsidRDefault="00A2569C" w:rsidP="00A2569C">
            <w:pPr>
              <w:widowControl w:val="0"/>
              <w:autoSpaceDE w:val="0"/>
              <w:autoSpaceDN w:val="0"/>
              <w:adjustRightInd w:val="0"/>
              <w:jc w:val="center"/>
              <w:rPr>
                <w:sz w:val="22"/>
                <w:szCs w:val="22"/>
              </w:rPr>
            </w:pPr>
            <w:r w:rsidRPr="00036E10">
              <w:rPr>
                <w:sz w:val="22"/>
                <w:szCs w:val="22"/>
              </w:rPr>
              <w:t>(4.77)</w:t>
            </w:r>
          </w:p>
        </w:tc>
        <w:tc>
          <w:tcPr>
            <w:tcW w:w="1165" w:type="pct"/>
            <w:tcBorders>
              <w:top w:val="nil"/>
              <w:left w:val="nil"/>
              <w:bottom w:val="nil"/>
              <w:right w:val="nil"/>
            </w:tcBorders>
          </w:tcPr>
          <w:p w14:paraId="7D664098" w14:textId="5EC7485E" w:rsidR="00A2569C" w:rsidRPr="00AD55AA" w:rsidRDefault="00A2569C" w:rsidP="00A2569C">
            <w:pPr>
              <w:widowControl w:val="0"/>
              <w:autoSpaceDE w:val="0"/>
              <w:autoSpaceDN w:val="0"/>
              <w:adjustRightInd w:val="0"/>
              <w:jc w:val="center"/>
              <w:rPr>
                <w:sz w:val="22"/>
                <w:szCs w:val="22"/>
              </w:rPr>
            </w:pPr>
            <w:r w:rsidRPr="00036E10">
              <w:rPr>
                <w:sz w:val="22"/>
                <w:szCs w:val="22"/>
              </w:rPr>
              <w:t>(6.68)</w:t>
            </w:r>
          </w:p>
        </w:tc>
      </w:tr>
      <w:tr w:rsidR="00A2569C" w:rsidRPr="00AD55AA" w14:paraId="4F1AC54A" w14:textId="77777777" w:rsidTr="00C22349">
        <w:trPr>
          <w:jc w:val="center"/>
        </w:trPr>
        <w:tc>
          <w:tcPr>
            <w:tcW w:w="2312" w:type="pct"/>
            <w:tcBorders>
              <w:top w:val="nil"/>
              <w:left w:val="nil"/>
              <w:bottom w:val="nil"/>
              <w:right w:val="nil"/>
            </w:tcBorders>
          </w:tcPr>
          <w:p w14:paraId="7AD23919" w14:textId="77777777" w:rsidR="00A2569C" w:rsidRPr="00AD55AA" w:rsidRDefault="00A2569C" w:rsidP="00A2569C">
            <w:pPr>
              <w:widowControl w:val="0"/>
              <w:autoSpaceDE w:val="0"/>
              <w:autoSpaceDN w:val="0"/>
              <w:adjustRightInd w:val="0"/>
              <w:rPr>
                <w:sz w:val="22"/>
                <w:szCs w:val="22"/>
              </w:rPr>
            </w:pPr>
            <w:r w:rsidRPr="00AD55AA">
              <w:rPr>
                <w:sz w:val="22"/>
                <w:szCs w:val="22"/>
              </w:rPr>
              <w:t>Constant</w:t>
            </w:r>
          </w:p>
        </w:tc>
        <w:tc>
          <w:tcPr>
            <w:tcW w:w="178" w:type="pct"/>
            <w:tcBorders>
              <w:top w:val="nil"/>
              <w:left w:val="nil"/>
              <w:bottom w:val="nil"/>
              <w:right w:val="nil"/>
            </w:tcBorders>
          </w:tcPr>
          <w:p w14:paraId="6DE56093" w14:textId="62AE689D"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13B6E835" w14:textId="4FD2BD21"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6AF6F605" w14:textId="39DAEB21" w:rsidR="00A2569C" w:rsidRPr="00AD55AA" w:rsidRDefault="00A2569C" w:rsidP="00A2569C">
            <w:pPr>
              <w:widowControl w:val="0"/>
              <w:autoSpaceDE w:val="0"/>
              <w:autoSpaceDN w:val="0"/>
              <w:adjustRightInd w:val="0"/>
              <w:jc w:val="center"/>
              <w:rPr>
                <w:sz w:val="22"/>
                <w:szCs w:val="22"/>
              </w:rPr>
            </w:pPr>
            <w:r w:rsidRPr="00036E10">
              <w:rPr>
                <w:sz w:val="22"/>
                <w:szCs w:val="22"/>
              </w:rPr>
              <w:t>1.020***</w:t>
            </w:r>
          </w:p>
        </w:tc>
        <w:tc>
          <w:tcPr>
            <w:tcW w:w="1165" w:type="pct"/>
            <w:tcBorders>
              <w:top w:val="nil"/>
              <w:left w:val="nil"/>
              <w:bottom w:val="nil"/>
              <w:right w:val="nil"/>
            </w:tcBorders>
          </w:tcPr>
          <w:p w14:paraId="1F490392" w14:textId="758B9FAB" w:rsidR="00A2569C" w:rsidRPr="00AD55AA" w:rsidRDefault="00A2569C" w:rsidP="00A2569C">
            <w:pPr>
              <w:widowControl w:val="0"/>
              <w:autoSpaceDE w:val="0"/>
              <w:autoSpaceDN w:val="0"/>
              <w:adjustRightInd w:val="0"/>
              <w:jc w:val="center"/>
              <w:rPr>
                <w:sz w:val="22"/>
                <w:szCs w:val="22"/>
              </w:rPr>
            </w:pPr>
            <w:r w:rsidRPr="00036E10">
              <w:rPr>
                <w:sz w:val="22"/>
                <w:szCs w:val="22"/>
              </w:rPr>
              <w:t>1.286***</w:t>
            </w:r>
          </w:p>
        </w:tc>
      </w:tr>
      <w:tr w:rsidR="00A2569C" w:rsidRPr="00AD55AA" w14:paraId="403F3D45" w14:textId="77777777" w:rsidTr="00C22349">
        <w:trPr>
          <w:jc w:val="center"/>
        </w:trPr>
        <w:tc>
          <w:tcPr>
            <w:tcW w:w="2312" w:type="pct"/>
            <w:tcBorders>
              <w:top w:val="nil"/>
              <w:left w:val="nil"/>
              <w:bottom w:val="nil"/>
              <w:right w:val="nil"/>
            </w:tcBorders>
          </w:tcPr>
          <w:p w14:paraId="510F8C23" w14:textId="77777777" w:rsidR="00A2569C" w:rsidRPr="00AD55AA" w:rsidRDefault="00A2569C" w:rsidP="00A2569C">
            <w:pPr>
              <w:widowControl w:val="0"/>
              <w:autoSpaceDE w:val="0"/>
              <w:autoSpaceDN w:val="0"/>
              <w:adjustRightInd w:val="0"/>
              <w:rPr>
                <w:sz w:val="22"/>
                <w:szCs w:val="22"/>
              </w:rPr>
            </w:pPr>
          </w:p>
        </w:tc>
        <w:tc>
          <w:tcPr>
            <w:tcW w:w="178" w:type="pct"/>
            <w:tcBorders>
              <w:top w:val="nil"/>
              <w:left w:val="nil"/>
              <w:bottom w:val="nil"/>
              <w:right w:val="nil"/>
            </w:tcBorders>
          </w:tcPr>
          <w:p w14:paraId="5C7FF5E7" w14:textId="34655F26"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nil"/>
              <w:right w:val="nil"/>
            </w:tcBorders>
          </w:tcPr>
          <w:p w14:paraId="34097AEE" w14:textId="57F02FC4"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nil"/>
              <w:right w:val="nil"/>
            </w:tcBorders>
          </w:tcPr>
          <w:p w14:paraId="6ABDD865" w14:textId="32ADC6DE" w:rsidR="00A2569C" w:rsidRPr="00AD55AA" w:rsidRDefault="00A2569C" w:rsidP="00A2569C">
            <w:pPr>
              <w:widowControl w:val="0"/>
              <w:autoSpaceDE w:val="0"/>
              <w:autoSpaceDN w:val="0"/>
              <w:adjustRightInd w:val="0"/>
              <w:jc w:val="center"/>
              <w:rPr>
                <w:sz w:val="22"/>
                <w:szCs w:val="22"/>
              </w:rPr>
            </w:pPr>
            <w:r w:rsidRPr="00036E10">
              <w:rPr>
                <w:sz w:val="22"/>
                <w:szCs w:val="22"/>
              </w:rPr>
              <w:t>(7.27)</w:t>
            </w:r>
          </w:p>
        </w:tc>
        <w:tc>
          <w:tcPr>
            <w:tcW w:w="1165" w:type="pct"/>
            <w:tcBorders>
              <w:top w:val="nil"/>
              <w:left w:val="nil"/>
              <w:bottom w:val="nil"/>
              <w:right w:val="nil"/>
            </w:tcBorders>
          </w:tcPr>
          <w:p w14:paraId="10239607" w14:textId="21A29837" w:rsidR="00A2569C" w:rsidRPr="00AD55AA" w:rsidRDefault="00A2569C" w:rsidP="00A2569C">
            <w:pPr>
              <w:widowControl w:val="0"/>
              <w:autoSpaceDE w:val="0"/>
              <w:autoSpaceDN w:val="0"/>
              <w:adjustRightInd w:val="0"/>
              <w:jc w:val="center"/>
              <w:rPr>
                <w:sz w:val="22"/>
                <w:szCs w:val="22"/>
              </w:rPr>
            </w:pPr>
            <w:r w:rsidRPr="00036E10">
              <w:rPr>
                <w:sz w:val="22"/>
                <w:szCs w:val="22"/>
              </w:rPr>
              <w:t>(12.62)</w:t>
            </w:r>
          </w:p>
        </w:tc>
      </w:tr>
      <w:tr w:rsidR="00452B16" w:rsidRPr="00AD55AA" w14:paraId="3A2DA531" w14:textId="77777777" w:rsidTr="00C22349">
        <w:trPr>
          <w:jc w:val="center"/>
        </w:trPr>
        <w:tc>
          <w:tcPr>
            <w:tcW w:w="2312" w:type="pct"/>
            <w:tcBorders>
              <w:top w:val="nil"/>
              <w:left w:val="nil"/>
              <w:bottom w:val="nil"/>
              <w:right w:val="nil"/>
            </w:tcBorders>
          </w:tcPr>
          <w:p w14:paraId="551E58C8" w14:textId="77777777" w:rsidR="00452B16" w:rsidRPr="00AD55AA" w:rsidRDefault="00452B16" w:rsidP="00452B16">
            <w:pPr>
              <w:widowControl w:val="0"/>
              <w:autoSpaceDE w:val="0"/>
              <w:autoSpaceDN w:val="0"/>
              <w:adjustRightInd w:val="0"/>
              <w:rPr>
                <w:sz w:val="22"/>
                <w:szCs w:val="22"/>
              </w:rPr>
            </w:pPr>
          </w:p>
        </w:tc>
        <w:tc>
          <w:tcPr>
            <w:tcW w:w="178" w:type="pct"/>
            <w:tcBorders>
              <w:top w:val="nil"/>
              <w:left w:val="nil"/>
              <w:bottom w:val="nil"/>
              <w:right w:val="nil"/>
            </w:tcBorders>
          </w:tcPr>
          <w:p w14:paraId="0840CCE6" w14:textId="77777777" w:rsidR="00452B16" w:rsidRPr="00AD55AA" w:rsidRDefault="00452B16" w:rsidP="00452B16">
            <w:pPr>
              <w:widowControl w:val="0"/>
              <w:autoSpaceDE w:val="0"/>
              <w:autoSpaceDN w:val="0"/>
              <w:adjustRightInd w:val="0"/>
              <w:jc w:val="center"/>
              <w:rPr>
                <w:sz w:val="22"/>
                <w:szCs w:val="22"/>
              </w:rPr>
            </w:pPr>
          </w:p>
        </w:tc>
        <w:tc>
          <w:tcPr>
            <w:tcW w:w="179" w:type="pct"/>
            <w:tcBorders>
              <w:top w:val="nil"/>
              <w:left w:val="nil"/>
              <w:bottom w:val="nil"/>
              <w:right w:val="nil"/>
            </w:tcBorders>
          </w:tcPr>
          <w:p w14:paraId="390137AC" w14:textId="77777777" w:rsidR="00452B16" w:rsidRPr="00AD55AA" w:rsidRDefault="00452B16" w:rsidP="00452B16">
            <w:pPr>
              <w:widowControl w:val="0"/>
              <w:autoSpaceDE w:val="0"/>
              <w:autoSpaceDN w:val="0"/>
              <w:adjustRightInd w:val="0"/>
              <w:jc w:val="center"/>
              <w:rPr>
                <w:sz w:val="22"/>
                <w:szCs w:val="22"/>
              </w:rPr>
            </w:pPr>
          </w:p>
        </w:tc>
        <w:tc>
          <w:tcPr>
            <w:tcW w:w="1166" w:type="pct"/>
            <w:tcBorders>
              <w:top w:val="nil"/>
              <w:left w:val="nil"/>
              <w:bottom w:val="nil"/>
              <w:right w:val="nil"/>
            </w:tcBorders>
          </w:tcPr>
          <w:p w14:paraId="7EC18A16" w14:textId="77777777" w:rsidR="00452B16" w:rsidRPr="00AD55AA" w:rsidRDefault="00452B16" w:rsidP="00452B16">
            <w:pPr>
              <w:widowControl w:val="0"/>
              <w:autoSpaceDE w:val="0"/>
              <w:autoSpaceDN w:val="0"/>
              <w:adjustRightInd w:val="0"/>
              <w:jc w:val="center"/>
              <w:rPr>
                <w:sz w:val="22"/>
                <w:szCs w:val="22"/>
              </w:rPr>
            </w:pPr>
          </w:p>
        </w:tc>
        <w:tc>
          <w:tcPr>
            <w:tcW w:w="1165" w:type="pct"/>
            <w:tcBorders>
              <w:top w:val="nil"/>
              <w:left w:val="nil"/>
              <w:bottom w:val="nil"/>
              <w:right w:val="nil"/>
            </w:tcBorders>
          </w:tcPr>
          <w:p w14:paraId="61DB6E91" w14:textId="77777777" w:rsidR="00452B16" w:rsidRPr="00AD55AA" w:rsidRDefault="00452B16" w:rsidP="00452B16">
            <w:pPr>
              <w:widowControl w:val="0"/>
              <w:autoSpaceDE w:val="0"/>
              <w:autoSpaceDN w:val="0"/>
              <w:adjustRightInd w:val="0"/>
              <w:jc w:val="center"/>
              <w:rPr>
                <w:sz w:val="22"/>
                <w:szCs w:val="22"/>
              </w:rPr>
            </w:pPr>
          </w:p>
        </w:tc>
      </w:tr>
      <w:tr w:rsidR="00452B16" w:rsidRPr="00AD55AA" w14:paraId="27DD05E4" w14:textId="77777777" w:rsidTr="00C22349">
        <w:trPr>
          <w:jc w:val="center"/>
        </w:trPr>
        <w:tc>
          <w:tcPr>
            <w:tcW w:w="2312" w:type="pct"/>
            <w:tcBorders>
              <w:top w:val="nil"/>
              <w:left w:val="nil"/>
              <w:bottom w:val="nil"/>
              <w:right w:val="nil"/>
            </w:tcBorders>
          </w:tcPr>
          <w:p w14:paraId="637E28C0" w14:textId="049FFECB" w:rsidR="00452B16" w:rsidRPr="00AD55AA" w:rsidRDefault="00452B16" w:rsidP="00452B16">
            <w:pPr>
              <w:widowControl w:val="0"/>
              <w:autoSpaceDE w:val="0"/>
              <w:autoSpaceDN w:val="0"/>
              <w:adjustRightInd w:val="0"/>
              <w:rPr>
                <w:sz w:val="22"/>
                <w:szCs w:val="22"/>
              </w:rPr>
            </w:pPr>
            <w:r w:rsidRPr="00AD55AA">
              <w:rPr>
                <w:sz w:val="22"/>
                <w:szCs w:val="22"/>
              </w:rPr>
              <w:t>Firm fixed effects</w:t>
            </w:r>
          </w:p>
        </w:tc>
        <w:tc>
          <w:tcPr>
            <w:tcW w:w="178" w:type="pct"/>
            <w:tcBorders>
              <w:top w:val="nil"/>
              <w:left w:val="nil"/>
              <w:bottom w:val="nil"/>
              <w:right w:val="nil"/>
            </w:tcBorders>
          </w:tcPr>
          <w:p w14:paraId="79EE38AB" w14:textId="0DD9DAA2" w:rsidR="00452B16" w:rsidRPr="00AD55AA" w:rsidRDefault="00452B16" w:rsidP="00452B16">
            <w:pPr>
              <w:widowControl w:val="0"/>
              <w:autoSpaceDE w:val="0"/>
              <w:autoSpaceDN w:val="0"/>
              <w:adjustRightInd w:val="0"/>
              <w:jc w:val="center"/>
              <w:rPr>
                <w:sz w:val="22"/>
                <w:szCs w:val="22"/>
              </w:rPr>
            </w:pPr>
          </w:p>
        </w:tc>
        <w:tc>
          <w:tcPr>
            <w:tcW w:w="179" w:type="pct"/>
            <w:tcBorders>
              <w:top w:val="nil"/>
              <w:left w:val="nil"/>
              <w:bottom w:val="nil"/>
              <w:right w:val="nil"/>
            </w:tcBorders>
          </w:tcPr>
          <w:p w14:paraId="4301000B" w14:textId="300012B1" w:rsidR="00452B16" w:rsidRPr="00AD55AA" w:rsidRDefault="00452B16" w:rsidP="00452B16">
            <w:pPr>
              <w:widowControl w:val="0"/>
              <w:autoSpaceDE w:val="0"/>
              <w:autoSpaceDN w:val="0"/>
              <w:adjustRightInd w:val="0"/>
              <w:jc w:val="center"/>
              <w:rPr>
                <w:sz w:val="22"/>
                <w:szCs w:val="22"/>
              </w:rPr>
            </w:pPr>
          </w:p>
        </w:tc>
        <w:tc>
          <w:tcPr>
            <w:tcW w:w="1166" w:type="pct"/>
            <w:tcBorders>
              <w:top w:val="nil"/>
              <w:left w:val="nil"/>
              <w:bottom w:val="nil"/>
              <w:right w:val="nil"/>
            </w:tcBorders>
          </w:tcPr>
          <w:p w14:paraId="186B6CA8" w14:textId="5F5FF71A" w:rsidR="00452B16" w:rsidRPr="00AD55AA" w:rsidRDefault="00452B16" w:rsidP="00452B16">
            <w:pPr>
              <w:widowControl w:val="0"/>
              <w:autoSpaceDE w:val="0"/>
              <w:autoSpaceDN w:val="0"/>
              <w:adjustRightInd w:val="0"/>
              <w:jc w:val="center"/>
              <w:rPr>
                <w:sz w:val="22"/>
                <w:szCs w:val="22"/>
              </w:rPr>
            </w:pPr>
            <w:r w:rsidRPr="00AD55AA">
              <w:rPr>
                <w:sz w:val="22"/>
                <w:szCs w:val="22"/>
              </w:rPr>
              <w:t>Yes</w:t>
            </w:r>
          </w:p>
        </w:tc>
        <w:tc>
          <w:tcPr>
            <w:tcW w:w="1165" w:type="pct"/>
            <w:tcBorders>
              <w:top w:val="nil"/>
              <w:left w:val="nil"/>
              <w:bottom w:val="nil"/>
              <w:right w:val="nil"/>
            </w:tcBorders>
          </w:tcPr>
          <w:p w14:paraId="6C342785" w14:textId="77777777" w:rsidR="00452B16" w:rsidRPr="00AD55AA" w:rsidRDefault="00452B16" w:rsidP="00452B16">
            <w:pPr>
              <w:widowControl w:val="0"/>
              <w:autoSpaceDE w:val="0"/>
              <w:autoSpaceDN w:val="0"/>
              <w:adjustRightInd w:val="0"/>
              <w:jc w:val="center"/>
              <w:rPr>
                <w:sz w:val="22"/>
                <w:szCs w:val="22"/>
              </w:rPr>
            </w:pPr>
            <w:r w:rsidRPr="00AD55AA">
              <w:rPr>
                <w:sz w:val="22"/>
                <w:szCs w:val="22"/>
              </w:rPr>
              <w:t>Yes</w:t>
            </w:r>
          </w:p>
        </w:tc>
      </w:tr>
      <w:tr w:rsidR="00452B16" w:rsidRPr="00AD55AA" w14:paraId="446930AC" w14:textId="77777777" w:rsidTr="00C22349">
        <w:trPr>
          <w:jc w:val="center"/>
        </w:trPr>
        <w:tc>
          <w:tcPr>
            <w:tcW w:w="2312" w:type="pct"/>
            <w:tcBorders>
              <w:top w:val="nil"/>
              <w:left w:val="nil"/>
              <w:bottom w:val="nil"/>
              <w:right w:val="nil"/>
            </w:tcBorders>
          </w:tcPr>
          <w:p w14:paraId="6537B6F2" w14:textId="239200F7" w:rsidR="00452B16" w:rsidRPr="00AD55AA" w:rsidRDefault="00452B16" w:rsidP="00452B16">
            <w:pPr>
              <w:widowControl w:val="0"/>
              <w:autoSpaceDE w:val="0"/>
              <w:autoSpaceDN w:val="0"/>
              <w:adjustRightInd w:val="0"/>
              <w:rPr>
                <w:sz w:val="22"/>
                <w:szCs w:val="22"/>
              </w:rPr>
            </w:pPr>
            <w:r w:rsidRPr="00AD55AA">
              <w:rPr>
                <w:sz w:val="22"/>
                <w:szCs w:val="22"/>
              </w:rPr>
              <w:t>Year fixed effects</w:t>
            </w:r>
          </w:p>
        </w:tc>
        <w:tc>
          <w:tcPr>
            <w:tcW w:w="178" w:type="pct"/>
            <w:tcBorders>
              <w:top w:val="nil"/>
              <w:left w:val="nil"/>
              <w:bottom w:val="nil"/>
              <w:right w:val="nil"/>
            </w:tcBorders>
          </w:tcPr>
          <w:p w14:paraId="257247D2" w14:textId="51B657C5" w:rsidR="00452B16" w:rsidRPr="00AD55AA" w:rsidRDefault="00452B16" w:rsidP="00452B16">
            <w:pPr>
              <w:widowControl w:val="0"/>
              <w:autoSpaceDE w:val="0"/>
              <w:autoSpaceDN w:val="0"/>
              <w:adjustRightInd w:val="0"/>
              <w:jc w:val="center"/>
              <w:rPr>
                <w:sz w:val="22"/>
                <w:szCs w:val="22"/>
              </w:rPr>
            </w:pPr>
          </w:p>
        </w:tc>
        <w:tc>
          <w:tcPr>
            <w:tcW w:w="179" w:type="pct"/>
            <w:tcBorders>
              <w:top w:val="nil"/>
              <w:left w:val="nil"/>
              <w:bottom w:val="nil"/>
              <w:right w:val="nil"/>
            </w:tcBorders>
          </w:tcPr>
          <w:p w14:paraId="2C39F7F7" w14:textId="79A53384" w:rsidR="00452B16" w:rsidRPr="00AD55AA" w:rsidRDefault="00452B16" w:rsidP="00452B16">
            <w:pPr>
              <w:widowControl w:val="0"/>
              <w:autoSpaceDE w:val="0"/>
              <w:autoSpaceDN w:val="0"/>
              <w:adjustRightInd w:val="0"/>
              <w:jc w:val="center"/>
              <w:rPr>
                <w:sz w:val="22"/>
                <w:szCs w:val="22"/>
              </w:rPr>
            </w:pPr>
          </w:p>
        </w:tc>
        <w:tc>
          <w:tcPr>
            <w:tcW w:w="1166" w:type="pct"/>
            <w:tcBorders>
              <w:top w:val="nil"/>
              <w:left w:val="nil"/>
              <w:bottom w:val="nil"/>
              <w:right w:val="nil"/>
            </w:tcBorders>
          </w:tcPr>
          <w:p w14:paraId="46EA8CCE" w14:textId="7F979255" w:rsidR="00452B16" w:rsidRPr="00AD55AA" w:rsidRDefault="00452B16" w:rsidP="00452B16">
            <w:pPr>
              <w:widowControl w:val="0"/>
              <w:autoSpaceDE w:val="0"/>
              <w:autoSpaceDN w:val="0"/>
              <w:adjustRightInd w:val="0"/>
              <w:jc w:val="center"/>
              <w:rPr>
                <w:sz w:val="22"/>
                <w:szCs w:val="22"/>
              </w:rPr>
            </w:pPr>
            <w:r w:rsidRPr="00AD55AA">
              <w:rPr>
                <w:sz w:val="22"/>
                <w:szCs w:val="22"/>
              </w:rPr>
              <w:t>Yes</w:t>
            </w:r>
          </w:p>
        </w:tc>
        <w:tc>
          <w:tcPr>
            <w:tcW w:w="1165" w:type="pct"/>
            <w:tcBorders>
              <w:top w:val="nil"/>
              <w:left w:val="nil"/>
              <w:bottom w:val="nil"/>
              <w:right w:val="nil"/>
            </w:tcBorders>
          </w:tcPr>
          <w:p w14:paraId="2F289F04" w14:textId="77777777" w:rsidR="00452B16" w:rsidRPr="00AD55AA" w:rsidRDefault="00452B16" w:rsidP="00452B16">
            <w:pPr>
              <w:widowControl w:val="0"/>
              <w:autoSpaceDE w:val="0"/>
              <w:autoSpaceDN w:val="0"/>
              <w:adjustRightInd w:val="0"/>
              <w:jc w:val="center"/>
              <w:rPr>
                <w:sz w:val="22"/>
                <w:szCs w:val="22"/>
              </w:rPr>
            </w:pPr>
            <w:r w:rsidRPr="00AD55AA">
              <w:rPr>
                <w:sz w:val="22"/>
                <w:szCs w:val="22"/>
              </w:rPr>
              <w:t>Yes</w:t>
            </w:r>
          </w:p>
        </w:tc>
      </w:tr>
      <w:tr w:rsidR="00452B16" w:rsidRPr="00AD55AA" w14:paraId="4018F9FC" w14:textId="77777777" w:rsidTr="00AE405B">
        <w:trPr>
          <w:jc w:val="center"/>
        </w:trPr>
        <w:tc>
          <w:tcPr>
            <w:tcW w:w="2312" w:type="pct"/>
            <w:tcBorders>
              <w:top w:val="nil"/>
              <w:left w:val="nil"/>
              <w:bottom w:val="nil"/>
              <w:right w:val="nil"/>
            </w:tcBorders>
          </w:tcPr>
          <w:p w14:paraId="127D169F" w14:textId="77777777" w:rsidR="00452B16" w:rsidRPr="00AD55AA" w:rsidRDefault="00452B16" w:rsidP="00452B16">
            <w:pPr>
              <w:widowControl w:val="0"/>
              <w:autoSpaceDE w:val="0"/>
              <w:autoSpaceDN w:val="0"/>
              <w:adjustRightInd w:val="0"/>
              <w:rPr>
                <w:sz w:val="22"/>
                <w:szCs w:val="22"/>
              </w:rPr>
            </w:pPr>
            <w:r w:rsidRPr="00AD55AA">
              <w:rPr>
                <w:sz w:val="22"/>
                <w:szCs w:val="22"/>
              </w:rPr>
              <w:t>Test Low FDI = High FDI</w:t>
            </w:r>
          </w:p>
        </w:tc>
        <w:tc>
          <w:tcPr>
            <w:tcW w:w="357" w:type="pct"/>
            <w:gridSpan w:val="2"/>
            <w:tcBorders>
              <w:top w:val="nil"/>
              <w:left w:val="nil"/>
              <w:bottom w:val="nil"/>
              <w:right w:val="nil"/>
            </w:tcBorders>
          </w:tcPr>
          <w:p w14:paraId="2B1B63DC" w14:textId="5B52147B" w:rsidR="00452B16" w:rsidRPr="00AD55AA" w:rsidRDefault="00452B16" w:rsidP="00452B16">
            <w:pPr>
              <w:widowControl w:val="0"/>
              <w:autoSpaceDE w:val="0"/>
              <w:autoSpaceDN w:val="0"/>
              <w:adjustRightInd w:val="0"/>
              <w:jc w:val="center"/>
              <w:rPr>
                <w:sz w:val="22"/>
                <w:szCs w:val="22"/>
              </w:rPr>
            </w:pPr>
          </w:p>
        </w:tc>
        <w:tc>
          <w:tcPr>
            <w:tcW w:w="2331" w:type="pct"/>
            <w:gridSpan w:val="2"/>
            <w:tcBorders>
              <w:top w:val="nil"/>
              <w:left w:val="nil"/>
              <w:bottom w:val="nil"/>
              <w:right w:val="nil"/>
            </w:tcBorders>
          </w:tcPr>
          <w:p w14:paraId="32A6B275" w14:textId="6C63E47A" w:rsidR="00452B16" w:rsidRPr="00AD55AA" w:rsidRDefault="00452B16" w:rsidP="00BC3B9E">
            <w:pPr>
              <w:widowControl w:val="0"/>
              <w:autoSpaceDE w:val="0"/>
              <w:autoSpaceDN w:val="0"/>
              <w:adjustRightInd w:val="0"/>
              <w:jc w:val="center"/>
              <w:rPr>
                <w:sz w:val="22"/>
                <w:szCs w:val="22"/>
              </w:rPr>
            </w:pPr>
            <w:r w:rsidRPr="00AD55AA">
              <w:rPr>
                <w:sz w:val="22"/>
                <w:szCs w:val="22"/>
              </w:rPr>
              <w:t>0.</w:t>
            </w:r>
            <w:r w:rsidR="00BC3B9E">
              <w:rPr>
                <w:sz w:val="22"/>
                <w:szCs w:val="22"/>
              </w:rPr>
              <w:t>108</w:t>
            </w:r>
          </w:p>
        </w:tc>
      </w:tr>
      <w:tr w:rsidR="00452B16" w:rsidRPr="00AD55AA" w14:paraId="0728D700" w14:textId="77777777" w:rsidTr="00C22349">
        <w:trPr>
          <w:jc w:val="center"/>
        </w:trPr>
        <w:tc>
          <w:tcPr>
            <w:tcW w:w="2312" w:type="pct"/>
            <w:tcBorders>
              <w:top w:val="nil"/>
              <w:left w:val="nil"/>
              <w:right w:val="nil"/>
            </w:tcBorders>
          </w:tcPr>
          <w:p w14:paraId="193B1D54" w14:textId="77777777" w:rsidR="00452B16" w:rsidRPr="00AD55AA" w:rsidRDefault="00452B16" w:rsidP="00452B16">
            <w:pPr>
              <w:widowControl w:val="0"/>
              <w:autoSpaceDE w:val="0"/>
              <w:autoSpaceDN w:val="0"/>
              <w:adjustRightInd w:val="0"/>
              <w:rPr>
                <w:sz w:val="22"/>
                <w:szCs w:val="22"/>
              </w:rPr>
            </w:pPr>
            <w:r w:rsidRPr="00AD55AA">
              <w:rPr>
                <w:sz w:val="22"/>
                <w:szCs w:val="22"/>
              </w:rPr>
              <w:t>Observations</w:t>
            </w:r>
          </w:p>
        </w:tc>
        <w:tc>
          <w:tcPr>
            <w:tcW w:w="178" w:type="pct"/>
            <w:tcBorders>
              <w:top w:val="nil"/>
              <w:left w:val="nil"/>
              <w:right w:val="nil"/>
            </w:tcBorders>
          </w:tcPr>
          <w:p w14:paraId="0BE0DEC2" w14:textId="5260E27B" w:rsidR="00452B16" w:rsidRPr="00AD55AA" w:rsidRDefault="00452B16" w:rsidP="00452B16">
            <w:pPr>
              <w:widowControl w:val="0"/>
              <w:autoSpaceDE w:val="0"/>
              <w:autoSpaceDN w:val="0"/>
              <w:adjustRightInd w:val="0"/>
              <w:jc w:val="center"/>
              <w:rPr>
                <w:sz w:val="22"/>
                <w:szCs w:val="22"/>
              </w:rPr>
            </w:pPr>
          </w:p>
        </w:tc>
        <w:tc>
          <w:tcPr>
            <w:tcW w:w="179" w:type="pct"/>
            <w:tcBorders>
              <w:top w:val="nil"/>
              <w:left w:val="nil"/>
              <w:right w:val="nil"/>
            </w:tcBorders>
          </w:tcPr>
          <w:p w14:paraId="4CCE77A4" w14:textId="76E88C72" w:rsidR="00452B16" w:rsidRPr="00AD55AA" w:rsidRDefault="00452B16" w:rsidP="00452B16">
            <w:pPr>
              <w:widowControl w:val="0"/>
              <w:autoSpaceDE w:val="0"/>
              <w:autoSpaceDN w:val="0"/>
              <w:adjustRightInd w:val="0"/>
              <w:jc w:val="center"/>
              <w:rPr>
                <w:sz w:val="22"/>
                <w:szCs w:val="22"/>
              </w:rPr>
            </w:pPr>
          </w:p>
        </w:tc>
        <w:tc>
          <w:tcPr>
            <w:tcW w:w="1166" w:type="pct"/>
            <w:tcBorders>
              <w:top w:val="nil"/>
              <w:left w:val="nil"/>
              <w:right w:val="nil"/>
            </w:tcBorders>
          </w:tcPr>
          <w:p w14:paraId="27D0AD24" w14:textId="74D5CAAD" w:rsidR="00452B16" w:rsidRPr="00AD55AA" w:rsidRDefault="00452B16" w:rsidP="00452B16">
            <w:pPr>
              <w:widowControl w:val="0"/>
              <w:autoSpaceDE w:val="0"/>
              <w:autoSpaceDN w:val="0"/>
              <w:adjustRightInd w:val="0"/>
              <w:jc w:val="center"/>
              <w:rPr>
                <w:sz w:val="22"/>
                <w:szCs w:val="22"/>
              </w:rPr>
            </w:pPr>
            <w:r w:rsidRPr="00AD55AA">
              <w:rPr>
                <w:sz w:val="22"/>
                <w:szCs w:val="22"/>
              </w:rPr>
              <w:t>14,360</w:t>
            </w:r>
          </w:p>
        </w:tc>
        <w:tc>
          <w:tcPr>
            <w:tcW w:w="1165" w:type="pct"/>
            <w:tcBorders>
              <w:top w:val="nil"/>
              <w:left w:val="nil"/>
              <w:right w:val="nil"/>
            </w:tcBorders>
          </w:tcPr>
          <w:p w14:paraId="0B8EFA66" w14:textId="77777777" w:rsidR="00452B16" w:rsidRPr="00AD55AA" w:rsidRDefault="00452B16" w:rsidP="00452B16">
            <w:pPr>
              <w:widowControl w:val="0"/>
              <w:autoSpaceDE w:val="0"/>
              <w:autoSpaceDN w:val="0"/>
              <w:adjustRightInd w:val="0"/>
              <w:jc w:val="center"/>
              <w:rPr>
                <w:sz w:val="22"/>
                <w:szCs w:val="22"/>
              </w:rPr>
            </w:pPr>
            <w:r w:rsidRPr="00AD55AA">
              <w:rPr>
                <w:sz w:val="22"/>
                <w:szCs w:val="22"/>
              </w:rPr>
              <w:t>14,102</w:t>
            </w:r>
          </w:p>
        </w:tc>
      </w:tr>
      <w:tr w:rsidR="00A2569C" w:rsidRPr="00AD55AA" w14:paraId="0AE0FD48" w14:textId="77777777" w:rsidTr="00C22349">
        <w:tblPrEx>
          <w:tblBorders>
            <w:bottom w:val="single" w:sz="6" w:space="0" w:color="auto"/>
          </w:tblBorders>
        </w:tblPrEx>
        <w:trPr>
          <w:jc w:val="center"/>
        </w:trPr>
        <w:tc>
          <w:tcPr>
            <w:tcW w:w="2312" w:type="pct"/>
            <w:tcBorders>
              <w:top w:val="nil"/>
              <w:left w:val="nil"/>
              <w:bottom w:val="single" w:sz="4" w:space="0" w:color="auto"/>
              <w:right w:val="nil"/>
            </w:tcBorders>
          </w:tcPr>
          <w:p w14:paraId="44CCDA77" w14:textId="77777777" w:rsidR="00A2569C" w:rsidRPr="00AD55AA" w:rsidRDefault="00A2569C" w:rsidP="00A2569C">
            <w:pPr>
              <w:widowControl w:val="0"/>
              <w:autoSpaceDE w:val="0"/>
              <w:autoSpaceDN w:val="0"/>
              <w:adjustRightInd w:val="0"/>
              <w:rPr>
                <w:sz w:val="22"/>
                <w:szCs w:val="22"/>
              </w:rPr>
            </w:pPr>
            <w:r w:rsidRPr="00AD55AA">
              <w:rPr>
                <w:sz w:val="22"/>
                <w:szCs w:val="22"/>
              </w:rPr>
              <w:t>Adjusted R-squared</w:t>
            </w:r>
          </w:p>
        </w:tc>
        <w:tc>
          <w:tcPr>
            <w:tcW w:w="178" w:type="pct"/>
            <w:tcBorders>
              <w:top w:val="nil"/>
              <w:left w:val="nil"/>
              <w:bottom w:val="single" w:sz="4" w:space="0" w:color="auto"/>
              <w:right w:val="nil"/>
            </w:tcBorders>
          </w:tcPr>
          <w:p w14:paraId="01E5DB4E" w14:textId="6DA939E2" w:rsidR="00A2569C" w:rsidRPr="00AD55AA" w:rsidRDefault="00A2569C" w:rsidP="00A2569C">
            <w:pPr>
              <w:widowControl w:val="0"/>
              <w:autoSpaceDE w:val="0"/>
              <w:autoSpaceDN w:val="0"/>
              <w:adjustRightInd w:val="0"/>
              <w:jc w:val="center"/>
              <w:rPr>
                <w:sz w:val="22"/>
                <w:szCs w:val="22"/>
              </w:rPr>
            </w:pPr>
          </w:p>
        </w:tc>
        <w:tc>
          <w:tcPr>
            <w:tcW w:w="179" w:type="pct"/>
            <w:tcBorders>
              <w:top w:val="nil"/>
              <w:left w:val="nil"/>
              <w:bottom w:val="single" w:sz="4" w:space="0" w:color="auto"/>
              <w:right w:val="nil"/>
            </w:tcBorders>
          </w:tcPr>
          <w:p w14:paraId="6A1AEB2B" w14:textId="69DD6644" w:rsidR="00A2569C" w:rsidRPr="00AD55AA" w:rsidRDefault="00A2569C" w:rsidP="00A2569C">
            <w:pPr>
              <w:widowControl w:val="0"/>
              <w:autoSpaceDE w:val="0"/>
              <w:autoSpaceDN w:val="0"/>
              <w:adjustRightInd w:val="0"/>
              <w:jc w:val="center"/>
              <w:rPr>
                <w:sz w:val="22"/>
                <w:szCs w:val="22"/>
              </w:rPr>
            </w:pPr>
          </w:p>
        </w:tc>
        <w:tc>
          <w:tcPr>
            <w:tcW w:w="1166" w:type="pct"/>
            <w:tcBorders>
              <w:top w:val="nil"/>
              <w:left w:val="nil"/>
              <w:bottom w:val="single" w:sz="4" w:space="0" w:color="auto"/>
              <w:right w:val="nil"/>
            </w:tcBorders>
          </w:tcPr>
          <w:p w14:paraId="25BCB46E" w14:textId="45E08463" w:rsidR="00A2569C" w:rsidRPr="00AD55AA" w:rsidRDefault="00A2569C" w:rsidP="00A2569C">
            <w:pPr>
              <w:widowControl w:val="0"/>
              <w:autoSpaceDE w:val="0"/>
              <w:autoSpaceDN w:val="0"/>
              <w:adjustRightInd w:val="0"/>
              <w:jc w:val="center"/>
              <w:rPr>
                <w:sz w:val="22"/>
                <w:szCs w:val="22"/>
              </w:rPr>
            </w:pPr>
            <w:r w:rsidRPr="00036E10">
              <w:rPr>
                <w:sz w:val="22"/>
                <w:szCs w:val="22"/>
              </w:rPr>
              <w:t>0.2213</w:t>
            </w:r>
          </w:p>
        </w:tc>
        <w:tc>
          <w:tcPr>
            <w:tcW w:w="1165" w:type="pct"/>
            <w:tcBorders>
              <w:top w:val="nil"/>
              <w:left w:val="nil"/>
              <w:bottom w:val="single" w:sz="4" w:space="0" w:color="auto"/>
              <w:right w:val="nil"/>
            </w:tcBorders>
          </w:tcPr>
          <w:p w14:paraId="5362A857" w14:textId="2A01523E" w:rsidR="00A2569C" w:rsidRPr="00AD55AA" w:rsidRDefault="00A2569C" w:rsidP="00A2569C">
            <w:pPr>
              <w:widowControl w:val="0"/>
              <w:autoSpaceDE w:val="0"/>
              <w:autoSpaceDN w:val="0"/>
              <w:adjustRightInd w:val="0"/>
              <w:jc w:val="center"/>
              <w:rPr>
                <w:sz w:val="22"/>
                <w:szCs w:val="22"/>
              </w:rPr>
            </w:pPr>
            <w:r w:rsidRPr="00036E10">
              <w:rPr>
                <w:sz w:val="22"/>
                <w:szCs w:val="22"/>
              </w:rPr>
              <w:t>0.1552</w:t>
            </w:r>
          </w:p>
        </w:tc>
      </w:tr>
      <w:tr w:rsidR="00452B16" w:rsidRPr="00AD55AA" w14:paraId="15E79B59" w14:textId="77777777" w:rsidTr="00C22349">
        <w:tblPrEx>
          <w:tblBorders>
            <w:bottom w:val="single" w:sz="6" w:space="0" w:color="auto"/>
          </w:tblBorders>
        </w:tblPrEx>
        <w:trPr>
          <w:jc w:val="center"/>
        </w:trPr>
        <w:tc>
          <w:tcPr>
            <w:tcW w:w="2312" w:type="pct"/>
            <w:tcBorders>
              <w:top w:val="single" w:sz="4" w:space="0" w:color="auto"/>
              <w:left w:val="nil"/>
              <w:bottom w:val="nil"/>
              <w:right w:val="nil"/>
            </w:tcBorders>
          </w:tcPr>
          <w:p w14:paraId="7461674E" w14:textId="77777777" w:rsidR="00452B16" w:rsidRPr="00AD55AA" w:rsidRDefault="00452B16" w:rsidP="00452B16">
            <w:pPr>
              <w:widowControl w:val="0"/>
              <w:autoSpaceDE w:val="0"/>
              <w:autoSpaceDN w:val="0"/>
              <w:adjustRightInd w:val="0"/>
              <w:rPr>
                <w:sz w:val="22"/>
                <w:szCs w:val="22"/>
              </w:rPr>
            </w:pPr>
          </w:p>
        </w:tc>
        <w:tc>
          <w:tcPr>
            <w:tcW w:w="178" w:type="pct"/>
            <w:tcBorders>
              <w:top w:val="single" w:sz="4" w:space="0" w:color="auto"/>
              <w:left w:val="nil"/>
              <w:bottom w:val="nil"/>
              <w:right w:val="nil"/>
            </w:tcBorders>
          </w:tcPr>
          <w:p w14:paraId="57C5055C" w14:textId="77777777" w:rsidR="00452B16" w:rsidRPr="00AD55AA" w:rsidRDefault="00452B16" w:rsidP="00452B16">
            <w:pPr>
              <w:widowControl w:val="0"/>
              <w:autoSpaceDE w:val="0"/>
              <w:autoSpaceDN w:val="0"/>
              <w:adjustRightInd w:val="0"/>
              <w:jc w:val="center"/>
              <w:rPr>
                <w:sz w:val="22"/>
                <w:szCs w:val="22"/>
              </w:rPr>
            </w:pPr>
          </w:p>
        </w:tc>
        <w:tc>
          <w:tcPr>
            <w:tcW w:w="179" w:type="pct"/>
            <w:tcBorders>
              <w:top w:val="single" w:sz="4" w:space="0" w:color="auto"/>
              <w:left w:val="nil"/>
              <w:bottom w:val="nil"/>
              <w:right w:val="nil"/>
            </w:tcBorders>
          </w:tcPr>
          <w:p w14:paraId="3C6B7529" w14:textId="77777777" w:rsidR="00452B16" w:rsidRPr="00AD55AA" w:rsidRDefault="00452B16" w:rsidP="00452B16">
            <w:pPr>
              <w:widowControl w:val="0"/>
              <w:autoSpaceDE w:val="0"/>
              <w:autoSpaceDN w:val="0"/>
              <w:adjustRightInd w:val="0"/>
              <w:jc w:val="center"/>
              <w:rPr>
                <w:sz w:val="22"/>
                <w:szCs w:val="22"/>
              </w:rPr>
            </w:pPr>
          </w:p>
        </w:tc>
        <w:tc>
          <w:tcPr>
            <w:tcW w:w="1166" w:type="pct"/>
            <w:tcBorders>
              <w:top w:val="single" w:sz="4" w:space="0" w:color="auto"/>
              <w:left w:val="nil"/>
              <w:bottom w:val="nil"/>
              <w:right w:val="nil"/>
            </w:tcBorders>
          </w:tcPr>
          <w:p w14:paraId="017A7E77" w14:textId="77777777" w:rsidR="00452B16" w:rsidRPr="00AD55AA" w:rsidRDefault="00452B16" w:rsidP="00452B16">
            <w:pPr>
              <w:widowControl w:val="0"/>
              <w:autoSpaceDE w:val="0"/>
              <w:autoSpaceDN w:val="0"/>
              <w:adjustRightInd w:val="0"/>
              <w:jc w:val="center"/>
              <w:rPr>
                <w:sz w:val="22"/>
                <w:szCs w:val="22"/>
              </w:rPr>
            </w:pPr>
          </w:p>
        </w:tc>
        <w:tc>
          <w:tcPr>
            <w:tcW w:w="1165" w:type="pct"/>
            <w:tcBorders>
              <w:top w:val="single" w:sz="4" w:space="0" w:color="auto"/>
              <w:left w:val="nil"/>
              <w:bottom w:val="nil"/>
              <w:right w:val="nil"/>
            </w:tcBorders>
          </w:tcPr>
          <w:p w14:paraId="5352432B" w14:textId="77777777" w:rsidR="00452B16" w:rsidRPr="00AD55AA" w:rsidRDefault="00452B16" w:rsidP="00452B16">
            <w:pPr>
              <w:widowControl w:val="0"/>
              <w:autoSpaceDE w:val="0"/>
              <w:autoSpaceDN w:val="0"/>
              <w:adjustRightInd w:val="0"/>
              <w:jc w:val="center"/>
              <w:rPr>
                <w:sz w:val="22"/>
                <w:szCs w:val="22"/>
              </w:rPr>
            </w:pPr>
          </w:p>
        </w:tc>
      </w:tr>
      <w:tr w:rsidR="00C22349" w:rsidRPr="00AD55AA" w14:paraId="435FE36B" w14:textId="77777777" w:rsidTr="00C22349">
        <w:tblPrEx>
          <w:tblBorders>
            <w:bottom w:val="single" w:sz="6" w:space="0" w:color="auto"/>
          </w:tblBorders>
        </w:tblPrEx>
        <w:trPr>
          <w:jc w:val="center"/>
        </w:trPr>
        <w:tc>
          <w:tcPr>
            <w:tcW w:w="5000" w:type="pct"/>
            <w:gridSpan w:val="5"/>
            <w:tcBorders>
              <w:top w:val="nil"/>
              <w:left w:val="nil"/>
              <w:bottom w:val="nil"/>
              <w:right w:val="nil"/>
            </w:tcBorders>
          </w:tcPr>
          <w:p w14:paraId="15F3C1D6" w14:textId="35A00D16" w:rsidR="00C22349" w:rsidRPr="00AD55AA" w:rsidRDefault="003E4B42" w:rsidP="00C22349">
            <w:pPr>
              <w:widowControl w:val="0"/>
              <w:autoSpaceDE w:val="0"/>
              <w:autoSpaceDN w:val="0"/>
              <w:adjustRightInd w:val="0"/>
              <w:jc w:val="both"/>
              <w:rPr>
                <w:sz w:val="22"/>
                <w:szCs w:val="22"/>
              </w:rPr>
            </w:pPr>
            <w:r>
              <w:rPr>
                <w:bCs/>
                <w:sz w:val="22"/>
                <w:szCs w:val="22"/>
              </w:rPr>
              <w:t>This</w:t>
            </w:r>
            <w:r w:rsidR="00C22349" w:rsidRPr="003D41AE">
              <w:rPr>
                <w:bCs/>
                <w:sz w:val="22"/>
                <w:szCs w:val="22"/>
              </w:rPr>
              <w:t xml:space="preserve"> table presents </w:t>
            </w:r>
            <w:r w:rsidR="00C22349" w:rsidRPr="00AD55AA">
              <w:rPr>
                <w:sz w:val="22"/>
                <w:szCs w:val="22"/>
              </w:rPr>
              <w:t>the results of the foreign investments analysis. Ob</w:t>
            </w:r>
            <w:r w:rsidR="00C22349">
              <w:rPr>
                <w:sz w:val="22"/>
                <w:szCs w:val="22"/>
              </w:rPr>
              <w:t>servations are assigned to the L</w:t>
            </w:r>
            <w:r w:rsidR="00C22349" w:rsidRPr="00AD55AA">
              <w:rPr>
                <w:sz w:val="22"/>
                <w:szCs w:val="22"/>
              </w:rPr>
              <w:t xml:space="preserve">ow FDI </w:t>
            </w:r>
            <w:r w:rsidR="00C22349">
              <w:rPr>
                <w:sz w:val="22"/>
                <w:szCs w:val="22"/>
              </w:rPr>
              <w:t>and H</w:t>
            </w:r>
            <w:r w:rsidR="00C22349" w:rsidRPr="00AD55AA">
              <w:rPr>
                <w:sz w:val="22"/>
                <w:szCs w:val="22"/>
              </w:rPr>
              <w:t>igh FDI subsamples depending on inward foreign investments</w:t>
            </w:r>
            <w:r w:rsidR="00C22349" w:rsidRPr="00AD55AA">
              <w:rPr>
                <w:i/>
                <w:sz w:val="22"/>
                <w:szCs w:val="22"/>
              </w:rPr>
              <w:t xml:space="preserve">. </w:t>
            </w:r>
            <w:r w:rsidR="00C22349" w:rsidRPr="00AD55AA">
              <w:rPr>
                <w:sz w:val="22"/>
                <w:szCs w:val="22"/>
              </w:rPr>
              <w:t>Test Low FDI = High FDI is a t-test of equality of the coefficients between the subsamples.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5D861403" w14:textId="4D060B7E" w:rsidR="00AA47D1" w:rsidRPr="00AD55AA" w:rsidRDefault="00AA47D1" w:rsidP="00245A4A">
      <w:pPr>
        <w:rPr>
          <w:sz w:val="22"/>
          <w:szCs w:val="22"/>
        </w:rPr>
      </w:pPr>
    </w:p>
    <w:p w14:paraId="7BF3B72A" w14:textId="68EDED77" w:rsidR="00AA47D1" w:rsidRPr="00AD55AA" w:rsidRDefault="00AA47D1">
      <w:pPr>
        <w:spacing w:after="160" w:line="259" w:lineRule="auto"/>
        <w:rPr>
          <w:sz w:val="22"/>
          <w:szCs w:val="22"/>
        </w:rPr>
      </w:pPr>
      <w:r w:rsidRPr="00AD55AA">
        <w:rPr>
          <w:sz w:val="22"/>
          <w:szCs w:val="22"/>
        </w:rPr>
        <w:br w:type="page"/>
      </w:r>
    </w:p>
    <w:p w14:paraId="42EC82D1" w14:textId="0F7BD6E4" w:rsidR="00BB0081" w:rsidRPr="00AD55AA" w:rsidRDefault="00BB0081" w:rsidP="00245A4A">
      <w:pPr>
        <w:rPr>
          <w:sz w:val="22"/>
          <w:szCs w:val="22"/>
        </w:rPr>
      </w:pPr>
    </w:p>
    <w:tbl>
      <w:tblPr>
        <w:tblW w:w="0" w:type="auto"/>
        <w:jc w:val="center"/>
        <w:tblCellMar>
          <w:left w:w="75" w:type="dxa"/>
          <w:right w:w="75" w:type="dxa"/>
        </w:tblCellMar>
        <w:tblLook w:val="0000" w:firstRow="0" w:lastRow="0" w:firstColumn="0" w:lastColumn="0" w:noHBand="0" w:noVBand="0"/>
      </w:tblPr>
      <w:tblGrid>
        <w:gridCol w:w="1944"/>
        <w:gridCol w:w="1299"/>
        <w:gridCol w:w="1645"/>
        <w:gridCol w:w="1299"/>
        <w:gridCol w:w="1299"/>
        <w:gridCol w:w="1581"/>
      </w:tblGrid>
      <w:tr w:rsidR="007D5424" w:rsidRPr="00AD55AA" w14:paraId="41FC27F5" w14:textId="77777777" w:rsidTr="00AB6C46">
        <w:trPr>
          <w:jc w:val="center"/>
        </w:trPr>
        <w:tc>
          <w:tcPr>
            <w:tcW w:w="0" w:type="auto"/>
            <w:tcBorders>
              <w:left w:val="nil"/>
              <w:right w:val="nil"/>
            </w:tcBorders>
          </w:tcPr>
          <w:p w14:paraId="5DBF899F" w14:textId="51AD4A68" w:rsidR="007D5424" w:rsidRPr="00AD55AA" w:rsidRDefault="007D5424" w:rsidP="00AE405B">
            <w:pPr>
              <w:widowControl w:val="0"/>
              <w:autoSpaceDE w:val="0"/>
              <w:autoSpaceDN w:val="0"/>
              <w:adjustRightInd w:val="0"/>
              <w:jc w:val="both"/>
              <w:rPr>
                <w:sz w:val="22"/>
                <w:szCs w:val="22"/>
              </w:rPr>
            </w:pPr>
            <w:r w:rsidRPr="00AD55AA">
              <w:rPr>
                <w:b/>
                <w:sz w:val="22"/>
                <w:szCs w:val="22"/>
              </w:rPr>
              <w:t xml:space="preserve">Table </w:t>
            </w:r>
            <w:r w:rsidR="003E4B42">
              <w:rPr>
                <w:b/>
                <w:sz w:val="22"/>
                <w:szCs w:val="22"/>
              </w:rPr>
              <w:t>11</w:t>
            </w:r>
          </w:p>
        </w:tc>
        <w:tc>
          <w:tcPr>
            <w:tcW w:w="0" w:type="auto"/>
            <w:tcBorders>
              <w:left w:val="nil"/>
              <w:right w:val="nil"/>
            </w:tcBorders>
          </w:tcPr>
          <w:p w14:paraId="180F8184"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25E855E2"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5D338A07"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1D4320F6"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33543EDB" w14:textId="77777777" w:rsidR="007D5424" w:rsidRPr="00AD55AA" w:rsidRDefault="007D5424" w:rsidP="00AB6C46">
            <w:pPr>
              <w:widowControl w:val="0"/>
              <w:autoSpaceDE w:val="0"/>
              <w:autoSpaceDN w:val="0"/>
              <w:adjustRightInd w:val="0"/>
              <w:jc w:val="center"/>
              <w:rPr>
                <w:sz w:val="22"/>
                <w:szCs w:val="22"/>
              </w:rPr>
            </w:pPr>
          </w:p>
        </w:tc>
      </w:tr>
      <w:tr w:rsidR="007D5424" w:rsidRPr="00AD55AA" w14:paraId="67C185BC" w14:textId="77777777" w:rsidTr="00AB6C46">
        <w:trPr>
          <w:jc w:val="center"/>
        </w:trPr>
        <w:tc>
          <w:tcPr>
            <w:tcW w:w="0" w:type="auto"/>
            <w:gridSpan w:val="6"/>
            <w:tcBorders>
              <w:left w:val="nil"/>
              <w:right w:val="nil"/>
            </w:tcBorders>
          </w:tcPr>
          <w:p w14:paraId="0195B807" w14:textId="5EEE57F6" w:rsidR="007D5424" w:rsidRPr="00AD55AA" w:rsidRDefault="00F83901" w:rsidP="00AB6C46">
            <w:pPr>
              <w:widowControl w:val="0"/>
              <w:autoSpaceDE w:val="0"/>
              <w:autoSpaceDN w:val="0"/>
              <w:adjustRightInd w:val="0"/>
              <w:jc w:val="both"/>
              <w:rPr>
                <w:sz w:val="22"/>
                <w:szCs w:val="22"/>
              </w:rPr>
            </w:pPr>
            <w:r>
              <w:rPr>
                <w:b/>
                <w:sz w:val="22"/>
                <w:szCs w:val="22"/>
              </w:rPr>
              <w:t>Additional i</w:t>
            </w:r>
            <w:r w:rsidR="007D5424" w:rsidRPr="00AD55AA">
              <w:rPr>
                <w:b/>
                <w:sz w:val="22"/>
                <w:szCs w:val="22"/>
              </w:rPr>
              <w:t xml:space="preserve">nvestment </w:t>
            </w:r>
            <w:r>
              <w:rPr>
                <w:b/>
                <w:sz w:val="22"/>
                <w:szCs w:val="22"/>
              </w:rPr>
              <w:t>v</w:t>
            </w:r>
            <w:r w:rsidR="003E3E42" w:rsidRPr="00AD55AA">
              <w:rPr>
                <w:b/>
                <w:sz w:val="22"/>
                <w:szCs w:val="22"/>
              </w:rPr>
              <w:t>ariables</w:t>
            </w:r>
          </w:p>
        </w:tc>
      </w:tr>
      <w:tr w:rsidR="007D5424" w:rsidRPr="00AD55AA" w14:paraId="1A5AEB61" w14:textId="77777777" w:rsidTr="00AB6C46">
        <w:trPr>
          <w:jc w:val="center"/>
        </w:trPr>
        <w:tc>
          <w:tcPr>
            <w:tcW w:w="0" w:type="auto"/>
            <w:tcBorders>
              <w:left w:val="nil"/>
              <w:right w:val="nil"/>
            </w:tcBorders>
          </w:tcPr>
          <w:p w14:paraId="00D37671" w14:textId="77777777" w:rsidR="007D5424" w:rsidRPr="00AD55AA" w:rsidRDefault="007D5424" w:rsidP="00AB6C46">
            <w:pPr>
              <w:widowControl w:val="0"/>
              <w:autoSpaceDE w:val="0"/>
              <w:autoSpaceDN w:val="0"/>
              <w:adjustRightInd w:val="0"/>
              <w:rPr>
                <w:sz w:val="22"/>
                <w:szCs w:val="22"/>
              </w:rPr>
            </w:pPr>
          </w:p>
        </w:tc>
        <w:tc>
          <w:tcPr>
            <w:tcW w:w="0" w:type="auto"/>
            <w:tcBorders>
              <w:left w:val="nil"/>
              <w:right w:val="nil"/>
            </w:tcBorders>
          </w:tcPr>
          <w:p w14:paraId="4B737104"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26C3877D"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36318DF8"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2620287B" w14:textId="77777777" w:rsidR="007D5424" w:rsidRPr="00AD55AA" w:rsidRDefault="007D5424" w:rsidP="00AB6C46">
            <w:pPr>
              <w:widowControl w:val="0"/>
              <w:autoSpaceDE w:val="0"/>
              <w:autoSpaceDN w:val="0"/>
              <w:adjustRightInd w:val="0"/>
              <w:jc w:val="center"/>
              <w:rPr>
                <w:sz w:val="22"/>
                <w:szCs w:val="22"/>
              </w:rPr>
            </w:pPr>
          </w:p>
        </w:tc>
        <w:tc>
          <w:tcPr>
            <w:tcW w:w="0" w:type="auto"/>
            <w:tcBorders>
              <w:left w:val="nil"/>
              <w:right w:val="nil"/>
            </w:tcBorders>
          </w:tcPr>
          <w:p w14:paraId="3ABDB1CD" w14:textId="77777777" w:rsidR="007D5424" w:rsidRPr="00AD55AA" w:rsidRDefault="007D5424" w:rsidP="00AB6C46">
            <w:pPr>
              <w:widowControl w:val="0"/>
              <w:autoSpaceDE w:val="0"/>
              <w:autoSpaceDN w:val="0"/>
              <w:adjustRightInd w:val="0"/>
              <w:jc w:val="center"/>
              <w:rPr>
                <w:sz w:val="22"/>
                <w:szCs w:val="22"/>
              </w:rPr>
            </w:pPr>
          </w:p>
        </w:tc>
      </w:tr>
      <w:tr w:rsidR="007D5424" w:rsidRPr="00AD55AA" w14:paraId="3B2CCF76" w14:textId="77777777" w:rsidTr="00AB6C46">
        <w:trPr>
          <w:jc w:val="center"/>
        </w:trPr>
        <w:tc>
          <w:tcPr>
            <w:tcW w:w="0" w:type="auto"/>
            <w:tcBorders>
              <w:top w:val="single" w:sz="4" w:space="0" w:color="auto"/>
              <w:left w:val="nil"/>
              <w:right w:val="nil"/>
            </w:tcBorders>
          </w:tcPr>
          <w:p w14:paraId="2D049CEA" w14:textId="77777777" w:rsidR="007D5424" w:rsidRPr="00AD55AA" w:rsidRDefault="007D5424" w:rsidP="00AB6C46">
            <w:pPr>
              <w:widowControl w:val="0"/>
              <w:autoSpaceDE w:val="0"/>
              <w:autoSpaceDN w:val="0"/>
              <w:adjustRightInd w:val="0"/>
              <w:rPr>
                <w:sz w:val="22"/>
                <w:szCs w:val="22"/>
              </w:rPr>
            </w:pPr>
          </w:p>
        </w:tc>
        <w:tc>
          <w:tcPr>
            <w:tcW w:w="0" w:type="auto"/>
            <w:tcBorders>
              <w:top w:val="single" w:sz="4" w:space="0" w:color="auto"/>
              <w:left w:val="nil"/>
              <w:right w:val="nil"/>
            </w:tcBorders>
          </w:tcPr>
          <w:p w14:paraId="25048B16"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Capex</w:t>
            </w:r>
          </w:p>
        </w:tc>
        <w:tc>
          <w:tcPr>
            <w:tcW w:w="0" w:type="auto"/>
            <w:tcBorders>
              <w:top w:val="single" w:sz="4" w:space="0" w:color="auto"/>
              <w:left w:val="nil"/>
              <w:right w:val="nil"/>
            </w:tcBorders>
          </w:tcPr>
          <w:p w14:paraId="3A5888CF"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Acquisitions</w:t>
            </w:r>
          </w:p>
        </w:tc>
        <w:tc>
          <w:tcPr>
            <w:tcW w:w="0" w:type="auto"/>
            <w:tcBorders>
              <w:top w:val="single" w:sz="4" w:space="0" w:color="auto"/>
              <w:left w:val="nil"/>
              <w:right w:val="nil"/>
            </w:tcBorders>
          </w:tcPr>
          <w:p w14:paraId="7185416A"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R&amp;D</w:t>
            </w:r>
          </w:p>
        </w:tc>
        <w:tc>
          <w:tcPr>
            <w:tcW w:w="0" w:type="auto"/>
            <w:tcBorders>
              <w:top w:val="single" w:sz="4" w:space="0" w:color="auto"/>
              <w:left w:val="nil"/>
              <w:right w:val="nil"/>
            </w:tcBorders>
          </w:tcPr>
          <w:p w14:paraId="202B8602"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R&amp;D</w:t>
            </w:r>
          </w:p>
        </w:tc>
        <w:tc>
          <w:tcPr>
            <w:tcW w:w="0" w:type="auto"/>
            <w:tcBorders>
              <w:top w:val="single" w:sz="4" w:space="0" w:color="auto"/>
              <w:left w:val="nil"/>
              <w:right w:val="nil"/>
            </w:tcBorders>
          </w:tcPr>
          <w:p w14:paraId="40C0B000"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Investments</w:t>
            </w:r>
          </w:p>
        </w:tc>
      </w:tr>
      <w:tr w:rsidR="007D5424" w:rsidRPr="00AD55AA" w14:paraId="624A0E7A" w14:textId="77777777" w:rsidTr="00AB6C46">
        <w:trPr>
          <w:jc w:val="center"/>
        </w:trPr>
        <w:tc>
          <w:tcPr>
            <w:tcW w:w="0" w:type="auto"/>
            <w:tcBorders>
              <w:left w:val="nil"/>
              <w:bottom w:val="single" w:sz="6" w:space="0" w:color="auto"/>
              <w:right w:val="nil"/>
            </w:tcBorders>
          </w:tcPr>
          <w:p w14:paraId="411FA514" w14:textId="77777777" w:rsidR="007D5424" w:rsidRPr="00AD55AA" w:rsidRDefault="007D5424" w:rsidP="00AB6C46">
            <w:pPr>
              <w:widowControl w:val="0"/>
              <w:autoSpaceDE w:val="0"/>
              <w:autoSpaceDN w:val="0"/>
              <w:adjustRightInd w:val="0"/>
              <w:rPr>
                <w:sz w:val="22"/>
                <w:szCs w:val="22"/>
              </w:rPr>
            </w:pPr>
            <w:r w:rsidRPr="00AD55AA">
              <w:rPr>
                <w:sz w:val="22"/>
                <w:szCs w:val="22"/>
              </w:rPr>
              <w:t>Variable:</w:t>
            </w:r>
          </w:p>
        </w:tc>
        <w:tc>
          <w:tcPr>
            <w:tcW w:w="0" w:type="auto"/>
            <w:tcBorders>
              <w:left w:val="nil"/>
              <w:bottom w:val="single" w:sz="6" w:space="0" w:color="auto"/>
              <w:right w:val="nil"/>
            </w:tcBorders>
          </w:tcPr>
          <w:p w14:paraId="760CC77B"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(1)</w:t>
            </w:r>
          </w:p>
        </w:tc>
        <w:tc>
          <w:tcPr>
            <w:tcW w:w="0" w:type="auto"/>
            <w:tcBorders>
              <w:left w:val="nil"/>
              <w:bottom w:val="single" w:sz="6" w:space="0" w:color="auto"/>
              <w:right w:val="nil"/>
            </w:tcBorders>
          </w:tcPr>
          <w:p w14:paraId="634DA401"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(2)</w:t>
            </w:r>
          </w:p>
        </w:tc>
        <w:tc>
          <w:tcPr>
            <w:tcW w:w="0" w:type="auto"/>
            <w:tcBorders>
              <w:left w:val="nil"/>
              <w:bottom w:val="single" w:sz="6" w:space="0" w:color="auto"/>
              <w:right w:val="nil"/>
            </w:tcBorders>
          </w:tcPr>
          <w:p w14:paraId="3499B0FA"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(3)</w:t>
            </w:r>
          </w:p>
        </w:tc>
        <w:tc>
          <w:tcPr>
            <w:tcW w:w="0" w:type="auto"/>
            <w:tcBorders>
              <w:left w:val="nil"/>
              <w:bottom w:val="single" w:sz="6" w:space="0" w:color="auto"/>
              <w:right w:val="nil"/>
            </w:tcBorders>
          </w:tcPr>
          <w:p w14:paraId="07272EE8"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(4)</w:t>
            </w:r>
          </w:p>
        </w:tc>
        <w:tc>
          <w:tcPr>
            <w:tcW w:w="0" w:type="auto"/>
            <w:tcBorders>
              <w:left w:val="nil"/>
              <w:bottom w:val="single" w:sz="6" w:space="0" w:color="auto"/>
              <w:right w:val="nil"/>
            </w:tcBorders>
          </w:tcPr>
          <w:p w14:paraId="053F23B8"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(5)</w:t>
            </w:r>
          </w:p>
        </w:tc>
      </w:tr>
      <w:tr w:rsidR="007D5424" w:rsidRPr="00AD55AA" w14:paraId="2F33F2AD" w14:textId="77777777" w:rsidTr="00AB6C46">
        <w:trPr>
          <w:jc w:val="center"/>
        </w:trPr>
        <w:tc>
          <w:tcPr>
            <w:tcW w:w="0" w:type="auto"/>
            <w:tcBorders>
              <w:top w:val="nil"/>
              <w:left w:val="nil"/>
              <w:bottom w:val="nil"/>
              <w:right w:val="nil"/>
            </w:tcBorders>
          </w:tcPr>
          <w:p w14:paraId="4E1A46D8" w14:textId="77777777" w:rsidR="007D5424" w:rsidRPr="00AD55AA" w:rsidRDefault="007D5424" w:rsidP="00AB6C46">
            <w:pPr>
              <w:widowControl w:val="0"/>
              <w:autoSpaceDE w:val="0"/>
              <w:autoSpaceDN w:val="0"/>
              <w:adjustRightInd w:val="0"/>
              <w:rPr>
                <w:sz w:val="22"/>
                <w:szCs w:val="22"/>
              </w:rPr>
            </w:pPr>
          </w:p>
        </w:tc>
        <w:tc>
          <w:tcPr>
            <w:tcW w:w="0" w:type="auto"/>
            <w:tcBorders>
              <w:top w:val="nil"/>
              <w:left w:val="nil"/>
              <w:bottom w:val="nil"/>
              <w:right w:val="nil"/>
            </w:tcBorders>
          </w:tcPr>
          <w:p w14:paraId="611CB538"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2560FCA3"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14C8C425"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75198B7E"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7009489F" w14:textId="77777777" w:rsidR="007D5424" w:rsidRPr="00AD55AA" w:rsidRDefault="007D5424" w:rsidP="00AB6C46">
            <w:pPr>
              <w:widowControl w:val="0"/>
              <w:autoSpaceDE w:val="0"/>
              <w:autoSpaceDN w:val="0"/>
              <w:adjustRightInd w:val="0"/>
              <w:jc w:val="center"/>
              <w:rPr>
                <w:sz w:val="22"/>
                <w:szCs w:val="22"/>
              </w:rPr>
            </w:pPr>
          </w:p>
        </w:tc>
      </w:tr>
      <w:tr w:rsidR="00C64587" w:rsidRPr="00AD55AA" w14:paraId="57C091E0" w14:textId="77777777" w:rsidTr="00AB6C46">
        <w:trPr>
          <w:jc w:val="center"/>
        </w:trPr>
        <w:tc>
          <w:tcPr>
            <w:tcW w:w="0" w:type="auto"/>
            <w:tcBorders>
              <w:top w:val="nil"/>
              <w:left w:val="nil"/>
              <w:bottom w:val="nil"/>
              <w:right w:val="nil"/>
            </w:tcBorders>
          </w:tcPr>
          <w:p w14:paraId="76F19483" w14:textId="6EA11531" w:rsidR="00C64587" w:rsidRPr="00AD55AA" w:rsidRDefault="00C64587" w:rsidP="00C64587">
            <w:pPr>
              <w:widowControl w:val="0"/>
              <w:autoSpaceDE w:val="0"/>
              <w:autoSpaceDN w:val="0"/>
              <w:adjustRightInd w:val="0"/>
              <w:rPr>
                <w:sz w:val="22"/>
                <w:szCs w:val="22"/>
              </w:rPr>
            </w:pPr>
            <w:r w:rsidRPr="00AD55AA">
              <w:rPr>
                <w:sz w:val="22"/>
                <w:szCs w:val="22"/>
              </w:rPr>
              <w:t xml:space="preserve">CFIUS </w:t>
            </w:r>
            <w:r>
              <w:rPr>
                <w:sz w:val="22"/>
                <w:szCs w:val="22"/>
              </w:rPr>
              <w:t xml:space="preserve">Block </w:t>
            </w:r>
          </w:p>
        </w:tc>
        <w:tc>
          <w:tcPr>
            <w:tcW w:w="0" w:type="auto"/>
            <w:tcBorders>
              <w:top w:val="nil"/>
              <w:left w:val="nil"/>
              <w:bottom w:val="nil"/>
              <w:right w:val="nil"/>
            </w:tcBorders>
          </w:tcPr>
          <w:p w14:paraId="2CDB523D" w14:textId="4E2F06AD" w:rsidR="00C64587" w:rsidRPr="00AD55AA" w:rsidRDefault="00C64587" w:rsidP="00C64587">
            <w:pPr>
              <w:widowControl w:val="0"/>
              <w:autoSpaceDE w:val="0"/>
              <w:autoSpaceDN w:val="0"/>
              <w:adjustRightInd w:val="0"/>
              <w:jc w:val="center"/>
              <w:rPr>
                <w:sz w:val="22"/>
                <w:szCs w:val="22"/>
              </w:rPr>
            </w:pPr>
            <w:r w:rsidRPr="003724CB">
              <w:rPr>
                <w:sz w:val="22"/>
                <w:szCs w:val="22"/>
              </w:rPr>
              <w:t>-0.076**</w:t>
            </w:r>
          </w:p>
        </w:tc>
        <w:tc>
          <w:tcPr>
            <w:tcW w:w="0" w:type="auto"/>
            <w:tcBorders>
              <w:top w:val="nil"/>
              <w:left w:val="nil"/>
              <w:bottom w:val="nil"/>
              <w:right w:val="nil"/>
            </w:tcBorders>
          </w:tcPr>
          <w:p w14:paraId="74EEB052" w14:textId="50481B19" w:rsidR="00C64587" w:rsidRPr="00AD55AA" w:rsidRDefault="00C64587" w:rsidP="00C64587">
            <w:pPr>
              <w:widowControl w:val="0"/>
              <w:autoSpaceDE w:val="0"/>
              <w:autoSpaceDN w:val="0"/>
              <w:adjustRightInd w:val="0"/>
              <w:jc w:val="center"/>
              <w:rPr>
                <w:sz w:val="22"/>
                <w:szCs w:val="22"/>
              </w:rPr>
            </w:pPr>
            <w:r w:rsidRPr="003724CB">
              <w:rPr>
                <w:sz w:val="22"/>
                <w:szCs w:val="22"/>
              </w:rPr>
              <w:t>-0.003</w:t>
            </w:r>
          </w:p>
        </w:tc>
        <w:tc>
          <w:tcPr>
            <w:tcW w:w="0" w:type="auto"/>
            <w:tcBorders>
              <w:top w:val="nil"/>
              <w:left w:val="nil"/>
              <w:bottom w:val="nil"/>
              <w:right w:val="nil"/>
            </w:tcBorders>
          </w:tcPr>
          <w:p w14:paraId="03EF228B" w14:textId="50259C7A" w:rsidR="00C64587" w:rsidRPr="00AD55AA" w:rsidRDefault="00C64587" w:rsidP="00C64587">
            <w:pPr>
              <w:widowControl w:val="0"/>
              <w:autoSpaceDE w:val="0"/>
              <w:autoSpaceDN w:val="0"/>
              <w:adjustRightInd w:val="0"/>
              <w:jc w:val="center"/>
              <w:rPr>
                <w:sz w:val="22"/>
                <w:szCs w:val="22"/>
              </w:rPr>
            </w:pPr>
            <w:r w:rsidRPr="003724CB">
              <w:rPr>
                <w:sz w:val="22"/>
                <w:szCs w:val="22"/>
              </w:rPr>
              <w:t>-0.009*</w:t>
            </w:r>
          </w:p>
        </w:tc>
        <w:tc>
          <w:tcPr>
            <w:tcW w:w="0" w:type="auto"/>
            <w:tcBorders>
              <w:top w:val="nil"/>
              <w:left w:val="nil"/>
              <w:bottom w:val="nil"/>
              <w:right w:val="nil"/>
            </w:tcBorders>
          </w:tcPr>
          <w:p w14:paraId="080CDF94" w14:textId="28785FB5" w:rsidR="00C64587" w:rsidRPr="00AD55AA" w:rsidRDefault="00C64587" w:rsidP="00C64587">
            <w:pPr>
              <w:widowControl w:val="0"/>
              <w:autoSpaceDE w:val="0"/>
              <w:autoSpaceDN w:val="0"/>
              <w:adjustRightInd w:val="0"/>
              <w:jc w:val="center"/>
              <w:rPr>
                <w:sz w:val="22"/>
                <w:szCs w:val="22"/>
              </w:rPr>
            </w:pPr>
            <w:r w:rsidRPr="003724CB">
              <w:rPr>
                <w:sz w:val="22"/>
                <w:szCs w:val="22"/>
              </w:rPr>
              <w:t>-0.017*</w:t>
            </w:r>
          </w:p>
        </w:tc>
        <w:tc>
          <w:tcPr>
            <w:tcW w:w="0" w:type="auto"/>
            <w:tcBorders>
              <w:top w:val="nil"/>
              <w:left w:val="nil"/>
              <w:bottom w:val="nil"/>
              <w:right w:val="nil"/>
            </w:tcBorders>
          </w:tcPr>
          <w:p w14:paraId="70E9E344" w14:textId="6C9DEC64" w:rsidR="00C64587" w:rsidRPr="00AD55AA" w:rsidRDefault="00C64587" w:rsidP="00C64587">
            <w:pPr>
              <w:widowControl w:val="0"/>
              <w:autoSpaceDE w:val="0"/>
              <w:autoSpaceDN w:val="0"/>
              <w:adjustRightInd w:val="0"/>
              <w:jc w:val="center"/>
              <w:rPr>
                <w:sz w:val="22"/>
                <w:szCs w:val="22"/>
              </w:rPr>
            </w:pPr>
            <w:r w:rsidRPr="003724CB">
              <w:rPr>
                <w:sz w:val="22"/>
                <w:szCs w:val="22"/>
              </w:rPr>
              <w:t>-0.020***</w:t>
            </w:r>
          </w:p>
        </w:tc>
      </w:tr>
      <w:tr w:rsidR="00C64587" w:rsidRPr="00AD55AA" w14:paraId="402F8821" w14:textId="77777777" w:rsidTr="00AB6C46">
        <w:trPr>
          <w:jc w:val="center"/>
        </w:trPr>
        <w:tc>
          <w:tcPr>
            <w:tcW w:w="0" w:type="auto"/>
            <w:tcBorders>
              <w:top w:val="nil"/>
              <w:left w:val="nil"/>
              <w:bottom w:val="nil"/>
              <w:right w:val="nil"/>
            </w:tcBorders>
          </w:tcPr>
          <w:p w14:paraId="11A9270E"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214BEE0C" w14:textId="0A703EE3" w:rsidR="00C64587" w:rsidRPr="00AD55AA" w:rsidRDefault="00C64587" w:rsidP="00C64587">
            <w:pPr>
              <w:widowControl w:val="0"/>
              <w:autoSpaceDE w:val="0"/>
              <w:autoSpaceDN w:val="0"/>
              <w:adjustRightInd w:val="0"/>
              <w:jc w:val="center"/>
              <w:rPr>
                <w:sz w:val="22"/>
                <w:szCs w:val="22"/>
              </w:rPr>
            </w:pPr>
            <w:r w:rsidRPr="003724CB">
              <w:rPr>
                <w:sz w:val="22"/>
                <w:szCs w:val="22"/>
              </w:rPr>
              <w:t>(-2.44)</w:t>
            </w:r>
          </w:p>
        </w:tc>
        <w:tc>
          <w:tcPr>
            <w:tcW w:w="0" w:type="auto"/>
            <w:tcBorders>
              <w:top w:val="nil"/>
              <w:left w:val="nil"/>
              <w:bottom w:val="nil"/>
              <w:right w:val="nil"/>
            </w:tcBorders>
          </w:tcPr>
          <w:p w14:paraId="78F81168" w14:textId="3D063A8B" w:rsidR="00C64587" w:rsidRPr="00AD55AA" w:rsidRDefault="00C64587" w:rsidP="00C64587">
            <w:pPr>
              <w:widowControl w:val="0"/>
              <w:autoSpaceDE w:val="0"/>
              <w:autoSpaceDN w:val="0"/>
              <w:adjustRightInd w:val="0"/>
              <w:jc w:val="center"/>
              <w:rPr>
                <w:sz w:val="22"/>
                <w:szCs w:val="22"/>
              </w:rPr>
            </w:pPr>
            <w:r w:rsidRPr="003724CB">
              <w:rPr>
                <w:sz w:val="22"/>
                <w:szCs w:val="22"/>
              </w:rPr>
              <w:t>(-1.18)</w:t>
            </w:r>
          </w:p>
        </w:tc>
        <w:tc>
          <w:tcPr>
            <w:tcW w:w="0" w:type="auto"/>
            <w:tcBorders>
              <w:top w:val="nil"/>
              <w:left w:val="nil"/>
              <w:bottom w:val="nil"/>
              <w:right w:val="nil"/>
            </w:tcBorders>
          </w:tcPr>
          <w:p w14:paraId="5FC0B4D2" w14:textId="3D6575E2" w:rsidR="00C64587" w:rsidRPr="00AD55AA" w:rsidRDefault="00C64587" w:rsidP="00C64587">
            <w:pPr>
              <w:widowControl w:val="0"/>
              <w:autoSpaceDE w:val="0"/>
              <w:autoSpaceDN w:val="0"/>
              <w:adjustRightInd w:val="0"/>
              <w:jc w:val="center"/>
              <w:rPr>
                <w:sz w:val="22"/>
                <w:szCs w:val="22"/>
              </w:rPr>
            </w:pPr>
            <w:r w:rsidRPr="003724CB">
              <w:rPr>
                <w:sz w:val="22"/>
                <w:szCs w:val="22"/>
              </w:rPr>
              <w:t>(-1.87)</w:t>
            </w:r>
          </w:p>
        </w:tc>
        <w:tc>
          <w:tcPr>
            <w:tcW w:w="0" w:type="auto"/>
            <w:tcBorders>
              <w:top w:val="nil"/>
              <w:left w:val="nil"/>
              <w:bottom w:val="nil"/>
              <w:right w:val="nil"/>
            </w:tcBorders>
          </w:tcPr>
          <w:p w14:paraId="7EE5C7CF" w14:textId="517FC5AC" w:rsidR="00C64587" w:rsidRPr="00AD55AA" w:rsidRDefault="00C64587" w:rsidP="00C64587">
            <w:pPr>
              <w:widowControl w:val="0"/>
              <w:autoSpaceDE w:val="0"/>
              <w:autoSpaceDN w:val="0"/>
              <w:adjustRightInd w:val="0"/>
              <w:jc w:val="center"/>
              <w:rPr>
                <w:sz w:val="22"/>
                <w:szCs w:val="22"/>
              </w:rPr>
            </w:pPr>
            <w:r w:rsidRPr="003724CB">
              <w:rPr>
                <w:sz w:val="22"/>
                <w:szCs w:val="22"/>
              </w:rPr>
              <w:t>(-1.88)</w:t>
            </w:r>
          </w:p>
        </w:tc>
        <w:tc>
          <w:tcPr>
            <w:tcW w:w="0" w:type="auto"/>
            <w:tcBorders>
              <w:top w:val="nil"/>
              <w:left w:val="nil"/>
              <w:bottom w:val="nil"/>
              <w:right w:val="nil"/>
            </w:tcBorders>
          </w:tcPr>
          <w:p w14:paraId="502F4323" w14:textId="7EEF227A" w:rsidR="00C64587" w:rsidRPr="00AD55AA" w:rsidRDefault="00C64587" w:rsidP="00C64587">
            <w:pPr>
              <w:widowControl w:val="0"/>
              <w:autoSpaceDE w:val="0"/>
              <w:autoSpaceDN w:val="0"/>
              <w:adjustRightInd w:val="0"/>
              <w:jc w:val="center"/>
              <w:rPr>
                <w:sz w:val="22"/>
                <w:szCs w:val="22"/>
              </w:rPr>
            </w:pPr>
            <w:r w:rsidRPr="003724CB">
              <w:rPr>
                <w:sz w:val="22"/>
                <w:szCs w:val="22"/>
              </w:rPr>
              <w:t>(-3.63)</w:t>
            </w:r>
          </w:p>
        </w:tc>
      </w:tr>
      <w:tr w:rsidR="00C64587" w:rsidRPr="00AD55AA" w14:paraId="78F78C33" w14:textId="77777777" w:rsidTr="00AB6C46">
        <w:trPr>
          <w:jc w:val="center"/>
        </w:trPr>
        <w:tc>
          <w:tcPr>
            <w:tcW w:w="0" w:type="auto"/>
            <w:tcBorders>
              <w:top w:val="nil"/>
              <w:left w:val="nil"/>
              <w:bottom w:val="nil"/>
              <w:right w:val="nil"/>
            </w:tcBorders>
          </w:tcPr>
          <w:p w14:paraId="7A8641D6" w14:textId="0093BE4A" w:rsidR="00C64587" w:rsidRPr="00AD55AA" w:rsidRDefault="00C64587" w:rsidP="00C64587">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0" w:type="auto"/>
            <w:tcBorders>
              <w:top w:val="nil"/>
              <w:left w:val="nil"/>
              <w:bottom w:val="nil"/>
              <w:right w:val="nil"/>
            </w:tcBorders>
          </w:tcPr>
          <w:p w14:paraId="0B98A582" w14:textId="2FDB6B7A" w:rsidR="00C64587" w:rsidRPr="00AD55AA" w:rsidRDefault="00C64587" w:rsidP="00C64587">
            <w:pPr>
              <w:widowControl w:val="0"/>
              <w:autoSpaceDE w:val="0"/>
              <w:autoSpaceDN w:val="0"/>
              <w:adjustRightInd w:val="0"/>
              <w:jc w:val="center"/>
              <w:rPr>
                <w:sz w:val="22"/>
                <w:szCs w:val="22"/>
              </w:rPr>
            </w:pPr>
            <w:r w:rsidRPr="003724CB">
              <w:rPr>
                <w:sz w:val="22"/>
                <w:szCs w:val="22"/>
              </w:rPr>
              <w:t>0.160***</w:t>
            </w:r>
          </w:p>
        </w:tc>
        <w:tc>
          <w:tcPr>
            <w:tcW w:w="0" w:type="auto"/>
            <w:tcBorders>
              <w:top w:val="nil"/>
              <w:left w:val="nil"/>
              <w:bottom w:val="nil"/>
              <w:right w:val="nil"/>
            </w:tcBorders>
          </w:tcPr>
          <w:p w14:paraId="7A121BF4" w14:textId="795E42F4" w:rsidR="00C64587" w:rsidRPr="00AD55AA" w:rsidRDefault="00C64587" w:rsidP="00C64587">
            <w:pPr>
              <w:widowControl w:val="0"/>
              <w:autoSpaceDE w:val="0"/>
              <w:autoSpaceDN w:val="0"/>
              <w:adjustRightInd w:val="0"/>
              <w:jc w:val="center"/>
              <w:rPr>
                <w:sz w:val="22"/>
                <w:szCs w:val="22"/>
              </w:rPr>
            </w:pPr>
            <w:r w:rsidRPr="003724CB">
              <w:rPr>
                <w:sz w:val="22"/>
                <w:szCs w:val="22"/>
              </w:rPr>
              <w:t>0.003***</w:t>
            </w:r>
          </w:p>
        </w:tc>
        <w:tc>
          <w:tcPr>
            <w:tcW w:w="0" w:type="auto"/>
            <w:tcBorders>
              <w:top w:val="nil"/>
              <w:left w:val="nil"/>
              <w:bottom w:val="nil"/>
              <w:right w:val="nil"/>
            </w:tcBorders>
          </w:tcPr>
          <w:p w14:paraId="23C75488" w14:textId="75FA016B" w:rsidR="00C64587" w:rsidRPr="00AD55AA" w:rsidRDefault="00C64587" w:rsidP="00C64587">
            <w:pPr>
              <w:widowControl w:val="0"/>
              <w:autoSpaceDE w:val="0"/>
              <w:autoSpaceDN w:val="0"/>
              <w:adjustRightInd w:val="0"/>
              <w:jc w:val="center"/>
              <w:rPr>
                <w:sz w:val="22"/>
                <w:szCs w:val="22"/>
              </w:rPr>
            </w:pPr>
            <w:r w:rsidRPr="003724CB">
              <w:rPr>
                <w:sz w:val="22"/>
                <w:szCs w:val="22"/>
              </w:rPr>
              <w:t>-0.048***</w:t>
            </w:r>
          </w:p>
        </w:tc>
        <w:tc>
          <w:tcPr>
            <w:tcW w:w="0" w:type="auto"/>
            <w:tcBorders>
              <w:top w:val="nil"/>
              <w:left w:val="nil"/>
              <w:bottom w:val="nil"/>
              <w:right w:val="nil"/>
            </w:tcBorders>
          </w:tcPr>
          <w:p w14:paraId="3102A6AC" w14:textId="3683DE07" w:rsidR="00C64587" w:rsidRPr="00AD55AA" w:rsidRDefault="00C64587" w:rsidP="00C64587">
            <w:pPr>
              <w:widowControl w:val="0"/>
              <w:autoSpaceDE w:val="0"/>
              <w:autoSpaceDN w:val="0"/>
              <w:adjustRightInd w:val="0"/>
              <w:jc w:val="center"/>
              <w:rPr>
                <w:sz w:val="22"/>
                <w:szCs w:val="22"/>
              </w:rPr>
            </w:pPr>
            <w:r w:rsidRPr="003724CB">
              <w:rPr>
                <w:sz w:val="22"/>
                <w:szCs w:val="22"/>
              </w:rPr>
              <w:t>-0.086***</w:t>
            </w:r>
          </w:p>
        </w:tc>
        <w:tc>
          <w:tcPr>
            <w:tcW w:w="0" w:type="auto"/>
            <w:tcBorders>
              <w:top w:val="nil"/>
              <w:left w:val="nil"/>
              <w:bottom w:val="nil"/>
              <w:right w:val="nil"/>
            </w:tcBorders>
          </w:tcPr>
          <w:p w14:paraId="4DC0CFFA" w14:textId="48540D70" w:rsidR="00C64587" w:rsidRPr="00AD55AA" w:rsidRDefault="00C64587" w:rsidP="00C64587">
            <w:pPr>
              <w:widowControl w:val="0"/>
              <w:autoSpaceDE w:val="0"/>
              <w:autoSpaceDN w:val="0"/>
              <w:adjustRightInd w:val="0"/>
              <w:jc w:val="center"/>
              <w:rPr>
                <w:sz w:val="22"/>
                <w:szCs w:val="22"/>
              </w:rPr>
            </w:pPr>
            <w:r w:rsidRPr="003724CB">
              <w:rPr>
                <w:sz w:val="22"/>
                <w:szCs w:val="22"/>
              </w:rPr>
              <w:t>-0.043***</w:t>
            </w:r>
          </w:p>
        </w:tc>
      </w:tr>
      <w:tr w:rsidR="00C64587" w:rsidRPr="00AD55AA" w14:paraId="68A08C64" w14:textId="77777777" w:rsidTr="00AB6C46">
        <w:trPr>
          <w:jc w:val="center"/>
        </w:trPr>
        <w:tc>
          <w:tcPr>
            <w:tcW w:w="0" w:type="auto"/>
            <w:tcBorders>
              <w:top w:val="nil"/>
              <w:left w:val="nil"/>
              <w:bottom w:val="nil"/>
              <w:right w:val="nil"/>
            </w:tcBorders>
          </w:tcPr>
          <w:p w14:paraId="4BCA6D53"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2FD0D91A" w14:textId="67EF4009" w:rsidR="00C64587" w:rsidRPr="00AD55AA" w:rsidRDefault="00C64587" w:rsidP="00C64587">
            <w:pPr>
              <w:widowControl w:val="0"/>
              <w:autoSpaceDE w:val="0"/>
              <w:autoSpaceDN w:val="0"/>
              <w:adjustRightInd w:val="0"/>
              <w:jc w:val="center"/>
              <w:rPr>
                <w:sz w:val="22"/>
                <w:szCs w:val="22"/>
              </w:rPr>
            </w:pPr>
            <w:r w:rsidRPr="003724CB">
              <w:rPr>
                <w:sz w:val="22"/>
                <w:szCs w:val="22"/>
              </w:rPr>
              <w:t>(4.62)</w:t>
            </w:r>
          </w:p>
        </w:tc>
        <w:tc>
          <w:tcPr>
            <w:tcW w:w="0" w:type="auto"/>
            <w:tcBorders>
              <w:top w:val="nil"/>
              <w:left w:val="nil"/>
              <w:bottom w:val="nil"/>
              <w:right w:val="nil"/>
            </w:tcBorders>
          </w:tcPr>
          <w:p w14:paraId="7A258D03" w14:textId="0DA488A2" w:rsidR="00C64587" w:rsidRPr="00AD55AA" w:rsidRDefault="00C64587" w:rsidP="00C64587">
            <w:pPr>
              <w:widowControl w:val="0"/>
              <w:autoSpaceDE w:val="0"/>
              <w:autoSpaceDN w:val="0"/>
              <w:adjustRightInd w:val="0"/>
              <w:jc w:val="center"/>
              <w:rPr>
                <w:sz w:val="22"/>
                <w:szCs w:val="22"/>
              </w:rPr>
            </w:pPr>
            <w:r w:rsidRPr="003724CB">
              <w:rPr>
                <w:sz w:val="22"/>
                <w:szCs w:val="22"/>
              </w:rPr>
              <w:t>(2.61)</w:t>
            </w:r>
          </w:p>
        </w:tc>
        <w:tc>
          <w:tcPr>
            <w:tcW w:w="0" w:type="auto"/>
            <w:tcBorders>
              <w:top w:val="nil"/>
              <w:left w:val="nil"/>
              <w:bottom w:val="nil"/>
              <w:right w:val="nil"/>
            </w:tcBorders>
          </w:tcPr>
          <w:p w14:paraId="0D9FB2BD" w14:textId="1B29C2F7" w:rsidR="00C64587" w:rsidRPr="00AD55AA" w:rsidRDefault="00C64587" w:rsidP="00C64587">
            <w:pPr>
              <w:widowControl w:val="0"/>
              <w:autoSpaceDE w:val="0"/>
              <w:autoSpaceDN w:val="0"/>
              <w:adjustRightInd w:val="0"/>
              <w:jc w:val="center"/>
              <w:rPr>
                <w:sz w:val="22"/>
                <w:szCs w:val="22"/>
              </w:rPr>
            </w:pPr>
            <w:r w:rsidRPr="003724CB">
              <w:rPr>
                <w:sz w:val="22"/>
                <w:szCs w:val="22"/>
              </w:rPr>
              <w:t>(-4.99)</w:t>
            </w:r>
          </w:p>
        </w:tc>
        <w:tc>
          <w:tcPr>
            <w:tcW w:w="0" w:type="auto"/>
            <w:tcBorders>
              <w:top w:val="nil"/>
              <w:left w:val="nil"/>
              <w:bottom w:val="nil"/>
              <w:right w:val="nil"/>
            </w:tcBorders>
          </w:tcPr>
          <w:p w14:paraId="4298BFDF" w14:textId="46F4E606" w:rsidR="00C64587" w:rsidRPr="00AD55AA" w:rsidRDefault="00C64587" w:rsidP="00C64587">
            <w:pPr>
              <w:widowControl w:val="0"/>
              <w:autoSpaceDE w:val="0"/>
              <w:autoSpaceDN w:val="0"/>
              <w:adjustRightInd w:val="0"/>
              <w:jc w:val="center"/>
              <w:rPr>
                <w:sz w:val="22"/>
                <w:szCs w:val="22"/>
              </w:rPr>
            </w:pPr>
            <w:r w:rsidRPr="003724CB">
              <w:rPr>
                <w:sz w:val="22"/>
                <w:szCs w:val="22"/>
              </w:rPr>
              <w:t>(-9.04)</w:t>
            </w:r>
          </w:p>
        </w:tc>
        <w:tc>
          <w:tcPr>
            <w:tcW w:w="0" w:type="auto"/>
            <w:tcBorders>
              <w:top w:val="nil"/>
              <w:left w:val="nil"/>
              <w:bottom w:val="nil"/>
              <w:right w:val="nil"/>
            </w:tcBorders>
          </w:tcPr>
          <w:p w14:paraId="7905A53A" w14:textId="18B11B56" w:rsidR="00C64587" w:rsidRPr="00AD55AA" w:rsidRDefault="00C64587" w:rsidP="00C64587">
            <w:pPr>
              <w:widowControl w:val="0"/>
              <w:autoSpaceDE w:val="0"/>
              <w:autoSpaceDN w:val="0"/>
              <w:adjustRightInd w:val="0"/>
              <w:jc w:val="center"/>
              <w:rPr>
                <w:sz w:val="22"/>
                <w:szCs w:val="22"/>
              </w:rPr>
            </w:pPr>
            <w:r w:rsidRPr="003724CB">
              <w:rPr>
                <w:sz w:val="22"/>
                <w:szCs w:val="22"/>
              </w:rPr>
              <w:t>(-3.60)</w:t>
            </w:r>
          </w:p>
        </w:tc>
      </w:tr>
      <w:tr w:rsidR="00C64587" w:rsidRPr="00AD55AA" w14:paraId="44A6487F" w14:textId="77777777" w:rsidTr="00AB6C46">
        <w:trPr>
          <w:jc w:val="center"/>
        </w:trPr>
        <w:tc>
          <w:tcPr>
            <w:tcW w:w="0" w:type="auto"/>
            <w:tcBorders>
              <w:top w:val="nil"/>
              <w:left w:val="nil"/>
              <w:bottom w:val="nil"/>
              <w:right w:val="nil"/>
            </w:tcBorders>
          </w:tcPr>
          <w:p w14:paraId="7236CEF0" w14:textId="018CC8A7" w:rsidR="00C64587" w:rsidRPr="00AD55AA" w:rsidRDefault="00C64587" w:rsidP="00C64587">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0" w:type="auto"/>
            <w:tcBorders>
              <w:top w:val="nil"/>
              <w:left w:val="nil"/>
              <w:bottom w:val="nil"/>
              <w:right w:val="nil"/>
            </w:tcBorders>
          </w:tcPr>
          <w:p w14:paraId="3BADBBA2" w14:textId="08141CC3" w:rsidR="00C64587" w:rsidRPr="00AD55AA" w:rsidRDefault="00C64587" w:rsidP="00C64587">
            <w:pPr>
              <w:widowControl w:val="0"/>
              <w:autoSpaceDE w:val="0"/>
              <w:autoSpaceDN w:val="0"/>
              <w:adjustRightInd w:val="0"/>
              <w:jc w:val="center"/>
              <w:rPr>
                <w:sz w:val="22"/>
                <w:szCs w:val="22"/>
              </w:rPr>
            </w:pPr>
            <w:r w:rsidRPr="003724CB">
              <w:rPr>
                <w:sz w:val="22"/>
                <w:szCs w:val="22"/>
              </w:rPr>
              <w:t>-0.066***</w:t>
            </w:r>
          </w:p>
        </w:tc>
        <w:tc>
          <w:tcPr>
            <w:tcW w:w="0" w:type="auto"/>
            <w:tcBorders>
              <w:top w:val="nil"/>
              <w:left w:val="nil"/>
              <w:bottom w:val="nil"/>
              <w:right w:val="nil"/>
            </w:tcBorders>
          </w:tcPr>
          <w:p w14:paraId="130405CE" w14:textId="46D76CD7" w:rsidR="00C64587" w:rsidRPr="00AD55AA" w:rsidRDefault="00C64587" w:rsidP="00C64587">
            <w:pPr>
              <w:widowControl w:val="0"/>
              <w:autoSpaceDE w:val="0"/>
              <w:autoSpaceDN w:val="0"/>
              <w:adjustRightInd w:val="0"/>
              <w:jc w:val="center"/>
              <w:rPr>
                <w:sz w:val="22"/>
                <w:szCs w:val="22"/>
              </w:rPr>
            </w:pPr>
            <w:r w:rsidRPr="003724CB">
              <w:rPr>
                <w:sz w:val="22"/>
                <w:szCs w:val="22"/>
              </w:rPr>
              <w:t>-0.005***</w:t>
            </w:r>
          </w:p>
        </w:tc>
        <w:tc>
          <w:tcPr>
            <w:tcW w:w="0" w:type="auto"/>
            <w:tcBorders>
              <w:top w:val="nil"/>
              <w:left w:val="nil"/>
              <w:bottom w:val="nil"/>
              <w:right w:val="nil"/>
            </w:tcBorders>
          </w:tcPr>
          <w:p w14:paraId="1C5F5C0C" w14:textId="67A89D96" w:rsidR="00C64587" w:rsidRPr="00AD55AA" w:rsidRDefault="00C64587" w:rsidP="00C64587">
            <w:pPr>
              <w:widowControl w:val="0"/>
              <w:autoSpaceDE w:val="0"/>
              <w:autoSpaceDN w:val="0"/>
              <w:adjustRightInd w:val="0"/>
              <w:jc w:val="center"/>
              <w:rPr>
                <w:sz w:val="22"/>
                <w:szCs w:val="22"/>
              </w:rPr>
            </w:pPr>
            <w:r w:rsidRPr="003724CB">
              <w:rPr>
                <w:sz w:val="22"/>
                <w:szCs w:val="22"/>
              </w:rPr>
              <w:t>-0.009*</w:t>
            </w:r>
          </w:p>
        </w:tc>
        <w:tc>
          <w:tcPr>
            <w:tcW w:w="0" w:type="auto"/>
            <w:tcBorders>
              <w:top w:val="nil"/>
              <w:left w:val="nil"/>
              <w:bottom w:val="nil"/>
              <w:right w:val="nil"/>
            </w:tcBorders>
          </w:tcPr>
          <w:p w14:paraId="115AF248" w14:textId="3A4879CE" w:rsidR="00C64587" w:rsidRPr="00AD55AA" w:rsidRDefault="00C64587" w:rsidP="00C64587">
            <w:pPr>
              <w:widowControl w:val="0"/>
              <w:autoSpaceDE w:val="0"/>
              <w:autoSpaceDN w:val="0"/>
              <w:adjustRightInd w:val="0"/>
              <w:jc w:val="center"/>
              <w:rPr>
                <w:sz w:val="22"/>
                <w:szCs w:val="22"/>
              </w:rPr>
            </w:pPr>
            <w:r w:rsidRPr="003724CB">
              <w:rPr>
                <w:sz w:val="22"/>
                <w:szCs w:val="22"/>
              </w:rPr>
              <w:t>-0.010</w:t>
            </w:r>
          </w:p>
        </w:tc>
        <w:tc>
          <w:tcPr>
            <w:tcW w:w="0" w:type="auto"/>
            <w:tcBorders>
              <w:top w:val="nil"/>
              <w:left w:val="nil"/>
              <w:bottom w:val="nil"/>
              <w:right w:val="nil"/>
            </w:tcBorders>
          </w:tcPr>
          <w:p w14:paraId="690D774A" w14:textId="043284E7" w:rsidR="00C64587" w:rsidRPr="00AD55AA" w:rsidRDefault="00C64587" w:rsidP="00C64587">
            <w:pPr>
              <w:widowControl w:val="0"/>
              <w:autoSpaceDE w:val="0"/>
              <w:autoSpaceDN w:val="0"/>
              <w:adjustRightInd w:val="0"/>
              <w:jc w:val="center"/>
              <w:rPr>
                <w:sz w:val="22"/>
                <w:szCs w:val="22"/>
              </w:rPr>
            </w:pPr>
            <w:r w:rsidRPr="003724CB">
              <w:rPr>
                <w:sz w:val="22"/>
                <w:szCs w:val="22"/>
              </w:rPr>
              <w:t>-0.024***</w:t>
            </w:r>
          </w:p>
        </w:tc>
      </w:tr>
      <w:tr w:rsidR="00C64587" w:rsidRPr="00AD55AA" w14:paraId="58133D0D" w14:textId="77777777" w:rsidTr="00AB6C46">
        <w:trPr>
          <w:jc w:val="center"/>
        </w:trPr>
        <w:tc>
          <w:tcPr>
            <w:tcW w:w="0" w:type="auto"/>
            <w:tcBorders>
              <w:top w:val="nil"/>
              <w:left w:val="nil"/>
              <w:bottom w:val="nil"/>
              <w:right w:val="nil"/>
            </w:tcBorders>
          </w:tcPr>
          <w:p w14:paraId="3A37F838"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103A4C25" w14:textId="11ACE52E" w:rsidR="00C64587" w:rsidRPr="00AD55AA" w:rsidRDefault="00C64587" w:rsidP="00C64587">
            <w:pPr>
              <w:widowControl w:val="0"/>
              <w:autoSpaceDE w:val="0"/>
              <w:autoSpaceDN w:val="0"/>
              <w:adjustRightInd w:val="0"/>
              <w:jc w:val="center"/>
              <w:rPr>
                <w:sz w:val="22"/>
                <w:szCs w:val="22"/>
              </w:rPr>
            </w:pPr>
            <w:r w:rsidRPr="003724CB">
              <w:rPr>
                <w:sz w:val="22"/>
                <w:szCs w:val="22"/>
              </w:rPr>
              <w:t>(-5.32)</w:t>
            </w:r>
          </w:p>
        </w:tc>
        <w:tc>
          <w:tcPr>
            <w:tcW w:w="0" w:type="auto"/>
            <w:tcBorders>
              <w:top w:val="nil"/>
              <w:left w:val="nil"/>
              <w:bottom w:val="nil"/>
              <w:right w:val="nil"/>
            </w:tcBorders>
          </w:tcPr>
          <w:p w14:paraId="2787EC14" w14:textId="3CF46CB1" w:rsidR="00C64587" w:rsidRPr="00AD55AA" w:rsidRDefault="00C64587" w:rsidP="00C64587">
            <w:pPr>
              <w:widowControl w:val="0"/>
              <w:autoSpaceDE w:val="0"/>
              <w:autoSpaceDN w:val="0"/>
              <w:adjustRightInd w:val="0"/>
              <w:jc w:val="center"/>
              <w:rPr>
                <w:sz w:val="22"/>
                <w:szCs w:val="22"/>
              </w:rPr>
            </w:pPr>
            <w:r w:rsidRPr="003724CB">
              <w:rPr>
                <w:sz w:val="22"/>
                <w:szCs w:val="22"/>
              </w:rPr>
              <w:t>(-4.68)</w:t>
            </w:r>
          </w:p>
        </w:tc>
        <w:tc>
          <w:tcPr>
            <w:tcW w:w="0" w:type="auto"/>
            <w:tcBorders>
              <w:top w:val="nil"/>
              <w:left w:val="nil"/>
              <w:bottom w:val="nil"/>
              <w:right w:val="nil"/>
            </w:tcBorders>
          </w:tcPr>
          <w:p w14:paraId="24787D6E" w14:textId="35811486" w:rsidR="00C64587" w:rsidRPr="00AD55AA" w:rsidRDefault="00C64587" w:rsidP="00C64587">
            <w:pPr>
              <w:widowControl w:val="0"/>
              <w:autoSpaceDE w:val="0"/>
              <w:autoSpaceDN w:val="0"/>
              <w:adjustRightInd w:val="0"/>
              <w:jc w:val="center"/>
              <w:rPr>
                <w:sz w:val="22"/>
                <w:szCs w:val="22"/>
              </w:rPr>
            </w:pPr>
            <w:r w:rsidRPr="003724CB">
              <w:rPr>
                <w:sz w:val="22"/>
                <w:szCs w:val="22"/>
              </w:rPr>
              <w:t>(-1.75)</w:t>
            </w:r>
          </w:p>
        </w:tc>
        <w:tc>
          <w:tcPr>
            <w:tcW w:w="0" w:type="auto"/>
            <w:tcBorders>
              <w:top w:val="nil"/>
              <w:left w:val="nil"/>
              <w:bottom w:val="nil"/>
              <w:right w:val="nil"/>
            </w:tcBorders>
          </w:tcPr>
          <w:p w14:paraId="3D70A759" w14:textId="1484DE9C" w:rsidR="00C64587" w:rsidRPr="00AD55AA" w:rsidRDefault="00C64587" w:rsidP="00C64587">
            <w:pPr>
              <w:widowControl w:val="0"/>
              <w:autoSpaceDE w:val="0"/>
              <w:autoSpaceDN w:val="0"/>
              <w:adjustRightInd w:val="0"/>
              <w:jc w:val="center"/>
              <w:rPr>
                <w:sz w:val="22"/>
                <w:szCs w:val="22"/>
              </w:rPr>
            </w:pPr>
            <w:r w:rsidRPr="003724CB">
              <w:rPr>
                <w:sz w:val="22"/>
                <w:szCs w:val="22"/>
              </w:rPr>
              <w:t>(-0.75)</w:t>
            </w:r>
          </w:p>
        </w:tc>
        <w:tc>
          <w:tcPr>
            <w:tcW w:w="0" w:type="auto"/>
            <w:tcBorders>
              <w:top w:val="nil"/>
              <w:left w:val="nil"/>
              <w:bottom w:val="nil"/>
              <w:right w:val="nil"/>
            </w:tcBorders>
          </w:tcPr>
          <w:p w14:paraId="25D0D8A0" w14:textId="2B71B20B" w:rsidR="00C64587" w:rsidRPr="00AD55AA" w:rsidRDefault="00C64587" w:rsidP="00C64587">
            <w:pPr>
              <w:widowControl w:val="0"/>
              <w:autoSpaceDE w:val="0"/>
              <w:autoSpaceDN w:val="0"/>
              <w:adjustRightInd w:val="0"/>
              <w:jc w:val="center"/>
              <w:rPr>
                <w:sz w:val="22"/>
                <w:szCs w:val="22"/>
              </w:rPr>
            </w:pPr>
            <w:r w:rsidRPr="003724CB">
              <w:rPr>
                <w:sz w:val="22"/>
                <w:szCs w:val="22"/>
              </w:rPr>
              <w:t>(-4.29)</w:t>
            </w:r>
          </w:p>
        </w:tc>
      </w:tr>
      <w:tr w:rsidR="00C64587" w:rsidRPr="00AD55AA" w14:paraId="4688E4B6" w14:textId="77777777" w:rsidTr="00AB6C46">
        <w:trPr>
          <w:jc w:val="center"/>
        </w:trPr>
        <w:tc>
          <w:tcPr>
            <w:tcW w:w="0" w:type="auto"/>
            <w:tcBorders>
              <w:top w:val="nil"/>
              <w:left w:val="nil"/>
              <w:bottom w:val="nil"/>
              <w:right w:val="nil"/>
            </w:tcBorders>
          </w:tcPr>
          <w:p w14:paraId="751A0E23" w14:textId="51D3191E" w:rsidR="00C64587" w:rsidRPr="00AD55AA" w:rsidRDefault="00C64587" w:rsidP="00C64587">
            <w:pPr>
              <w:widowControl w:val="0"/>
              <w:autoSpaceDE w:val="0"/>
              <w:autoSpaceDN w:val="0"/>
              <w:adjustRightInd w:val="0"/>
              <w:rPr>
                <w:sz w:val="22"/>
                <w:szCs w:val="22"/>
              </w:rPr>
            </w:pPr>
            <w:r w:rsidRPr="00AD55AA">
              <w:rPr>
                <w:sz w:val="22"/>
                <w:szCs w:val="22"/>
              </w:rPr>
              <w:t>Size</w:t>
            </w:r>
            <w:r>
              <w:rPr>
                <w:sz w:val="22"/>
                <w:szCs w:val="22"/>
              </w:rPr>
              <w:t xml:space="preserve"> </w:t>
            </w:r>
          </w:p>
        </w:tc>
        <w:tc>
          <w:tcPr>
            <w:tcW w:w="0" w:type="auto"/>
            <w:tcBorders>
              <w:top w:val="nil"/>
              <w:left w:val="nil"/>
              <w:bottom w:val="nil"/>
              <w:right w:val="nil"/>
            </w:tcBorders>
          </w:tcPr>
          <w:p w14:paraId="039D3C92" w14:textId="6E6A65E6" w:rsidR="00C64587" w:rsidRPr="00AD55AA" w:rsidRDefault="00C64587" w:rsidP="00C64587">
            <w:pPr>
              <w:widowControl w:val="0"/>
              <w:autoSpaceDE w:val="0"/>
              <w:autoSpaceDN w:val="0"/>
              <w:adjustRightInd w:val="0"/>
              <w:jc w:val="center"/>
              <w:rPr>
                <w:sz w:val="22"/>
                <w:szCs w:val="22"/>
              </w:rPr>
            </w:pPr>
            <w:r w:rsidRPr="003724CB">
              <w:rPr>
                <w:sz w:val="22"/>
                <w:szCs w:val="22"/>
              </w:rPr>
              <w:t>-0.129***</w:t>
            </w:r>
          </w:p>
        </w:tc>
        <w:tc>
          <w:tcPr>
            <w:tcW w:w="0" w:type="auto"/>
            <w:tcBorders>
              <w:top w:val="nil"/>
              <w:left w:val="nil"/>
              <w:bottom w:val="nil"/>
              <w:right w:val="nil"/>
            </w:tcBorders>
          </w:tcPr>
          <w:p w14:paraId="42295739" w14:textId="1D2FCEA0" w:rsidR="00C64587" w:rsidRPr="00AD55AA" w:rsidRDefault="00C64587" w:rsidP="00C64587">
            <w:pPr>
              <w:widowControl w:val="0"/>
              <w:autoSpaceDE w:val="0"/>
              <w:autoSpaceDN w:val="0"/>
              <w:adjustRightInd w:val="0"/>
              <w:jc w:val="center"/>
              <w:rPr>
                <w:sz w:val="22"/>
                <w:szCs w:val="22"/>
              </w:rPr>
            </w:pPr>
            <w:r w:rsidRPr="003724CB">
              <w:rPr>
                <w:sz w:val="22"/>
                <w:szCs w:val="22"/>
              </w:rPr>
              <w:t>-0.007***</w:t>
            </w:r>
          </w:p>
        </w:tc>
        <w:tc>
          <w:tcPr>
            <w:tcW w:w="0" w:type="auto"/>
            <w:tcBorders>
              <w:top w:val="nil"/>
              <w:left w:val="nil"/>
              <w:bottom w:val="nil"/>
              <w:right w:val="nil"/>
            </w:tcBorders>
          </w:tcPr>
          <w:p w14:paraId="470409A9" w14:textId="062E39FB" w:rsidR="00C64587" w:rsidRPr="00AD55AA" w:rsidRDefault="00C64587" w:rsidP="004F68AE">
            <w:pPr>
              <w:widowControl w:val="0"/>
              <w:autoSpaceDE w:val="0"/>
              <w:autoSpaceDN w:val="0"/>
              <w:adjustRightInd w:val="0"/>
              <w:jc w:val="center"/>
              <w:rPr>
                <w:sz w:val="22"/>
                <w:szCs w:val="22"/>
              </w:rPr>
            </w:pPr>
            <w:r w:rsidRPr="003724CB">
              <w:rPr>
                <w:sz w:val="22"/>
                <w:szCs w:val="22"/>
              </w:rPr>
              <w:t>-0.005</w:t>
            </w:r>
          </w:p>
        </w:tc>
        <w:tc>
          <w:tcPr>
            <w:tcW w:w="0" w:type="auto"/>
            <w:tcBorders>
              <w:top w:val="nil"/>
              <w:left w:val="nil"/>
              <w:bottom w:val="nil"/>
              <w:right w:val="nil"/>
            </w:tcBorders>
          </w:tcPr>
          <w:p w14:paraId="00F37E14" w14:textId="4A60774C" w:rsidR="00C64587" w:rsidRPr="00AD55AA" w:rsidRDefault="00C64587" w:rsidP="00C64587">
            <w:pPr>
              <w:widowControl w:val="0"/>
              <w:autoSpaceDE w:val="0"/>
              <w:autoSpaceDN w:val="0"/>
              <w:adjustRightInd w:val="0"/>
              <w:jc w:val="center"/>
              <w:rPr>
                <w:sz w:val="22"/>
                <w:szCs w:val="22"/>
              </w:rPr>
            </w:pPr>
            <w:r w:rsidRPr="003724CB">
              <w:rPr>
                <w:sz w:val="22"/>
                <w:szCs w:val="22"/>
              </w:rPr>
              <w:t>-0.007</w:t>
            </w:r>
          </w:p>
        </w:tc>
        <w:tc>
          <w:tcPr>
            <w:tcW w:w="0" w:type="auto"/>
            <w:tcBorders>
              <w:top w:val="nil"/>
              <w:left w:val="nil"/>
              <w:bottom w:val="nil"/>
              <w:right w:val="nil"/>
            </w:tcBorders>
          </w:tcPr>
          <w:p w14:paraId="1838650A" w14:textId="7098BC35" w:rsidR="00C64587" w:rsidRPr="00AD55AA" w:rsidRDefault="00C64587" w:rsidP="00C64587">
            <w:pPr>
              <w:widowControl w:val="0"/>
              <w:autoSpaceDE w:val="0"/>
              <w:autoSpaceDN w:val="0"/>
              <w:adjustRightInd w:val="0"/>
              <w:jc w:val="center"/>
              <w:rPr>
                <w:sz w:val="22"/>
                <w:szCs w:val="22"/>
              </w:rPr>
            </w:pPr>
            <w:r w:rsidRPr="003724CB">
              <w:rPr>
                <w:sz w:val="22"/>
                <w:szCs w:val="22"/>
              </w:rPr>
              <w:t>-0.015***</w:t>
            </w:r>
          </w:p>
        </w:tc>
      </w:tr>
      <w:tr w:rsidR="00C64587" w:rsidRPr="00AD55AA" w14:paraId="7017558B" w14:textId="77777777" w:rsidTr="00AB6C46">
        <w:trPr>
          <w:jc w:val="center"/>
        </w:trPr>
        <w:tc>
          <w:tcPr>
            <w:tcW w:w="0" w:type="auto"/>
            <w:tcBorders>
              <w:top w:val="nil"/>
              <w:left w:val="nil"/>
              <w:bottom w:val="nil"/>
              <w:right w:val="nil"/>
            </w:tcBorders>
          </w:tcPr>
          <w:p w14:paraId="0CBAE250"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7888DE17" w14:textId="7BA209F9" w:rsidR="00C64587" w:rsidRPr="00AD55AA" w:rsidRDefault="00C64587" w:rsidP="00C64587">
            <w:pPr>
              <w:widowControl w:val="0"/>
              <w:autoSpaceDE w:val="0"/>
              <w:autoSpaceDN w:val="0"/>
              <w:adjustRightInd w:val="0"/>
              <w:jc w:val="center"/>
              <w:rPr>
                <w:sz w:val="22"/>
                <w:szCs w:val="22"/>
              </w:rPr>
            </w:pPr>
            <w:r w:rsidRPr="003724CB">
              <w:rPr>
                <w:sz w:val="22"/>
                <w:szCs w:val="22"/>
              </w:rPr>
              <w:t>(-9.75)</w:t>
            </w:r>
          </w:p>
        </w:tc>
        <w:tc>
          <w:tcPr>
            <w:tcW w:w="0" w:type="auto"/>
            <w:tcBorders>
              <w:top w:val="nil"/>
              <w:left w:val="nil"/>
              <w:bottom w:val="nil"/>
              <w:right w:val="nil"/>
            </w:tcBorders>
          </w:tcPr>
          <w:p w14:paraId="35BD200D" w14:textId="5CC3F661" w:rsidR="00C64587" w:rsidRPr="00AD55AA" w:rsidRDefault="00C64587" w:rsidP="00C64587">
            <w:pPr>
              <w:widowControl w:val="0"/>
              <w:autoSpaceDE w:val="0"/>
              <w:autoSpaceDN w:val="0"/>
              <w:adjustRightInd w:val="0"/>
              <w:jc w:val="center"/>
              <w:rPr>
                <w:sz w:val="22"/>
                <w:szCs w:val="22"/>
              </w:rPr>
            </w:pPr>
            <w:r w:rsidRPr="003724CB">
              <w:rPr>
                <w:sz w:val="22"/>
                <w:szCs w:val="22"/>
              </w:rPr>
              <w:t>(-4.60)</w:t>
            </w:r>
          </w:p>
        </w:tc>
        <w:tc>
          <w:tcPr>
            <w:tcW w:w="0" w:type="auto"/>
            <w:tcBorders>
              <w:top w:val="nil"/>
              <w:left w:val="nil"/>
              <w:bottom w:val="nil"/>
              <w:right w:val="nil"/>
            </w:tcBorders>
          </w:tcPr>
          <w:p w14:paraId="33836AC4" w14:textId="15A9DA57" w:rsidR="00C64587" w:rsidRPr="00AD55AA" w:rsidRDefault="00C64587" w:rsidP="00C64587">
            <w:pPr>
              <w:widowControl w:val="0"/>
              <w:autoSpaceDE w:val="0"/>
              <w:autoSpaceDN w:val="0"/>
              <w:adjustRightInd w:val="0"/>
              <w:jc w:val="center"/>
              <w:rPr>
                <w:sz w:val="22"/>
                <w:szCs w:val="22"/>
              </w:rPr>
            </w:pPr>
            <w:r w:rsidRPr="003724CB">
              <w:rPr>
                <w:sz w:val="22"/>
                <w:szCs w:val="22"/>
              </w:rPr>
              <w:t>(-1.38)</w:t>
            </w:r>
          </w:p>
        </w:tc>
        <w:tc>
          <w:tcPr>
            <w:tcW w:w="0" w:type="auto"/>
            <w:tcBorders>
              <w:top w:val="nil"/>
              <w:left w:val="nil"/>
              <w:bottom w:val="nil"/>
              <w:right w:val="nil"/>
            </w:tcBorders>
          </w:tcPr>
          <w:p w14:paraId="53A3A516" w14:textId="5480A1E5" w:rsidR="00C64587" w:rsidRPr="00AD55AA" w:rsidRDefault="00C64587" w:rsidP="00C64587">
            <w:pPr>
              <w:widowControl w:val="0"/>
              <w:autoSpaceDE w:val="0"/>
              <w:autoSpaceDN w:val="0"/>
              <w:adjustRightInd w:val="0"/>
              <w:jc w:val="center"/>
              <w:rPr>
                <w:sz w:val="22"/>
                <w:szCs w:val="22"/>
              </w:rPr>
            </w:pPr>
            <w:r w:rsidRPr="003724CB">
              <w:rPr>
                <w:sz w:val="22"/>
                <w:szCs w:val="22"/>
              </w:rPr>
              <w:t>(-1.17)</w:t>
            </w:r>
          </w:p>
        </w:tc>
        <w:tc>
          <w:tcPr>
            <w:tcW w:w="0" w:type="auto"/>
            <w:tcBorders>
              <w:top w:val="nil"/>
              <w:left w:val="nil"/>
              <w:bottom w:val="nil"/>
              <w:right w:val="nil"/>
            </w:tcBorders>
          </w:tcPr>
          <w:p w14:paraId="48012C8F" w14:textId="6A76AC30" w:rsidR="00C64587" w:rsidRPr="00AD55AA" w:rsidRDefault="00C64587" w:rsidP="00C64587">
            <w:pPr>
              <w:widowControl w:val="0"/>
              <w:autoSpaceDE w:val="0"/>
              <w:autoSpaceDN w:val="0"/>
              <w:adjustRightInd w:val="0"/>
              <w:jc w:val="center"/>
              <w:rPr>
                <w:sz w:val="22"/>
                <w:szCs w:val="22"/>
              </w:rPr>
            </w:pPr>
            <w:r w:rsidRPr="003724CB">
              <w:rPr>
                <w:sz w:val="22"/>
                <w:szCs w:val="22"/>
              </w:rPr>
              <w:t>(-2.60)</w:t>
            </w:r>
          </w:p>
        </w:tc>
      </w:tr>
      <w:tr w:rsidR="00C64587" w:rsidRPr="00AD55AA" w14:paraId="3EAD6CA9" w14:textId="77777777" w:rsidTr="00AB6C46">
        <w:trPr>
          <w:jc w:val="center"/>
        </w:trPr>
        <w:tc>
          <w:tcPr>
            <w:tcW w:w="0" w:type="auto"/>
            <w:tcBorders>
              <w:top w:val="nil"/>
              <w:left w:val="nil"/>
              <w:bottom w:val="nil"/>
              <w:right w:val="nil"/>
            </w:tcBorders>
          </w:tcPr>
          <w:p w14:paraId="4A39AF67" w14:textId="41518FAE" w:rsidR="00C64587" w:rsidRPr="00AD55AA" w:rsidRDefault="00C64587" w:rsidP="00C64587">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0" w:type="auto"/>
            <w:tcBorders>
              <w:top w:val="nil"/>
              <w:left w:val="nil"/>
              <w:bottom w:val="nil"/>
              <w:right w:val="nil"/>
            </w:tcBorders>
          </w:tcPr>
          <w:p w14:paraId="220AF0A4" w14:textId="76FEB45D" w:rsidR="00C64587" w:rsidRPr="00AD55AA" w:rsidRDefault="00C64587" w:rsidP="00C64587">
            <w:pPr>
              <w:widowControl w:val="0"/>
              <w:autoSpaceDE w:val="0"/>
              <w:autoSpaceDN w:val="0"/>
              <w:adjustRightInd w:val="0"/>
              <w:jc w:val="center"/>
              <w:rPr>
                <w:sz w:val="22"/>
                <w:szCs w:val="22"/>
              </w:rPr>
            </w:pPr>
            <w:r w:rsidRPr="003724CB">
              <w:rPr>
                <w:sz w:val="22"/>
                <w:szCs w:val="22"/>
              </w:rPr>
              <w:t>0.007***</w:t>
            </w:r>
          </w:p>
        </w:tc>
        <w:tc>
          <w:tcPr>
            <w:tcW w:w="0" w:type="auto"/>
            <w:tcBorders>
              <w:top w:val="nil"/>
              <w:left w:val="nil"/>
              <w:bottom w:val="nil"/>
              <w:right w:val="nil"/>
            </w:tcBorders>
          </w:tcPr>
          <w:p w14:paraId="18BE7E79" w14:textId="34A32D48" w:rsidR="00C64587" w:rsidRPr="00AD55AA" w:rsidRDefault="00C64587" w:rsidP="00C64587">
            <w:pPr>
              <w:widowControl w:val="0"/>
              <w:autoSpaceDE w:val="0"/>
              <w:autoSpaceDN w:val="0"/>
              <w:adjustRightInd w:val="0"/>
              <w:jc w:val="center"/>
              <w:rPr>
                <w:sz w:val="22"/>
                <w:szCs w:val="22"/>
              </w:rPr>
            </w:pPr>
            <w:r w:rsidRPr="003724CB">
              <w:rPr>
                <w:sz w:val="22"/>
                <w:szCs w:val="22"/>
              </w:rPr>
              <w:t>0.000*</w:t>
            </w:r>
          </w:p>
        </w:tc>
        <w:tc>
          <w:tcPr>
            <w:tcW w:w="0" w:type="auto"/>
            <w:tcBorders>
              <w:top w:val="nil"/>
              <w:left w:val="nil"/>
              <w:bottom w:val="nil"/>
              <w:right w:val="nil"/>
            </w:tcBorders>
          </w:tcPr>
          <w:p w14:paraId="5F06B8F4" w14:textId="528F489D" w:rsidR="00C64587" w:rsidRPr="00AD55AA" w:rsidRDefault="00C64587" w:rsidP="00C64587">
            <w:pPr>
              <w:widowControl w:val="0"/>
              <w:autoSpaceDE w:val="0"/>
              <w:autoSpaceDN w:val="0"/>
              <w:adjustRightInd w:val="0"/>
              <w:jc w:val="center"/>
              <w:rPr>
                <w:sz w:val="22"/>
                <w:szCs w:val="22"/>
              </w:rPr>
            </w:pPr>
            <w:r w:rsidRPr="003724CB">
              <w:rPr>
                <w:sz w:val="22"/>
                <w:szCs w:val="22"/>
              </w:rPr>
              <w:t>-0.000</w:t>
            </w:r>
          </w:p>
        </w:tc>
        <w:tc>
          <w:tcPr>
            <w:tcW w:w="0" w:type="auto"/>
            <w:tcBorders>
              <w:top w:val="nil"/>
              <w:left w:val="nil"/>
              <w:bottom w:val="nil"/>
              <w:right w:val="nil"/>
            </w:tcBorders>
          </w:tcPr>
          <w:p w14:paraId="1FF2500B" w14:textId="2F78149E" w:rsidR="00C64587" w:rsidRPr="00AD55AA" w:rsidRDefault="00C64587" w:rsidP="00C64587">
            <w:pPr>
              <w:widowControl w:val="0"/>
              <w:autoSpaceDE w:val="0"/>
              <w:autoSpaceDN w:val="0"/>
              <w:adjustRightInd w:val="0"/>
              <w:jc w:val="center"/>
              <w:rPr>
                <w:sz w:val="22"/>
                <w:szCs w:val="22"/>
              </w:rPr>
            </w:pPr>
            <w:r w:rsidRPr="003724CB">
              <w:rPr>
                <w:sz w:val="22"/>
                <w:szCs w:val="22"/>
              </w:rPr>
              <w:t>-0.000</w:t>
            </w:r>
          </w:p>
        </w:tc>
        <w:tc>
          <w:tcPr>
            <w:tcW w:w="0" w:type="auto"/>
            <w:tcBorders>
              <w:top w:val="nil"/>
              <w:left w:val="nil"/>
              <w:bottom w:val="nil"/>
              <w:right w:val="nil"/>
            </w:tcBorders>
          </w:tcPr>
          <w:p w14:paraId="2DF582F3" w14:textId="3B14B8F9" w:rsidR="00C64587" w:rsidRPr="00AD55AA" w:rsidRDefault="00C64587" w:rsidP="00C64587">
            <w:pPr>
              <w:widowControl w:val="0"/>
              <w:autoSpaceDE w:val="0"/>
              <w:autoSpaceDN w:val="0"/>
              <w:adjustRightInd w:val="0"/>
              <w:jc w:val="center"/>
              <w:rPr>
                <w:sz w:val="22"/>
                <w:szCs w:val="22"/>
              </w:rPr>
            </w:pPr>
            <w:r w:rsidRPr="003724CB">
              <w:rPr>
                <w:sz w:val="22"/>
                <w:szCs w:val="22"/>
              </w:rPr>
              <w:t>0.000</w:t>
            </w:r>
          </w:p>
        </w:tc>
      </w:tr>
      <w:tr w:rsidR="00C64587" w:rsidRPr="00AD55AA" w14:paraId="05651EE2" w14:textId="77777777" w:rsidTr="00AB6C46">
        <w:trPr>
          <w:jc w:val="center"/>
        </w:trPr>
        <w:tc>
          <w:tcPr>
            <w:tcW w:w="0" w:type="auto"/>
            <w:tcBorders>
              <w:top w:val="nil"/>
              <w:left w:val="nil"/>
              <w:bottom w:val="nil"/>
              <w:right w:val="nil"/>
            </w:tcBorders>
          </w:tcPr>
          <w:p w14:paraId="1E2E54B5"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727457E7" w14:textId="625CD54D" w:rsidR="00C64587" w:rsidRPr="00AD55AA" w:rsidRDefault="00C64587" w:rsidP="00C64587">
            <w:pPr>
              <w:widowControl w:val="0"/>
              <w:autoSpaceDE w:val="0"/>
              <w:autoSpaceDN w:val="0"/>
              <w:adjustRightInd w:val="0"/>
              <w:jc w:val="center"/>
              <w:rPr>
                <w:sz w:val="22"/>
                <w:szCs w:val="22"/>
              </w:rPr>
            </w:pPr>
            <w:r w:rsidRPr="003724CB">
              <w:rPr>
                <w:sz w:val="22"/>
                <w:szCs w:val="22"/>
              </w:rPr>
              <w:t>(6.31)</w:t>
            </w:r>
          </w:p>
        </w:tc>
        <w:tc>
          <w:tcPr>
            <w:tcW w:w="0" w:type="auto"/>
            <w:tcBorders>
              <w:top w:val="nil"/>
              <w:left w:val="nil"/>
              <w:bottom w:val="nil"/>
              <w:right w:val="nil"/>
            </w:tcBorders>
          </w:tcPr>
          <w:p w14:paraId="745D22F0" w14:textId="44258B79" w:rsidR="00C64587" w:rsidRPr="00AD55AA" w:rsidRDefault="00C64587" w:rsidP="00C64587">
            <w:pPr>
              <w:widowControl w:val="0"/>
              <w:autoSpaceDE w:val="0"/>
              <w:autoSpaceDN w:val="0"/>
              <w:adjustRightInd w:val="0"/>
              <w:jc w:val="center"/>
              <w:rPr>
                <w:sz w:val="22"/>
                <w:szCs w:val="22"/>
              </w:rPr>
            </w:pPr>
            <w:r w:rsidRPr="003724CB">
              <w:rPr>
                <w:sz w:val="22"/>
                <w:szCs w:val="22"/>
              </w:rPr>
              <w:t>(1.93)</w:t>
            </w:r>
          </w:p>
        </w:tc>
        <w:tc>
          <w:tcPr>
            <w:tcW w:w="0" w:type="auto"/>
            <w:tcBorders>
              <w:top w:val="nil"/>
              <w:left w:val="nil"/>
              <w:bottom w:val="nil"/>
              <w:right w:val="nil"/>
            </w:tcBorders>
          </w:tcPr>
          <w:p w14:paraId="3412524A" w14:textId="7A9A0EDE" w:rsidR="00C64587" w:rsidRPr="00AD55AA" w:rsidRDefault="00C64587" w:rsidP="00C64587">
            <w:pPr>
              <w:widowControl w:val="0"/>
              <w:autoSpaceDE w:val="0"/>
              <w:autoSpaceDN w:val="0"/>
              <w:adjustRightInd w:val="0"/>
              <w:jc w:val="center"/>
              <w:rPr>
                <w:sz w:val="22"/>
                <w:szCs w:val="22"/>
              </w:rPr>
            </w:pPr>
            <w:r w:rsidRPr="003724CB">
              <w:rPr>
                <w:sz w:val="22"/>
                <w:szCs w:val="22"/>
              </w:rPr>
              <w:t>(-0.95)</w:t>
            </w:r>
          </w:p>
        </w:tc>
        <w:tc>
          <w:tcPr>
            <w:tcW w:w="0" w:type="auto"/>
            <w:tcBorders>
              <w:top w:val="nil"/>
              <w:left w:val="nil"/>
              <w:bottom w:val="nil"/>
              <w:right w:val="nil"/>
            </w:tcBorders>
          </w:tcPr>
          <w:p w14:paraId="3DEBB986" w14:textId="49623A53" w:rsidR="00C64587" w:rsidRPr="00AD55AA" w:rsidRDefault="00C64587" w:rsidP="00C64587">
            <w:pPr>
              <w:widowControl w:val="0"/>
              <w:autoSpaceDE w:val="0"/>
              <w:autoSpaceDN w:val="0"/>
              <w:adjustRightInd w:val="0"/>
              <w:jc w:val="center"/>
              <w:rPr>
                <w:sz w:val="22"/>
                <w:szCs w:val="22"/>
              </w:rPr>
            </w:pPr>
            <w:r w:rsidRPr="003724CB">
              <w:rPr>
                <w:sz w:val="22"/>
                <w:szCs w:val="22"/>
              </w:rPr>
              <w:t>(-0.43)</w:t>
            </w:r>
          </w:p>
        </w:tc>
        <w:tc>
          <w:tcPr>
            <w:tcW w:w="0" w:type="auto"/>
            <w:tcBorders>
              <w:top w:val="nil"/>
              <w:left w:val="nil"/>
              <w:bottom w:val="nil"/>
              <w:right w:val="nil"/>
            </w:tcBorders>
          </w:tcPr>
          <w:p w14:paraId="17391EF3" w14:textId="1AFF40E9" w:rsidR="00C64587" w:rsidRPr="00AD55AA" w:rsidRDefault="00C64587" w:rsidP="00C64587">
            <w:pPr>
              <w:widowControl w:val="0"/>
              <w:autoSpaceDE w:val="0"/>
              <w:autoSpaceDN w:val="0"/>
              <w:adjustRightInd w:val="0"/>
              <w:jc w:val="center"/>
              <w:rPr>
                <w:sz w:val="22"/>
                <w:szCs w:val="22"/>
              </w:rPr>
            </w:pPr>
            <w:r w:rsidRPr="003724CB">
              <w:rPr>
                <w:sz w:val="22"/>
                <w:szCs w:val="22"/>
              </w:rPr>
              <w:t>(0.17)</w:t>
            </w:r>
          </w:p>
        </w:tc>
      </w:tr>
      <w:tr w:rsidR="00C64587" w:rsidRPr="00AD55AA" w14:paraId="650C9179" w14:textId="77777777" w:rsidTr="00AB6C46">
        <w:trPr>
          <w:jc w:val="center"/>
        </w:trPr>
        <w:tc>
          <w:tcPr>
            <w:tcW w:w="0" w:type="auto"/>
            <w:tcBorders>
              <w:top w:val="nil"/>
              <w:left w:val="nil"/>
              <w:bottom w:val="nil"/>
              <w:right w:val="nil"/>
            </w:tcBorders>
          </w:tcPr>
          <w:p w14:paraId="135E65F9" w14:textId="3162BFB3" w:rsidR="00C64587" w:rsidRPr="00AD55AA" w:rsidRDefault="00C64587" w:rsidP="00C64587">
            <w:pPr>
              <w:widowControl w:val="0"/>
              <w:autoSpaceDE w:val="0"/>
              <w:autoSpaceDN w:val="0"/>
              <w:adjustRightInd w:val="0"/>
              <w:rPr>
                <w:sz w:val="22"/>
                <w:szCs w:val="22"/>
              </w:rPr>
            </w:pPr>
            <w:r w:rsidRPr="00AD55AA">
              <w:rPr>
                <w:sz w:val="22"/>
                <w:szCs w:val="22"/>
              </w:rPr>
              <w:t xml:space="preserve">Missing ACQ </w:t>
            </w:r>
          </w:p>
        </w:tc>
        <w:tc>
          <w:tcPr>
            <w:tcW w:w="0" w:type="auto"/>
            <w:tcBorders>
              <w:top w:val="nil"/>
              <w:left w:val="nil"/>
              <w:bottom w:val="nil"/>
              <w:right w:val="nil"/>
            </w:tcBorders>
          </w:tcPr>
          <w:p w14:paraId="277AB8D5"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2A117FC6" w14:textId="7443FCDC" w:rsidR="00C64587" w:rsidRPr="00AD55AA" w:rsidRDefault="00C64587" w:rsidP="00C64587">
            <w:pPr>
              <w:widowControl w:val="0"/>
              <w:autoSpaceDE w:val="0"/>
              <w:autoSpaceDN w:val="0"/>
              <w:adjustRightInd w:val="0"/>
              <w:jc w:val="center"/>
              <w:rPr>
                <w:sz w:val="22"/>
                <w:szCs w:val="22"/>
              </w:rPr>
            </w:pPr>
            <w:r w:rsidRPr="003724CB">
              <w:rPr>
                <w:sz w:val="22"/>
                <w:szCs w:val="22"/>
              </w:rPr>
              <w:t>-0.028***</w:t>
            </w:r>
          </w:p>
        </w:tc>
        <w:tc>
          <w:tcPr>
            <w:tcW w:w="0" w:type="auto"/>
            <w:tcBorders>
              <w:top w:val="nil"/>
              <w:left w:val="nil"/>
              <w:bottom w:val="nil"/>
              <w:right w:val="nil"/>
            </w:tcBorders>
          </w:tcPr>
          <w:p w14:paraId="7C5F91D6"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796AC6CF"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1059EE03" w14:textId="77777777" w:rsidR="00C64587" w:rsidRPr="00AD55AA" w:rsidRDefault="00C64587" w:rsidP="00C64587">
            <w:pPr>
              <w:widowControl w:val="0"/>
              <w:autoSpaceDE w:val="0"/>
              <w:autoSpaceDN w:val="0"/>
              <w:adjustRightInd w:val="0"/>
              <w:jc w:val="center"/>
              <w:rPr>
                <w:sz w:val="22"/>
                <w:szCs w:val="22"/>
              </w:rPr>
            </w:pPr>
          </w:p>
        </w:tc>
      </w:tr>
      <w:tr w:rsidR="00C64587" w:rsidRPr="00AD55AA" w14:paraId="24B9CBAF" w14:textId="77777777" w:rsidTr="00AB6C46">
        <w:trPr>
          <w:jc w:val="center"/>
        </w:trPr>
        <w:tc>
          <w:tcPr>
            <w:tcW w:w="0" w:type="auto"/>
            <w:tcBorders>
              <w:top w:val="nil"/>
              <w:left w:val="nil"/>
              <w:bottom w:val="nil"/>
              <w:right w:val="nil"/>
            </w:tcBorders>
          </w:tcPr>
          <w:p w14:paraId="2E35CB7D"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60CC4FE7"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1922346D" w14:textId="48417C91" w:rsidR="00C64587" w:rsidRPr="00AD55AA" w:rsidRDefault="00C64587" w:rsidP="00C64587">
            <w:pPr>
              <w:widowControl w:val="0"/>
              <w:autoSpaceDE w:val="0"/>
              <w:autoSpaceDN w:val="0"/>
              <w:adjustRightInd w:val="0"/>
              <w:jc w:val="center"/>
              <w:rPr>
                <w:sz w:val="22"/>
                <w:szCs w:val="22"/>
              </w:rPr>
            </w:pPr>
            <w:r w:rsidRPr="003724CB">
              <w:rPr>
                <w:sz w:val="22"/>
                <w:szCs w:val="22"/>
              </w:rPr>
              <w:t>(-12.54)</w:t>
            </w:r>
          </w:p>
        </w:tc>
        <w:tc>
          <w:tcPr>
            <w:tcW w:w="0" w:type="auto"/>
            <w:tcBorders>
              <w:top w:val="nil"/>
              <w:left w:val="nil"/>
              <w:bottom w:val="nil"/>
              <w:right w:val="nil"/>
            </w:tcBorders>
          </w:tcPr>
          <w:p w14:paraId="5041F577"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0D72B518"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049A0B8D" w14:textId="77777777" w:rsidR="00C64587" w:rsidRPr="00AD55AA" w:rsidRDefault="00C64587" w:rsidP="00C64587">
            <w:pPr>
              <w:widowControl w:val="0"/>
              <w:autoSpaceDE w:val="0"/>
              <w:autoSpaceDN w:val="0"/>
              <w:adjustRightInd w:val="0"/>
              <w:jc w:val="center"/>
              <w:rPr>
                <w:sz w:val="22"/>
                <w:szCs w:val="22"/>
              </w:rPr>
            </w:pPr>
          </w:p>
        </w:tc>
      </w:tr>
      <w:tr w:rsidR="00C64587" w:rsidRPr="00AD55AA" w14:paraId="5A758151" w14:textId="77777777" w:rsidTr="00AB6C46">
        <w:trPr>
          <w:jc w:val="center"/>
        </w:trPr>
        <w:tc>
          <w:tcPr>
            <w:tcW w:w="0" w:type="auto"/>
            <w:tcBorders>
              <w:top w:val="nil"/>
              <w:left w:val="nil"/>
              <w:bottom w:val="nil"/>
              <w:right w:val="nil"/>
            </w:tcBorders>
          </w:tcPr>
          <w:p w14:paraId="06C7B98A" w14:textId="562EC5D3" w:rsidR="00C64587" w:rsidRPr="00AD55AA" w:rsidRDefault="00C64587" w:rsidP="00C64587">
            <w:pPr>
              <w:widowControl w:val="0"/>
              <w:autoSpaceDE w:val="0"/>
              <w:autoSpaceDN w:val="0"/>
              <w:adjustRightInd w:val="0"/>
              <w:rPr>
                <w:sz w:val="22"/>
                <w:szCs w:val="22"/>
              </w:rPr>
            </w:pPr>
            <w:r w:rsidRPr="00AD55AA">
              <w:rPr>
                <w:sz w:val="22"/>
                <w:szCs w:val="22"/>
              </w:rPr>
              <w:t xml:space="preserve">Missing R&amp;D </w:t>
            </w:r>
          </w:p>
        </w:tc>
        <w:tc>
          <w:tcPr>
            <w:tcW w:w="0" w:type="auto"/>
            <w:tcBorders>
              <w:top w:val="nil"/>
              <w:left w:val="nil"/>
              <w:bottom w:val="nil"/>
              <w:right w:val="nil"/>
            </w:tcBorders>
          </w:tcPr>
          <w:p w14:paraId="3725A91E"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3AD5B067"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32DD245A" w14:textId="30E97644" w:rsidR="00C64587" w:rsidRPr="00AD55AA" w:rsidRDefault="00C64587" w:rsidP="00C64587">
            <w:pPr>
              <w:widowControl w:val="0"/>
              <w:autoSpaceDE w:val="0"/>
              <w:autoSpaceDN w:val="0"/>
              <w:adjustRightInd w:val="0"/>
              <w:jc w:val="center"/>
              <w:rPr>
                <w:sz w:val="22"/>
                <w:szCs w:val="22"/>
              </w:rPr>
            </w:pPr>
            <w:r w:rsidRPr="003724CB">
              <w:rPr>
                <w:sz w:val="22"/>
                <w:szCs w:val="22"/>
              </w:rPr>
              <w:t>-0.060***</w:t>
            </w:r>
          </w:p>
        </w:tc>
        <w:tc>
          <w:tcPr>
            <w:tcW w:w="0" w:type="auto"/>
            <w:tcBorders>
              <w:top w:val="nil"/>
              <w:left w:val="nil"/>
              <w:bottom w:val="nil"/>
              <w:right w:val="nil"/>
            </w:tcBorders>
          </w:tcPr>
          <w:p w14:paraId="68C86EBA"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6C4CD432" w14:textId="77777777" w:rsidR="00C64587" w:rsidRPr="00AD55AA" w:rsidRDefault="00C64587" w:rsidP="00C64587">
            <w:pPr>
              <w:widowControl w:val="0"/>
              <w:autoSpaceDE w:val="0"/>
              <w:autoSpaceDN w:val="0"/>
              <w:adjustRightInd w:val="0"/>
              <w:jc w:val="center"/>
              <w:rPr>
                <w:sz w:val="22"/>
                <w:szCs w:val="22"/>
              </w:rPr>
            </w:pPr>
          </w:p>
        </w:tc>
      </w:tr>
      <w:tr w:rsidR="00C64587" w:rsidRPr="00AD55AA" w14:paraId="26082C5A" w14:textId="77777777" w:rsidTr="00AB6C46">
        <w:trPr>
          <w:jc w:val="center"/>
        </w:trPr>
        <w:tc>
          <w:tcPr>
            <w:tcW w:w="0" w:type="auto"/>
            <w:tcBorders>
              <w:top w:val="nil"/>
              <w:left w:val="nil"/>
              <w:bottom w:val="nil"/>
              <w:right w:val="nil"/>
            </w:tcBorders>
          </w:tcPr>
          <w:p w14:paraId="68EEE3B4"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2FA26415"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03E63E7E"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32F8187A" w14:textId="26C7A374" w:rsidR="00C64587" w:rsidRPr="00AD55AA" w:rsidRDefault="00C64587" w:rsidP="00C64587">
            <w:pPr>
              <w:widowControl w:val="0"/>
              <w:autoSpaceDE w:val="0"/>
              <w:autoSpaceDN w:val="0"/>
              <w:adjustRightInd w:val="0"/>
              <w:jc w:val="center"/>
              <w:rPr>
                <w:sz w:val="22"/>
                <w:szCs w:val="22"/>
              </w:rPr>
            </w:pPr>
            <w:r w:rsidRPr="003724CB">
              <w:rPr>
                <w:sz w:val="22"/>
                <w:szCs w:val="22"/>
              </w:rPr>
              <w:t>(-4.01)</w:t>
            </w:r>
          </w:p>
        </w:tc>
        <w:tc>
          <w:tcPr>
            <w:tcW w:w="0" w:type="auto"/>
            <w:tcBorders>
              <w:top w:val="nil"/>
              <w:left w:val="nil"/>
              <w:bottom w:val="nil"/>
              <w:right w:val="nil"/>
            </w:tcBorders>
          </w:tcPr>
          <w:p w14:paraId="72CFDCB4" w14:textId="77777777" w:rsidR="00C64587" w:rsidRPr="00AD55AA" w:rsidRDefault="00C64587" w:rsidP="00C64587">
            <w:pPr>
              <w:widowControl w:val="0"/>
              <w:autoSpaceDE w:val="0"/>
              <w:autoSpaceDN w:val="0"/>
              <w:adjustRightInd w:val="0"/>
              <w:jc w:val="center"/>
              <w:rPr>
                <w:sz w:val="22"/>
                <w:szCs w:val="22"/>
              </w:rPr>
            </w:pPr>
          </w:p>
        </w:tc>
        <w:tc>
          <w:tcPr>
            <w:tcW w:w="0" w:type="auto"/>
            <w:tcBorders>
              <w:top w:val="nil"/>
              <w:left w:val="nil"/>
              <w:bottom w:val="nil"/>
              <w:right w:val="nil"/>
            </w:tcBorders>
          </w:tcPr>
          <w:p w14:paraId="2B52E42C" w14:textId="77777777" w:rsidR="00C64587" w:rsidRPr="00AD55AA" w:rsidRDefault="00C64587" w:rsidP="00C64587">
            <w:pPr>
              <w:widowControl w:val="0"/>
              <w:autoSpaceDE w:val="0"/>
              <w:autoSpaceDN w:val="0"/>
              <w:adjustRightInd w:val="0"/>
              <w:jc w:val="center"/>
              <w:rPr>
                <w:sz w:val="22"/>
                <w:szCs w:val="22"/>
              </w:rPr>
            </w:pPr>
          </w:p>
        </w:tc>
      </w:tr>
      <w:tr w:rsidR="00C64587" w:rsidRPr="00AD55AA" w14:paraId="09D85ADD" w14:textId="77777777" w:rsidTr="00AB6C46">
        <w:trPr>
          <w:jc w:val="center"/>
        </w:trPr>
        <w:tc>
          <w:tcPr>
            <w:tcW w:w="0" w:type="auto"/>
            <w:tcBorders>
              <w:top w:val="nil"/>
              <w:left w:val="nil"/>
              <w:bottom w:val="nil"/>
              <w:right w:val="nil"/>
            </w:tcBorders>
          </w:tcPr>
          <w:p w14:paraId="229A2D4C" w14:textId="77777777" w:rsidR="00C64587" w:rsidRPr="00AD55AA" w:rsidRDefault="00C64587" w:rsidP="00C64587">
            <w:pPr>
              <w:widowControl w:val="0"/>
              <w:autoSpaceDE w:val="0"/>
              <w:autoSpaceDN w:val="0"/>
              <w:adjustRightInd w:val="0"/>
              <w:rPr>
                <w:sz w:val="22"/>
                <w:szCs w:val="22"/>
              </w:rPr>
            </w:pPr>
            <w:r w:rsidRPr="00AD55AA">
              <w:rPr>
                <w:sz w:val="22"/>
                <w:szCs w:val="22"/>
              </w:rPr>
              <w:t>Constant</w:t>
            </w:r>
          </w:p>
        </w:tc>
        <w:tc>
          <w:tcPr>
            <w:tcW w:w="0" w:type="auto"/>
            <w:tcBorders>
              <w:top w:val="nil"/>
              <w:left w:val="nil"/>
              <w:bottom w:val="nil"/>
              <w:right w:val="nil"/>
            </w:tcBorders>
          </w:tcPr>
          <w:p w14:paraId="0FC883B8" w14:textId="60B04AC6" w:rsidR="00C64587" w:rsidRPr="00AD55AA" w:rsidRDefault="00C64587" w:rsidP="00C64587">
            <w:pPr>
              <w:widowControl w:val="0"/>
              <w:autoSpaceDE w:val="0"/>
              <w:autoSpaceDN w:val="0"/>
              <w:adjustRightInd w:val="0"/>
              <w:jc w:val="center"/>
              <w:rPr>
                <w:sz w:val="22"/>
                <w:szCs w:val="22"/>
              </w:rPr>
            </w:pPr>
            <w:r w:rsidRPr="003724CB">
              <w:rPr>
                <w:sz w:val="22"/>
                <w:szCs w:val="22"/>
              </w:rPr>
              <w:t>1.103***</w:t>
            </w:r>
          </w:p>
        </w:tc>
        <w:tc>
          <w:tcPr>
            <w:tcW w:w="0" w:type="auto"/>
            <w:tcBorders>
              <w:top w:val="nil"/>
              <w:left w:val="nil"/>
              <w:bottom w:val="nil"/>
              <w:right w:val="nil"/>
            </w:tcBorders>
          </w:tcPr>
          <w:p w14:paraId="1A71EBC9" w14:textId="1301A43D" w:rsidR="00C64587" w:rsidRPr="00AD55AA" w:rsidRDefault="00C64587" w:rsidP="00C64587">
            <w:pPr>
              <w:widowControl w:val="0"/>
              <w:autoSpaceDE w:val="0"/>
              <w:autoSpaceDN w:val="0"/>
              <w:adjustRightInd w:val="0"/>
              <w:jc w:val="center"/>
              <w:rPr>
                <w:sz w:val="22"/>
                <w:szCs w:val="22"/>
              </w:rPr>
            </w:pPr>
            <w:r w:rsidRPr="003724CB">
              <w:rPr>
                <w:sz w:val="22"/>
                <w:szCs w:val="22"/>
              </w:rPr>
              <w:t>0.063***</w:t>
            </w:r>
          </w:p>
        </w:tc>
        <w:tc>
          <w:tcPr>
            <w:tcW w:w="0" w:type="auto"/>
            <w:tcBorders>
              <w:top w:val="nil"/>
              <w:left w:val="nil"/>
              <w:bottom w:val="nil"/>
              <w:right w:val="nil"/>
            </w:tcBorders>
          </w:tcPr>
          <w:p w14:paraId="1F6F2B81" w14:textId="2EBDD97E" w:rsidR="00C64587" w:rsidRPr="00AD55AA" w:rsidRDefault="00C64587" w:rsidP="00C64587">
            <w:pPr>
              <w:widowControl w:val="0"/>
              <w:autoSpaceDE w:val="0"/>
              <w:autoSpaceDN w:val="0"/>
              <w:adjustRightInd w:val="0"/>
              <w:jc w:val="center"/>
              <w:rPr>
                <w:sz w:val="22"/>
                <w:szCs w:val="22"/>
              </w:rPr>
            </w:pPr>
            <w:r w:rsidRPr="003724CB">
              <w:rPr>
                <w:sz w:val="22"/>
                <w:szCs w:val="22"/>
              </w:rPr>
              <w:t>0.145***</w:t>
            </w:r>
          </w:p>
        </w:tc>
        <w:tc>
          <w:tcPr>
            <w:tcW w:w="0" w:type="auto"/>
            <w:tcBorders>
              <w:top w:val="nil"/>
              <w:left w:val="nil"/>
              <w:bottom w:val="nil"/>
              <w:right w:val="nil"/>
            </w:tcBorders>
          </w:tcPr>
          <w:p w14:paraId="06E4B129" w14:textId="6AE054AD" w:rsidR="00C64587" w:rsidRPr="00AD55AA" w:rsidRDefault="00C64587" w:rsidP="00C64587">
            <w:pPr>
              <w:widowControl w:val="0"/>
              <w:autoSpaceDE w:val="0"/>
              <w:autoSpaceDN w:val="0"/>
              <w:adjustRightInd w:val="0"/>
              <w:jc w:val="center"/>
              <w:rPr>
                <w:sz w:val="22"/>
                <w:szCs w:val="22"/>
              </w:rPr>
            </w:pPr>
            <w:r w:rsidRPr="003724CB">
              <w:rPr>
                <w:sz w:val="22"/>
                <w:szCs w:val="22"/>
              </w:rPr>
              <w:t>0.194***</w:t>
            </w:r>
          </w:p>
        </w:tc>
        <w:tc>
          <w:tcPr>
            <w:tcW w:w="0" w:type="auto"/>
            <w:tcBorders>
              <w:top w:val="nil"/>
              <w:left w:val="nil"/>
              <w:bottom w:val="nil"/>
              <w:right w:val="nil"/>
            </w:tcBorders>
          </w:tcPr>
          <w:p w14:paraId="0E6D1557" w14:textId="70B831CC" w:rsidR="00C64587" w:rsidRPr="00AD55AA" w:rsidRDefault="00C64587" w:rsidP="00C64587">
            <w:pPr>
              <w:widowControl w:val="0"/>
              <w:autoSpaceDE w:val="0"/>
              <w:autoSpaceDN w:val="0"/>
              <w:adjustRightInd w:val="0"/>
              <w:jc w:val="center"/>
              <w:rPr>
                <w:sz w:val="22"/>
                <w:szCs w:val="22"/>
              </w:rPr>
            </w:pPr>
            <w:r w:rsidRPr="003724CB">
              <w:rPr>
                <w:sz w:val="22"/>
                <w:szCs w:val="22"/>
              </w:rPr>
              <w:t>0.248***</w:t>
            </w:r>
          </w:p>
        </w:tc>
      </w:tr>
      <w:tr w:rsidR="00C64587" w:rsidRPr="00AD55AA" w14:paraId="39965496" w14:textId="77777777" w:rsidTr="00AB6C46">
        <w:trPr>
          <w:jc w:val="center"/>
        </w:trPr>
        <w:tc>
          <w:tcPr>
            <w:tcW w:w="0" w:type="auto"/>
            <w:tcBorders>
              <w:top w:val="nil"/>
              <w:left w:val="nil"/>
              <w:bottom w:val="nil"/>
              <w:right w:val="nil"/>
            </w:tcBorders>
          </w:tcPr>
          <w:p w14:paraId="4C2282DD" w14:textId="77777777" w:rsidR="00C64587" w:rsidRPr="00AD55AA" w:rsidRDefault="00C64587" w:rsidP="00C64587">
            <w:pPr>
              <w:widowControl w:val="0"/>
              <w:autoSpaceDE w:val="0"/>
              <w:autoSpaceDN w:val="0"/>
              <w:adjustRightInd w:val="0"/>
              <w:rPr>
                <w:sz w:val="22"/>
                <w:szCs w:val="22"/>
              </w:rPr>
            </w:pPr>
          </w:p>
        </w:tc>
        <w:tc>
          <w:tcPr>
            <w:tcW w:w="0" w:type="auto"/>
            <w:tcBorders>
              <w:top w:val="nil"/>
              <w:left w:val="nil"/>
              <w:bottom w:val="nil"/>
              <w:right w:val="nil"/>
            </w:tcBorders>
          </w:tcPr>
          <w:p w14:paraId="63032310" w14:textId="7D89B00D" w:rsidR="00C64587" w:rsidRPr="00AD55AA" w:rsidRDefault="00C64587" w:rsidP="00C64587">
            <w:pPr>
              <w:widowControl w:val="0"/>
              <w:autoSpaceDE w:val="0"/>
              <w:autoSpaceDN w:val="0"/>
              <w:adjustRightInd w:val="0"/>
              <w:jc w:val="center"/>
              <w:rPr>
                <w:sz w:val="22"/>
                <w:szCs w:val="22"/>
              </w:rPr>
            </w:pPr>
            <w:r w:rsidRPr="003724CB">
              <w:rPr>
                <w:sz w:val="22"/>
                <w:szCs w:val="22"/>
              </w:rPr>
              <w:t>(14.34)</w:t>
            </w:r>
          </w:p>
        </w:tc>
        <w:tc>
          <w:tcPr>
            <w:tcW w:w="0" w:type="auto"/>
            <w:tcBorders>
              <w:top w:val="nil"/>
              <w:left w:val="nil"/>
              <w:bottom w:val="nil"/>
              <w:right w:val="nil"/>
            </w:tcBorders>
          </w:tcPr>
          <w:p w14:paraId="0A65014C" w14:textId="2D3CAAF3" w:rsidR="00C64587" w:rsidRPr="00AD55AA" w:rsidRDefault="00C64587" w:rsidP="00C64587">
            <w:pPr>
              <w:widowControl w:val="0"/>
              <w:autoSpaceDE w:val="0"/>
              <w:autoSpaceDN w:val="0"/>
              <w:adjustRightInd w:val="0"/>
              <w:jc w:val="center"/>
              <w:rPr>
                <w:sz w:val="22"/>
                <w:szCs w:val="22"/>
              </w:rPr>
            </w:pPr>
            <w:r w:rsidRPr="003724CB">
              <w:rPr>
                <w:sz w:val="22"/>
                <w:szCs w:val="22"/>
              </w:rPr>
              <w:t>(6.84)</w:t>
            </w:r>
          </w:p>
        </w:tc>
        <w:tc>
          <w:tcPr>
            <w:tcW w:w="0" w:type="auto"/>
            <w:tcBorders>
              <w:top w:val="nil"/>
              <w:left w:val="nil"/>
              <w:bottom w:val="nil"/>
              <w:right w:val="nil"/>
            </w:tcBorders>
          </w:tcPr>
          <w:p w14:paraId="5FEF63F9" w14:textId="6F102BA1" w:rsidR="00C64587" w:rsidRPr="00AD55AA" w:rsidRDefault="00C64587" w:rsidP="00C64587">
            <w:pPr>
              <w:widowControl w:val="0"/>
              <w:autoSpaceDE w:val="0"/>
              <w:autoSpaceDN w:val="0"/>
              <w:adjustRightInd w:val="0"/>
              <w:jc w:val="center"/>
              <w:rPr>
                <w:sz w:val="22"/>
                <w:szCs w:val="22"/>
              </w:rPr>
            </w:pPr>
            <w:r w:rsidRPr="003724CB">
              <w:rPr>
                <w:sz w:val="22"/>
                <w:szCs w:val="22"/>
              </w:rPr>
              <w:t>(6.77)</w:t>
            </w:r>
          </w:p>
        </w:tc>
        <w:tc>
          <w:tcPr>
            <w:tcW w:w="0" w:type="auto"/>
            <w:tcBorders>
              <w:top w:val="nil"/>
              <w:left w:val="nil"/>
              <w:bottom w:val="nil"/>
              <w:right w:val="nil"/>
            </w:tcBorders>
          </w:tcPr>
          <w:p w14:paraId="7DDB3D77" w14:textId="31E625B5" w:rsidR="00C64587" w:rsidRPr="00AD55AA" w:rsidRDefault="00C64587" w:rsidP="00C64587">
            <w:pPr>
              <w:widowControl w:val="0"/>
              <w:autoSpaceDE w:val="0"/>
              <w:autoSpaceDN w:val="0"/>
              <w:adjustRightInd w:val="0"/>
              <w:jc w:val="center"/>
              <w:rPr>
                <w:sz w:val="22"/>
                <w:szCs w:val="22"/>
              </w:rPr>
            </w:pPr>
            <w:r w:rsidRPr="003724CB">
              <w:rPr>
                <w:sz w:val="22"/>
                <w:szCs w:val="22"/>
              </w:rPr>
              <w:t>(5.45)</w:t>
            </w:r>
          </w:p>
        </w:tc>
        <w:tc>
          <w:tcPr>
            <w:tcW w:w="0" w:type="auto"/>
            <w:tcBorders>
              <w:top w:val="nil"/>
              <w:left w:val="nil"/>
              <w:bottom w:val="nil"/>
              <w:right w:val="nil"/>
            </w:tcBorders>
          </w:tcPr>
          <w:p w14:paraId="5ED201A7" w14:textId="1916413B" w:rsidR="00C64587" w:rsidRPr="00AD55AA" w:rsidRDefault="00C64587" w:rsidP="00C64587">
            <w:pPr>
              <w:widowControl w:val="0"/>
              <w:autoSpaceDE w:val="0"/>
              <w:autoSpaceDN w:val="0"/>
              <w:adjustRightInd w:val="0"/>
              <w:jc w:val="center"/>
              <w:rPr>
                <w:sz w:val="22"/>
                <w:szCs w:val="22"/>
              </w:rPr>
            </w:pPr>
            <w:r w:rsidRPr="003724CB">
              <w:rPr>
                <w:sz w:val="22"/>
                <w:szCs w:val="22"/>
              </w:rPr>
              <w:t>(7.37)</w:t>
            </w:r>
          </w:p>
        </w:tc>
      </w:tr>
      <w:tr w:rsidR="007D5424" w:rsidRPr="00AD55AA" w14:paraId="521A6376" w14:textId="77777777" w:rsidTr="00AB6C46">
        <w:trPr>
          <w:jc w:val="center"/>
        </w:trPr>
        <w:tc>
          <w:tcPr>
            <w:tcW w:w="0" w:type="auto"/>
            <w:tcBorders>
              <w:top w:val="nil"/>
              <w:left w:val="nil"/>
              <w:bottom w:val="nil"/>
              <w:right w:val="nil"/>
            </w:tcBorders>
          </w:tcPr>
          <w:p w14:paraId="5737CE11" w14:textId="77777777" w:rsidR="007D5424" w:rsidRPr="00AD55AA" w:rsidRDefault="007D5424" w:rsidP="00AB6C46">
            <w:pPr>
              <w:widowControl w:val="0"/>
              <w:autoSpaceDE w:val="0"/>
              <w:autoSpaceDN w:val="0"/>
              <w:adjustRightInd w:val="0"/>
              <w:rPr>
                <w:sz w:val="22"/>
                <w:szCs w:val="22"/>
              </w:rPr>
            </w:pPr>
          </w:p>
        </w:tc>
        <w:tc>
          <w:tcPr>
            <w:tcW w:w="0" w:type="auto"/>
            <w:tcBorders>
              <w:top w:val="nil"/>
              <w:left w:val="nil"/>
              <w:bottom w:val="nil"/>
              <w:right w:val="nil"/>
            </w:tcBorders>
          </w:tcPr>
          <w:p w14:paraId="12E93845"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18207D98"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317EF17C"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6E02DD8A" w14:textId="77777777" w:rsidR="007D5424" w:rsidRPr="00AD55AA" w:rsidRDefault="007D5424"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7EF9D983" w14:textId="77777777" w:rsidR="007D5424" w:rsidRPr="00AD55AA" w:rsidRDefault="007D5424" w:rsidP="00AB6C46">
            <w:pPr>
              <w:widowControl w:val="0"/>
              <w:autoSpaceDE w:val="0"/>
              <w:autoSpaceDN w:val="0"/>
              <w:adjustRightInd w:val="0"/>
              <w:jc w:val="center"/>
              <w:rPr>
                <w:sz w:val="22"/>
                <w:szCs w:val="22"/>
              </w:rPr>
            </w:pPr>
          </w:p>
        </w:tc>
      </w:tr>
      <w:tr w:rsidR="007D5424" w:rsidRPr="00AD55AA" w14:paraId="7E8D0B0C" w14:textId="77777777" w:rsidTr="00AB6C46">
        <w:trPr>
          <w:jc w:val="center"/>
        </w:trPr>
        <w:tc>
          <w:tcPr>
            <w:tcW w:w="0" w:type="auto"/>
            <w:tcBorders>
              <w:top w:val="nil"/>
              <w:left w:val="nil"/>
              <w:bottom w:val="nil"/>
              <w:right w:val="nil"/>
            </w:tcBorders>
          </w:tcPr>
          <w:p w14:paraId="59667CDC" w14:textId="77777777" w:rsidR="007D5424" w:rsidRPr="00AD55AA" w:rsidRDefault="007D5424" w:rsidP="00AB6C46">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4BD0D957"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262EBB25"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69CE3A6E"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27A46C73"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69E12D20"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r>
      <w:tr w:rsidR="007D5424" w:rsidRPr="00AD55AA" w14:paraId="49E430F4" w14:textId="77777777" w:rsidTr="00903916">
        <w:trPr>
          <w:jc w:val="center"/>
        </w:trPr>
        <w:tc>
          <w:tcPr>
            <w:tcW w:w="0" w:type="auto"/>
            <w:tcBorders>
              <w:top w:val="nil"/>
              <w:left w:val="nil"/>
              <w:right w:val="nil"/>
            </w:tcBorders>
          </w:tcPr>
          <w:p w14:paraId="03EDD72E" w14:textId="77777777" w:rsidR="007D5424" w:rsidRPr="00AD55AA" w:rsidRDefault="007D5424" w:rsidP="00AB6C46">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right w:val="nil"/>
            </w:tcBorders>
          </w:tcPr>
          <w:p w14:paraId="5664B116"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6FEA8DBA"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144C18A0"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465975EF"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right w:val="nil"/>
            </w:tcBorders>
          </w:tcPr>
          <w:p w14:paraId="710E3A6C" w14:textId="77777777" w:rsidR="007D5424" w:rsidRPr="00AD55AA" w:rsidRDefault="007D5424" w:rsidP="00AB6C46">
            <w:pPr>
              <w:widowControl w:val="0"/>
              <w:autoSpaceDE w:val="0"/>
              <w:autoSpaceDN w:val="0"/>
              <w:adjustRightInd w:val="0"/>
              <w:jc w:val="center"/>
              <w:rPr>
                <w:sz w:val="22"/>
                <w:szCs w:val="22"/>
              </w:rPr>
            </w:pPr>
            <w:r w:rsidRPr="00AD55AA">
              <w:rPr>
                <w:sz w:val="22"/>
                <w:szCs w:val="22"/>
              </w:rPr>
              <w:t>Yes</w:t>
            </w:r>
          </w:p>
        </w:tc>
      </w:tr>
      <w:tr w:rsidR="007D5424" w:rsidRPr="00AD55AA" w14:paraId="7B774C2A" w14:textId="77777777" w:rsidTr="00AB6C46">
        <w:trPr>
          <w:jc w:val="center"/>
        </w:trPr>
        <w:tc>
          <w:tcPr>
            <w:tcW w:w="0" w:type="auto"/>
            <w:tcBorders>
              <w:top w:val="nil"/>
              <w:left w:val="nil"/>
              <w:right w:val="nil"/>
            </w:tcBorders>
          </w:tcPr>
          <w:p w14:paraId="5236D3E3" w14:textId="77777777" w:rsidR="007D5424" w:rsidRPr="00AD55AA" w:rsidRDefault="007D5424" w:rsidP="007D5424">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1C6B7DBD" w14:textId="09FADFB7" w:rsidR="007D5424" w:rsidRPr="00AD55AA" w:rsidRDefault="007D5424" w:rsidP="007D5424">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62C38011" w14:textId="5D876551" w:rsidR="007D5424" w:rsidRPr="00AD55AA" w:rsidRDefault="007D5424" w:rsidP="007D5424">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0115062A" w14:textId="6C135048" w:rsidR="007D5424" w:rsidRPr="00AD55AA" w:rsidRDefault="007D5424" w:rsidP="007D5424">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1E9A21A6" w14:textId="4628E1DC" w:rsidR="007D5424" w:rsidRPr="00AD55AA" w:rsidRDefault="007D5424" w:rsidP="007D5424">
            <w:pPr>
              <w:widowControl w:val="0"/>
              <w:autoSpaceDE w:val="0"/>
              <w:autoSpaceDN w:val="0"/>
              <w:adjustRightInd w:val="0"/>
              <w:jc w:val="center"/>
              <w:rPr>
                <w:sz w:val="22"/>
                <w:szCs w:val="22"/>
              </w:rPr>
            </w:pPr>
            <w:r w:rsidRPr="00AD55AA">
              <w:rPr>
                <w:sz w:val="22"/>
                <w:szCs w:val="22"/>
              </w:rPr>
              <w:t>25,550</w:t>
            </w:r>
          </w:p>
        </w:tc>
        <w:tc>
          <w:tcPr>
            <w:tcW w:w="0" w:type="auto"/>
            <w:tcBorders>
              <w:top w:val="nil"/>
              <w:left w:val="nil"/>
              <w:right w:val="nil"/>
            </w:tcBorders>
          </w:tcPr>
          <w:p w14:paraId="1A098D1D" w14:textId="7A1F36F1" w:rsidR="007D5424" w:rsidRPr="00AD55AA" w:rsidRDefault="007D5424" w:rsidP="00C64587">
            <w:pPr>
              <w:widowControl w:val="0"/>
              <w:autoSpaceDE w:val="0"/>
              <w:autoSpaceDN w:val="0"/>
              <w:adjustRightInd w:val="0"/>
              <w:jc w:val="center"/>
              <w:rPr>
                <w:sz w:val="22"/>
                <w:szCs w:val="22"/>
              </w:rPr>
            </w:pPr>
            <w:r w:rsidRPr="00AD55AA">
              <w:rPr>
                <w:sz w:val="22"/>
                <w:szCs w:val="22"/>
              </w:rPr>
              <w:t>41,</w:t>
            </w:r>
            <w:r w:rsidR="00C64587">
              <w:rPr>
                <w:sz w:val="22"/>
                <w:szCs w:val="22"/>
              </w:rPr>
              <w:t>88</w:t>
            </w:r>
            <w:r w:rsidRPr="00AD55AA">
              <w:rPr>
                <w:sz w:val="22"/>
                <w:szCs w:val="22"/>
              </w:rPr>
              <w:t>8</w:t>
            </w:r>
          </w:p>
        </w:tc>
      </w:tr>
      <w:tr w:rsidR="00C64587" w:rsidRPr="00AD55AA" w14:paraId="18575128" w14:textId="77777777" w:rsidTr="00903916">
        <w:tblPrEx>
          <w:tblBorders>
            <w:bottom w:val="single" w:sz="6" w:space="0" w:color="auto"/>
          </w:tblBorders>
        </w:tblPrEx>
        <w:trPr>
          <w:jc w:val="center"/>
        </w:trPr>
        <w:tc>
          <w:tcPr>
            <w:tcW w:w="0" w:type="auto"/>
            <w:tcBorders>
              <w:top w:val="nil"/>
              <w:left w:val="nil"/>
              <w:bottom w:val="single" w:sz="4" w:space="0" w:color="auto"/>
              <w:right w:val="nil"/>
            </w:tcBorders>
          </w:tcPr>
          <w:p w14:paraId="2AB1D96A" w14:textId="77777777" w:rsidR="00C64587" w:rsidRPr="00AD55AA" w:rsidRDefault="00C64587" w:rsidP="00C64587">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03EE73D4" w14:textId="5773640D" w:rsidR="00C64587" w:rsidRPr="00AD55AA" w:rsidRDefault="00C64587" w:rsidP="00C64587">
            <w:pPr>
              <w:widowControl w:val="0"/>
              <w:autoSpaceDE w:val="0"/>
              <w:autoSpaceDN w:val="0"/>
              <w:adjustRightInd w:val="0"/>
              <w:jc w:val="center"/>
              <w:rPr>
                <w:sz w:val="22"/>
                <w:szCs w:val="22"/>
              </w:rPr>
            </w:pPr>
            <w:r w:rsidRPr="003724CB">
              <w:rPr>
                <w:sz w:val="22"/>
                <w:szCs w:val="22"/>
              </w:rPr>
              <w:t>0.2101</w:t>
            </w:r>
          </w:p>
        </w:tc>
        <w:tc>
          <w:tcPr>
            <w:tcW w:w="0" w:type="auto"/>
            <w:tcBorders>
              <w:top w:val="nil"/>
              <w:left w:val="nil"/>
              <w:bottom w:val="single" w:sz="4" w:space="0" w:color="auto"/>
              <w:right w:val="nil"/>
            </w:tcBorders>
          </w:tcPr>
          <w:p w14:paraId="6DDE47F5" w14:textId="187FE2C1" w:rsidR="00C64587" w:rsidRPr="00AD55AA" w:rsidRDefault="00C64587" w:rsidP="00C64587">
            <w:pPr>
              <w:widowControl w:val="0"/>
              <w:autoSpaceDE w:val="0"/>
              <w:autoSpaceDN w:val="0"/>
              <w:adjustRightInd w:val="0"/>
              <w:jc w:val="center"/>
              <w:rPr>
                <w:sz w:val="22"/>
                <w:szCs w:val="22"/>
              </w:rPr>
            </w:pPr>
            <w:r w:rsidRPr="003724CB">
              <w:rPr>
                <w:sz w:val="22"/>
                <w:szCs w:val="22"/>
              </w:rPr>
              <w:t>0.1495</w:t>
            </w:r>
          </w:p>
        </w:tc>
        <w:tc>
          <w:tcPr>
            <w:tcW w:w="0" w:type="auto"/>
            <w:tcBorders>
              <w:top w:val="nil"/>
              <w:left w:val="nil"/>
              <w:bottom w:val="single" w:sz="4" w:space="0" w:color="auto"/>
              <w:right w:val="nil"/>
            </w:tcBorders>
          </w:tcPr>
          <w:p w14:paraId="037B67D6" w14:textId="6CDC3EFB" w:rsidR="00C64587" w:rsidRPr="00AD55AA" w:rsidRDefault="00C64587" w:rsidP="00C64587">
            <w:pPr>
              <w:widowControl w:val="0"/>
              <w:autoSpaceDE w:val="0"/>
              <w:autoSpaceDN w:val="0"/>
              <w:adjustRightInd w:val="0"/>
              <w:jc w:val="center"/>
              <w:rPr>
                <w:sz w:val="22"/>
                <w:szCs w:val="22"/>
              </w:rPr>
            </w:pPr>
            <w:r w:rsidRPr="003724CB">
              <w:rPr>
                <w:sz w:val="22"/>
                <w:szCs w:val="22"/>
              </w:rPr>
              <w:t>0.7397</w:t>
            </w:r>
          </w:p>
        </w:tc>
        <w:tc>
          <w:tcPr>
            <w:tcW w:w="0" w:type="auto"/>
            <w:tcBorders>
              <w:top w:val="nil"/>
              <w:left w:val="nil"/>
              <w:bottom w:val="single" w:sz="4" w:space="0" w:color="auto"/>
              <w:right w:val="nil"/>
            </w:tcBorders>
          </w:tcPr>
          <w:p w14:paraId="304B2A86" w14:textId="52E73113" w:rsidR="00C64587" w:rsidRPr="00AD55AA" w:rsidRDefault="00C64587" w:rsidP="00C64587">
            <w:pPr>
              <w:widowControl w:val="0"/>
              <w:autoSpaceDE w:val="0"/>
              <w:autoSpaceDN w:val="0"/>
              <w:adjustRightInd w:val="0"/>
              <w:jc w:val="center"/>
              <w:rPr>
                <w:sz w:val="22"/>
                <w:szCs w:val="22"/>
              </w:rPr>
            </w:pPr>
            <w:r w:rsidRPr="003724CB">
              <w:rPr>
                <w:sz w:val="22"/>
                <w:szCs w:val="22"/>
              </w:rPr>
              <w:t>0.6779</w:t>
            </w:r>
          </w:p>
        </w:tc>
        <w:tc>
          <w:tcPr>
            <w:tcW w:w="0" w:type="auto"/>
            <w:tcBorders>
              <w:top w:val="nil"/>
              <w:left w:val="nil"/>
              <w:bottom w:val="single" w:sz="4" w:space="0" w:color="auto"/>
              <w:right w:val="nil"/>
            </w:tcBorders>
          </w:tcPr>
          <w:p w14:paraId="4EAB2FD8" w14:textId="1C6B31A2" w:rsidR="00C64587" w:rsidRPr="00AD55AA" w:rsidRDefault="00C64587" w:rsidP="00C64587">
            <w:pPr>
              <w:widowControl w:val="0"/>
              <w:autoSpaceDE w:val="0"/>
              <w:autoSpaceDN w:val="0"/>
              <w:adjustRightInd w:val="0"/>
              <w:jc w:val="center"/>
              <w:rPr>
                <w:sz w:val="22"/>
                <w:szCs w:val="22"/>
              </w:rPr>
            </w:pPr>
            <w:r w:rsidRPr="003724CB">
              <w:rPr>
                <w:sz w:val="22"/>
                <w:szCs w:val="22"/>
              </w:rPr>
              <w:t>0.6409</w:t>
            </w:r>
          </w:p>
        </w:tc>
      </w:tr>
      <w:tr w:rsidR="00903916" w:rsidRPr="00AD55AA" w14:paraId="3B9F9016" w14:textId="77777777" w:rsidTr="00903916">
        <w:tblPrEx>
          <w:tblBorders>
            <w:bottom w:val="single" w:sz="6" w:space="0" w:color="auto"/>
          </w:tblBorders>
        </w:tblPrEx>
        <w:trPr>
          <w:jc w:val="center"/>
        </w:trPr>
        <w:tc>
          <w:tcPr>
            <w:tcW w:w="0" w:type="auto"/>
            <w:tcBorders>
              <w:top w:val="single" w:sz="4" w:space="0" w:color="auto"/>
              <w:left w:val="nil"/>
              <w:bottom w:val="nil"/>
              <w:right w:val="nil"/>
            </w:tcBorders>
          </w:tcPr>
          <w:p w14:paraId="7689A192" w14:textId="77777777" w:rsidR="00903916" w:rsidRPr="00AD55AA" w:rsidRDefault="00903916" w:rsidP="007D5424">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19085D6B" w14:textId="77777777" w:rsidR="00903916" w:rsidRPr="00AD55AA" w:rsidRDefault="00903916" w:rsidP="007D5424">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70F4A39D" w14:textId="77777777" w:rsidR="00903916" w:rsidRPr="00AD55AA" w:rsidRDefault="00903916" w:rsidP="007D5424">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7435C4C1" w14:textId="77777777" w:rsidR="00903916" w:rsidRPr="00AD55AA" w:rsidRDefault="00903916" w:rsidP="007D5424">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4DCA10BB" w14:textId="77777777" w:rsidR="00903916" w:rsidRPr="00AD55AA" w:rsidRDefault="00903916" w:rsidP="007D5424">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5BF0B012" w14:textId="77777777" w:rsidR="00903916" w:rsidRPr="00AD55AA" w:rsidRDefault="00903916" w:rsidP="007D5424">
            <w:pPr>
              <w:widowControl w:val="0"/>
              <w:autoSpaceDE w:val="0"/>
              <w:autoSpaceDN w:val="0"/>
              <w:adjustRightInd w:val="0"/>
              <w:jc w:val="center"/>
              <w:rPr>
                <w:sz w:val="22"/>
                <w:szCs w:val="22"/>
              </w:rPr>
            </w:pPr>
          </w:p>
        </w:tc>
      </w:tr>
      <w:tr w:rsidR="00903916" w:rsidRPr="00AD55AA" w14:paraId="1723F8F6" w14:textId="77777777" w:rsidTr="00903916">
        <w:tblPrEx>
          <w:tblBorders>
            <w:bottom w:val="single" w:sz="6" w:space="0" w:color="auto"/>
          </w:tblBorders>
        </w:tblPrEx>
        <w:trPr>
          <w:jc w:val="center"/>
        </w:trPr>
        <w:tc>
          <w:tcPr>
            <w:tcW w:w="0" w:type="auto"/>
            <w:gridSpan w:val="6"/>
            <w:tcBorders>
              <w:top w:val="nil"/>
              <w:left w:val="nil"/>
              <w:bottom w:val="nil"/>
              <w:right w:val="nil"/>
            </w:tcBorders>
          </w:tcPr>
          <w:p w14:paraId="62DB6E51" w14:textId="447812FE" w:rsidR="00903916" w:rsidRPr="00AD55AA" w:rsidRDefault="00903916" w:rsidP="00B745F1">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 </w:t>
            </w:r>
            <w:r w:rsidRPr="00AD55AA">
              <w:rPr>
                <w:sz w:val="22"/>
                <w:szCs w:val="22"/>
              </w:rPr>
              <w:t xml:space="preserve">the results of the </w:t>
            </w:r>
            <w:r w:rsidR="00B745F1">
              <w:rPr>
                <w:sz w:val="22"/>
                <w:szCs w:val="22"/>
              </w:rPr>
              <w:t>additional investment variables analysis</w:t>
            </w:r>
            <w:r>
              <w:rPr>
                <w:sz w:val="22"/>
                <w:szCs w:val="22"/>
              </w:rPr>
              <w:t>.</w:t>
            </w:r>
            <w:r w:rsidRPr="00AD55AA">
              <w:rPr>
                <w:sz w:val="22"/>
                <w:szCs w:val="22"/>
              </w:rPr>
              <w:t xml:space="preserve"> Please refer to Appendix C for variable definitions and data sources. All continuous variables are winsorized at the </w:t>
            </w:r>
            <w:r w:rsidRPr="007B46EA">
              <w:rPr>
                <w:sz w:val="22"/>
                <w:szCs w:val="22"/>
              </w:rPr>
              <w:t>1st and the 99</w:t>
            </w:r>
            <w:r>
              <w:rPr>
                <w:sz w:val="22"/>
                <w:szCs w:val="22"/>
              </w:rPr>
              <w:t xml:space="preserve">th </w:t>
            </w:r>
            <w:r w:rsidRPr="00AD55AA">
              <w:rPr>
                <w:sz w:val="22"/>
                <w:szCs w:val="22"/>
              </w:rPr>
              <w:t>percentiles. All regressions include firm and year fixed effects. Standard errors are clustered at industry level (t-stat in brackets). ***, **, and * indicate statistical significance at the 1%, 5%, and 10% two-tails levels respectively.</w:t>
            </w:r>
          </w:p>
        </w:tc>
      </w:tr>
    </w:tbl>
    <w:p w14:paraId="3BFFC1EE" w14:textId="77777777" w:rsidR="007D5424" w:rsidRPr="00AD55AA" w:rsidRDefault="007D5424" w:rsidP="00245A4A">
      <w:pPr>
        <w:rPr>
          <w:sz w:val="22"/>
          <w:szCs w:val="22"/>
        </w:rPr>
      </w:pPr>
    </w:p>
    <w:p w14:paraId="02E07C14" w14:textId="789C61A8" w:rsidR="00AE43E1" w:rsidRPr="00AD55AA" w:rsidRDefault="00AE43E1" w:rsidP="00245A4A">
      <w:pPr>
        <w:rPr>
          <w:sz w:val="22"/>
          <w:szCs w:val="22"/>
        </w:rPr>
      </w:pPr>
    </w:p>
    <w:p w14:paraId="225B6690" w14:textId="003731D3" w:rsidR="00AE43E1" w:rsidRDefault="00AE43E1">
      <w:pPr>
        <w:spacing w:after="160" w:line="259" w:lineRule="auto"/>
        <w:rPr>
          <w:sz w:val="22"/>
          <w:szCs w:val="22"/>
        </w:rPr>
      </w:pPr>
      <w:r w:rsidRPr="00AD55AA">
        <w:rPr>
          <w:sz w:val="22"/>
          <w:szCs w:val="22"/>
        </w:rPr>
        <w:br w:type="page"/>
      </w:r>
    </w:p>
    <w:p w14:paraId="607F226C" w14:textId="58B66860" w:rsidR="00DE3298" w:rsidRDefault="00DE3298">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3129"/>
        <w:gridCol w:w="296"/>
        <w:gridCol w:w="296"/>
        <w:gridCol w:w="2767"/>
        <w:gridCol w:w="2579"/>
      </w:tblGrid>
      <w:tr w:rsidR="003E5DD0" w:rsidRPr="00AD55AA" w14:paraId="02488B2B" w14:textId="77777777" w:rsidTr="003E5DD0">
        <w:trPr>
          <w:jc w:val="center"/>
        </w:trPr>
        <w:tc>
          <w:tcPr>
            <w:tcW w:w="0" w:type="auto"/>
            <w:tcBorders>
              <w:left w:val="nil"/>
              <w:right w:val="nil"/>
            </w:tcBorders>
          </w:tcPr>
          <w:p w14:paraId="66CD451D" w14:textId="2D0D96F3" w:rsidR="00DE3298" w:rsidRPr="00AD55AA" w:rsidRDefault="00DE3298" w:rsidP="00997225">
            <w:pPr>
              <w:widowControl w:val="0"/>
              <w:autoSpaceDE w:val="0"/>
              <w:autoSpaceDN w:val="0"/>
              <w:adjustRightInd w:val="0"/>
              <w:rPr>
                <w:sz w:val="22"/>
                <w:szCs w:val="22"/>
              </w:rPr>
            </w:pPr>
            <w:r w:rsidRPr="00AD55AA">
              <w:rPr>
                <w:b/>
                <w:sz w:val="22"/>
                <w:szCs w:val="22"/>
              </w:rPr>
              <w:t xml:space="preserve">Table </w:t>
            </w:r>
            <w:r w:rsidR="00997225">
              <w:rPr>
                <w:b/>
                <w:sz w:val="22"/>
                <w:szCs w:val="22"/>
              </w:rPr>
              <w:t>12</w:t>
            </w:r>
          </w:p>
        </w:tc>
        <w:tc>
          <w:tcPr>
            <w:tcW w:w="0" w:type="auto"/>
            <w:gridSpan w:val="2"/>
            <w:tcBorders>
              <w:left w:val="nil"/>
              <w:right w:val="nil"/>
            </w:tcBorders>
          </w:tcPr>
          <w:p w14:paraId="6BE15EF2" w14:textId="77777777" w:rsidR="00DE3298" w:rsidRPr="00AD55AA" w:rsidRDefault="00DE3298" w:rsidP="00315197">
            <w:pPr>
              <w:widowControl w:val="0"/>
              <w:autoSpaceDE w:val="0"/>
              <w:autoSpaceDN w:val="0"/>
              <w:adjustRightInd w:val="0"/>
              <w:jc w:val="center"/>
              <w:rPr>
                <w:sz w:val="22"/>
                <w:szCs w:val="22"/>
              </w:rPr>
            </w:pPr>
          </w:p>
        </w:tc>
        <w:tc>
          <w:tcPr>
            <w:tcW w:w="0" w:type="auto"/>
            <w:gridSpan w:val="2"/>
            <w:tcBorders>
              <w:left w:val="nil"/>
              <w:right w:val="nil"/>
            </w:tcBorders>
          </w:tcPr>
          <w:p w14:paraId="40045BF5" w14:textId="77777777" w:rsidR="00DE3298" w:rsidRPr="00AD55AA" w:rsidRDefault="00DE3298" w:rsidP="00315197">
            <w:pPr>
              <w:widowControl w:val="0"/>
              <w:autoSpaceDE w:val="0"/>
              <w:autoSpaceDN w:val="0"/>
              <w:adjustRightInd w:val="0"/>
              <w:jc w:val="center"/>
              <w:rPr>
                <w:sz w:val="22"/>
                <w:szCs w:val="22"/>
              </w:rPr>
            </w:pPr>
          </w:p>
        </w:tc>
      </w:tr>
      <w:tr w:rsidR="00DE3298" w:rsidRPr="00AD55AA" w14:paraId="551A5BA5" w14:textId="77777777" w:rsidTr="003E5DD0">
        <w:trPr>
          <w:jc w:val="center"/>
        </w:trPr>
        <w:tc>
          <w:tcPr>
            <w:tcW w:w="0" w:type="auto"/>
            <w:gridSpan w:val="5"/>
            <w:tcBorders>
              <w:left w:val="nil"/>
              <w:right w:val="nil"/>
            </w:tcBorders>
          </w:tcPr>
          <w:p w14:paraId="340F96D6" w14:textId="0297F7D8" w:rsidR="00DE3298" w:rsidRPr="00AD55AA" w:rsidRDefault="00134E2B" w:rsidP="00315197">
            <w:pPr>
              <w:widowControl w:val="0"/>
              <w:autoSpaceDE w:val="0"/>
              <w:autoSpaceDN w:val="0"/>
              <w:adjustRightInd w:val="0"/>
              <w:rPr>
                <w:sz w:val="22"/>
                <w:szCs w:val="22"/>
              </w:rPr>
            </w:pPr>
            <w:r>
              <w:rPr>
                <w:b/>
                <w:sz w:val="22"/>
                <w:szCs w:val="22"/>
              </w:rPr>
              <w:t>Takeover</w:t>
            </w:r>
            <w:r w:rsidR="00CD740B">
              <w:rPr>
                <w:b/>
                <w:sz w:val="22"/>
                <w:szCs w:val="22"/>
              </w:rPr>
              <w:t xml:space="preserve"> activity</w:t>
            </w:r>
          </w:p>
        </w:tc>
      </w:tr>
      <w:tr w:rsidR="003E5DD0" w:rsidRPr="00AD55AA" w14:paraId="73C6677D" w14:textId="77777777" w:rsidTr="00CD740B">
        <w:trPr>
          <w:jc w:val="center"/>
        </w:trPr>
        <w:tc>
          <w:tcPr>
            <w:tcW w:w="0" w:type="auto"/>
            <w:tcBorders>
              <w:left w:val="nil"/>
              <w:bottom w:val="single" w:sz="4" w:space="0" w:color="auto"/>
              <w:right w:val="nil"/>
            </w:tcBorders>
          </w:tcPr>
          <w:p w14:paraId="7CFB6A60" w14:textId="77777777" w:rsidR="00DE3298" w:rsidRPr="00AD55AA" w:rsidRDefault="00DE3298" w:rsidP="00315197">
            <w:pPr>
              <w:widowControl w:val="0"/>
              <w:autoSpaceDE w:val="0"/>
              <w:autoSpaceDN w:val="0"/>
              <w:adjustRightInd w:val="0"/>
              <w:rPr>
                <w:sz w:val="22"/>
                <w:szCs w:val="22"/>
              </w:rPr>
            </w:pPr>
          </w:p>
        </w:tc>
        <w:tc>
          <w:tcPr>
            <w:tcW w:w="0" w:type="auto"/>
            <w:gridSpan w:val="2"/>
            <w:tcBorders>
              <w:left w:val="nil"/>
              <w:bottom w:val="single" w:sz="4" w:space="0" w:color="auto"/>
              <w:right w:val="nil"/>
            </w:tcBorders>
          </w:tcPr>
          <w:p w14:paraId="542CE7B3" w14:textId="77777777" w:rsidR="00DE3298" w:rsidRPr="00AD55AA" w:rsidRDefault="00DE3298" w:rsidP="00315197">
            <w:pPr>
              <w:widowControl w:val="0"/>
              <w:autoSpaceDE w:val="0"/>
              <w:autoSpaceDN w:val="0"/>
              <w:adjustRightInd w:val="0"/>
              <w:jc w:val="center"/>
              <w:rPr>
                <w:sz w:val="22"/>
                <w:szCs w:val="22"/>
              </w:rPr>
            </w:pPr>
          </w:p>
        </w:tc>
        <w:tc>
          <w:tcPr>
            <w:tcW w:w="0" w:type="auto"/>
            <w:gridSpan w:val="2"/>
            <w:tcBorders>
              <w:left w:val="nil"/>
              <w:bottom w:val="single" w:sz="4" w:space="0" w:color="auto"/>
              <w:right w:val="nil"/>
            </w:tcBorders>
          </w:tcPr>
          <w:p w14:paraId="59C19D8F" w14:textId="77777777" w:rsidR="00DE3298" w:rsidRPr="00AD55AA" w:rsidRDefault="00DE3298" w:rsidP="00315197">
            <w:pPr>
              <w:widowControl w:val="0"/>
              <w:autoSpaceDE w:val="0"/>
              <w:autoSpaceDN w:val="0"/>
              <w:adjustRightInd w:val="0"/>
              <w:jc w:val="center"/>
              <w:rPr>
                <w:sz w:val="22"/>
                <w:szCs w:val="22"/>
              </w:rPr>
            </w:pPr>
          </w:p>
        </w:tc>
      </w:tr>
      <w:tr w:rsidR="00382E32" w:rsidRPr="00AD55AA" w14:paraId="42F13FA6" w14:textId="77777777" w:rsidTr="00A430A3">
        <w:trPr>
          <w:jc w:val="center"/>
        </w:trPr>
        <w:tc>
          <w:tcPr>
            <w:tcW w:w="0" w:type="auto"/>
            <w:tcBorders>
              <w:top w:val="single" w:sz="4" w:space="0" w:color="auto"/>
              <w:left w:val="nil"/>
              <w:right w:val="nil"/>
            </w:tcBorders>
          </w:tcPr>
          <w:p w14:paraId="24A2DC4F" w14:textId="77777777" w:rsidR="00382E32" w:rsidRPr="00AD55AA" w:rsidRDefault="00382E32" w:rsidP="00382E32">
            <w:pPr>
              <w:widowControl w:val="0"/>
              <w:autoSpaceDE w:val="0"/>
              <w:autoSpaceDN w:val="0"/>
              <w:adjustRightInd w:val="0"/>
              <w:rPr>
                <w:sz w:val="22"/>
                <w:szCs w:val="22"/>
              </w:rPr>
            </w:pPr>
          </w:p>
        </w:tc>
        <w:tc>
          <w:tcPr>
            <w:tcW w:w="0" w:type="auto"/>
            <w:tcBorders>
              <w:top w:val="single" w:sz="4" w:space="0" w:color="auto"/>
              <w:left w:val="nil"/>
              <w:right w:val="nil"/>
            </w:tcBorders>
          </w:tcPr>
          <w:p w14:paraId="5EF90534" w14:textId="12212E50" w:rsidR="00382E32" w:rsidRPr="00AD55AA" w:rsidRDefault="00382E32" w:rsidP="00382E32">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40FA3203" w14:textId="66E3889C" w:rsidR="00382E32" w:rsidRPr="00AD55AA" w:rsidRDefault="00382E32" w:rsidP="00382E32">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30BA269B" w14:textId="1933CD4C" w:rsidR="00382E32" w:rsidRPr="00AD55AA" w:rsidRDefault="00382E32" w:rsidP="00382E32">
            <w:pPr>
              <w:widowControl w:val="0"/>
              <w:autoSpaceDE w:val="0"/>
              <w:autoSpaceDN w:val="0"/>
              <w:adjustRightInd w:val="0"/>
              <w:jc w:val="center"/>
              <w:rPr>
                <w:sz w:val="22"/>
                <w:szCs w:val="22"/>
              </w:rPr>
            </w:pPr>
            <w:r>
              <w:rPr>
                <w:sz w:val="22"/>
                <w:szCs w:val="22"/>
              </w:rPr>
              <w:t>Domestic takeover</w:t>
            </w:r>
          </w:p>
        </w:tc>
        <w:tc>
          <w:tcPr>
            <w:tcW w:w="0" w:type="auto"/>
            <w:tcBorders>
              <w:top w:val="single" w:sz="4" w:space="0" w:color="auto"/>
              <w:left w:val="nil"/>
              <w:right w:val="nil"/>
            </w:tcBorders>
          </w:tcPr>
          <w:p w14:paraId="727D108F" w14:textId="58F64356" w:rsidR="00382E32" w:rsidRPr="00AD55AA" w:rsidRDefault="00382E32" w:rsidP="00382E32">
            <w:pPr>
              <w:widowControl w:val="0"/>
              <w:autoSpaceDE w:val="0"/>
              <w:autoSpaceDN w:val="0"/>
              <w:adjustRightInd w:val="0"/>
              <w:jc w:val="center"/>
              <w:rPr>
                <w:sz w:val="22"/>
                <w:szCs w:val="22"/>
              </w:rPr>
            </w:pPr>
            <w:r>
              <w:rPr>
                <w:sz w:val="22"/>
                <w:szCs w:val="22"/>
              </w:rPr>
              <w:t>Foreign takeover</w:t>
            </w:r>
          </w:p>
        </w:tc>
      </w:tr>
      <w:tr w:rsidR="00382E32" w:rsidRPr="00AD55AA" w14:paraId="7C2A100C" w14:textId="77777777" w:rsidTr="003E5DD0">
        <w:trPr>
          <w:jc w:val="center"/>
        </w:trPr>
        <w:tc>
          <w:tcPr>
            <w:tcW w:w="0" w:type="auto"/>
            <w:tcBorders>
              <w:left w:val="nil"/>
              <w:bottom w:val="single" w:sz="6" w:space="0" w:color="auto"/>
              <w:right w:val="nil"/>
            </w:tcBorders>
          </w:tcPr>
          <w:p w14:paraId="3C23AD54" w14:textId="77777777" w:rsidR="00382E32" w:rsidRPr="00AD55AA" w:rsidRDefault="00382E32" w:rsidP="00382E32">
            <w:pPr>
              <w:widowControl w:val="0"/>
              <w:autoSpaceDE w:val="0"/>
              <w:autoSpaceDN w:val="0"/>
              <w:adjustRightInd w:val="0"/>
              <w:rPr>
                <w:sz w:val="22"/>
                <w:szCs w:val="22"/>
              </w:rPr>
            </w:pPr>
            <w:r w:rsidRPr="00AD55AA">
              <w:rPr>
                <w:sz w:val="22"/>
                <w:szCs w:val="22"/>
              </w:rPr>
              <w:t>Variable:</w:t>
            </w:r>
          </w:p>
        </w:tc>
        <w:tc>
          <w:tcPr>
            <w:tcW w:w="0" w:type="auto"/>
            <w:tcBorders>
              <w:left w:val="nil"/>
              <w:bottom w:val="single" w:sz="6" w:space="0" w:color="auto"/>
              <w:right w:val="nil"/>
            </w:tcBorders>
          </w:tcPr>
          <w:p w14:paraId="3FBD4A2E" w14:textId="27B52F27" w:rsidR="00382E32" w:rsidRPr="00AD55AA" w:rsidRDefault="00382E32" w:rsidP="00382E32">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5BD3984E" w14:textId="41FCC3EE" w:rsidR="00382E32" w:rsidRPr="00AD55AA" w:rsidRDefault="00382E32" w:rsidP="00382E32">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5F86E11E" w14:textId="73579421" w:rsidR="00382E32" w:rsidRPr="00AD55AA" w:rsidRDefault="00382E32" w:rsidP="00382E32">
            <w:pPr>
              <w:widowControl w:val="0"/>
              <w:autoSpaceDE w:val="0"/>
              <w:autoSpaceDN w:val="0"/>
              <w:adjustRightInd w:val="0"/>
              <w:jc w:val="center"/>
              <w:rPr>
                <w:sz w:val="22"/>
                <w:szCs w:val="22"/>
              </w:rPr>
            </w:pPr>
            <w:r w:rsidRPr="00AD55AA">
              <w:rPr>
                <w:sz w:val="22"/>
                <w:szCs w:val="22"/>
              </w:rPr>
              <w:t>(1)</w:t>
            </w:r>
          </w:p>
        </w:tc>
        <w:tc>
          <w:tcPr>
            <w:tcW w:w="0" w:type="auto"/>
            <w:tcBorders>
              <w:left w:val="nil"/>
              <w:bottom w:val="single" w:sz="6" w:space="0" w:color="auto"/>
              <w:right w:val="nil"/>
            </w:tcBorders>
          </w:tcPr>
          <w:p w14:paraId="5477349B" w14:textId="2FDF385A" w:rsidR="00382E32" w:rsidRPr="00AD55AA" w:rsidRDefault="00382E32" w:rsidP="00382E32">
            <w:pPr>
              <w:widowControl w:val="0"/>
              <w:autoSpaceDE w:val="0"/>
              <w:autoSpaceDN w:val="0"/>
              <w:adjustRightInd w:val="0"/>
              <w:jc w:val="center"/>
              <w:rPr>
                <w:sz w:val="22"/>
                <w:szCs w:val="22"/>
              </w:rPr>
            </w:pPr>
            <w:r>
              <w:rPr>
                <w:sz w:val="22"/>
                <w:szCs w:val="22"/>
              </w:rPr>
              <w:t>(2</w:t>
            </w:r>
            <w:r w:rsidRPr="00AD55AA">
              <w:rPr>
                <w:sz w:val="22"/>
                <w:szCs w:val="22"/>
              </w:rPr>
              <w:t>)</w:t>
            </w:r>
          </w:p>
        </w:tc>
      </w:tr>
      <w:tr w:rsidR="00382E32" w:rsidRPr="00AD55AA" w14:paraId="0211BCCE" w14:textId="77777777" w:rsidTr="003E5DD0">
        <w:trPr>
          <w:jc w:val="center"/>
        </w:trPr>
        <w:tc>
          <w:tcPr>
            <w:tcW w:w="0" w:type="auto"/>
            <w:tcBorders>
              <w:top w:val="nil"/>
              <w:left w:val="nil"/>
              <w:bottom w:val="nil"/>
              <w:right w:val="nil"/>
            </w:tcBorders>
          </w:tcPr>
          <w:p w14:paraId="74B69238" w14:textId="77777777" w:rsidR="00382E32" w:rsidRPr="00AD55AA" w:rsidRDefault="00382E32" w:rsidP="00382E32">
            <w:pPr>
              <w:widowControl w:val="0"/>
              <w:autoSpaceDE w:val="0"/>
              <w:autoSpaceDN w:val="0"/>
              <w:adjustRightInd w:val="0"/>
              <w:rPr>
                <w:sz w:val="22"/>
                <w:szCs w:val="22"/>
              </w:rPr>
            </w:pPr>
          </w:p>
        </w:tc>
        <w:tc>
          <w:tcPr>
            <w:tcW w:w="0" w:type="auto"/>
            <w:tcBorders>
              <w:top w:val="nil"/>
              <w:left w:val="nil"/>
              <w:bottom w:val="nil"/>
              <w:right w:val="nil"/>
            </w:tcBorders>
          </w:tcPr>
          <w:p w14:paraId="1B1463E9"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784994F8"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39E4D831"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1B46B16F" w14:textId="77777777" w:rsidR="00382E32" w:rsidRPr="00AD55AA" w:rsidRDefault="00382E32" w:rsidP="00382E32">
            <w:pPr>
              <w:widowControl w:val="0"/>
              <w:autoSpaceDE w:val="0"/>
              <w:autoSpaceDN w:val="0"/>
              <w:adjustRightInd w:val="0"/>
              <w:jc w:val="center"/>
              <w:rPr>
                <w:sz w:val="22"/>
                <w:szCs w:val="22"/>
              </w:rPr>
            </w:pPr>
          </w:p>
        </w:tc>
      </w:tr>
      <w:tr w:rsidR="004F68AE" w:rsidRPr="00AD55AA" w14:paraId="5F8DBC13" w14:textId="77777777" w:rsidTr="003E5DD0">
        <w:trPr>
          <w:jc w:val="center"/>
        </w:trPr>
        <w:tc>
          <w:tcPr>
            <w:tcW w:w="0" w:type="auto"/>
            <w:tcBorders>
              <w:top w:val="nil"/>
              <w:left w:val="nil"/>
              <w:bottom w:val="nil"/>
              <w:right w:val="nil"/>
            </w:tcBorders>
          </w:tcPr>
          <w:p w14:paraId="7D84D744" w14:textId="77777777" w:rsidR="004F68AE" w:rsidRPr="00AD55AA" w:rsidRDefault="004F68AE" w:rsidP="004F68AE">
            <w:pPr>
              <w:widowControl w:val="0"/>
              <w:autoSpaceDE w:val="0"/>
              <w:autoSpaceDN w:val="0"/>
              <w:adjustRightInd w:val="0"/>
              <w:rPr>
                <w:sz w:val="22"/>
                <w:szCs w:val="22"/>
              </w:rPr>
            </w:pPr>
            <w:r w:rsidRPr="00AD55AA">
              <w:rPr>
                <w:sz w:val="22"/>
                <w:szCs w:val="22"/>
              </w:rPr>
              <w:t xml:space="preserve">CFIUS </w:t>
            </w:r>
            <w:r>
              <w:rPr>
                <w:sz w:val="22"/>
                <w:szCs w:val="22"/>
              </w:rPr>
              <w:t xml:space="preserve">Block </w:t>
            </w:r>
          </w:p>
        </w:tc>
        <w:tc>
          <w:tcPr>
            <w:tcW w:w="0" w:type="auto"/>
            <w:tcBorders>
              <w:top w:val="nil"/>
              <w:left w:val="nil"/>
              <w:bottom w:val="nil"/>
              <w:right w:val="nil"/>
            </w:tcBorders>
          </w:tcPr>
          <w:p w14:paraId="6C4340E4" w14:textId="4DF8A712"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6B1D5F0A" w14:textId="18F55396"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60D3F858" w14:textId="02D78AE2" w:rsidR="004F68AE" w:rsidRPr="00154B9B" w:rsidRDefault="004F68AE" w:rsidP="004F68AE">
            <w:pPr>
              <w:widowControl w:val="0"/>
              <w:autoSpaceDE w:val="0"/>
              <w:autoSpaceDN w:val="0"/>
              <w:adjustRightInd w:val="0"/>
              <w:jc w:val="center"/>
              <w:rPr>
                <w:sz w:val="22"/>
                <w:szCs w:val="22"/>
              </w:rPr>
            </w:pPr>
            <w:r w:rsidRPr="00F544E5">
              <w:rPr>
                <w:sz w:val="22"/>
                <w:szCs w:val="22"/>
              </w:rPr>
              <w:t>-0.007</w:t>
            </w:r>
          </w:p>
        </w:tc>
        <w:tc>
          <w:tcPr>
            <w:tcW w:w="0" w:type="auto"/>
            <w:tcBorders>
              <w:top w:val="nil"/>
              <w:left w:val="nil"/>
              <w:bottom w:val="nil"/>
              <w:right w:val="nil"/>
            </w:tcBorders>
          </w:tcPr>
          <w:p w14:paraId="3EEB2F98" w14:textId="38DEAD5A" w:rsidR="004F68AE" w:rsidRPr="00154B9B" w:rsidRDefault="004F68AE" w:rsidP="004F68AE">
            <w:pPr>
              <w:widowControl w:val="0"/>
              <w:autoSpaceDE w:val="0"/>
              <w:autoSpaceDN w:val="0"/>
              <w:adjustRightInd w:val="0"/>
              <w:jc w:val="center"/>
              <w:rPr>
                <w:sz w:val="22"/>
                <w:szCs w:val="22"/>
              </w:rPr>
            </w:pPr>
            <w:r w:rsidRPr="00F544E5">
              <w:rPr>
                <w:sz w:val="22"/>
                <w:szCs w:val="22"/>
              </w:rPr>
              <w:t>-0.005***</w:t>
            </w:r>
          </w:p>
        </w:tc>
      </w:tr>
      <w:tr w:rsidR="004F68AE" w:rsidRPr="00AD55AA" w14:paraId="146D1E3E" w14:textId="77777777" w:rsidTr="003E5DD0">
        <w:trPr>
          <w:jc w:val="center"/>
        </w:trPr>
        <w:tc>
          <w:tcPr>
            <w:tcW w:w="0" w:type="auto"/>
            <w:tcBorders>
              <w:top w:val="nil"/>
              <w:left w:val="nil"/>
              <w:bottom w:val="nil"/>
              <w:right w:val="nil"/>
            </w:tcBorders>
          </w:tcPr>
          <w:p w14:paraId="5B750748" w14:textId="77777777" w:rsidR="004F68AE" w:rsidRPr="00AD55AA" w:rsidRDefault="004F68AE" w:rsidP="004F68AE">
            <w:pPr>
              <w:widowControl w:val="0"/>
              <w:autoSpaceDE w:val="0"/>
              <w:autoSpaceDN w:val="0"/>
              <w:adjustRightInd w:val="0"/>
              <w:rPr>
                <w:sz w:val="22"/>
                <w:szCs w:val="22"/>
              </w:rPr>
            </w:pPr>
          </w:p>
        </w:tc>
        <w:tc>
          <w:tcPr>
            <w:tcW w:w="0" w:type="auto"/>
            <w:tcBorders>
              <w:top w:val="nil"/>
              <w:left w:val="nil"/>
              <w:bottom w:val="nil"/>
              <w:right w:val="nil"/>
            </w:tcBorders>
          </w:tcPr>
          <w:p w14:paraId="33A541F4" w14:textId="572E38BA"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65DFFD96" w14:textId="169457F8"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5D105C6D" w14:textId="7A929D1F" w:rsidR="004F68AE" w:rsidRPr="00154B9B" w:rsidRDefault="004F68AE" w:rsidP="004F68AE">
            <w:pPr>
              <w:widowControl w:val="0"/>
              <w:autoSpaceDE w:val="0"/>
              <w:autoSpaceDN w:val="0"/>
              <w:adjustRightInd w:val="0"/>
              <w:jc w:val="center"/>
              <w:rPr>
                <w:sz w:val="22"/>
                <w:szCs w:val="22"/>
              </w:rPr>
            </w:pPr>
            <w:r w:rsidRPr="00F544E5">
              <w:rPr>
                <w:sz w:val="22"/>
                <w:szCs w:val="22"/>
              </w:rPr>
              <w:t>(-0.66)</w:t>
            </w:r>
          </w:p>
        </w:tc>
        <w:tc>
          <w:tcPr>
            <w:tcW w:w="0" w:type="auto"/>
            <w:tcBorders>
              <w:top w:val="nil"/>
              <w:left w:val="nil"/>
              <w:bottom w:val="nil"/>
              <w:right w:val="nil"/>
            </w:tcBorders>
          </w:tcPr>
          <w:p w14:paraId="57B6A1E1" w14:textId="2C28C71F" w:rsidR="004F68AE" w:rsidRPr="00154B9B" w:rsidRDefault="004F68AE" w:rsidP="004F68AE">
            <w:pPr>
              <w:widowControl w:val="0"/>
              <w:autoSpaceDE w:val="0"/>
              <w:autoSpaceDN w:val="0"/>
              <w:adjustRightInd w:val="0"/>
              <w:jc w:val="center"/>
              <w:rPr>
                <w:sz w:val="22"/>
                <w:szCs w:val="22"/>
              </w:rPr>
            </w:pPr>
            <w:r w:rsidRPr="00F544E5">
              <w:rPr>
                <w:sz w:val="22"/>
                <w:szCs w:val="22"/>
              </w:rPr>
              <w:t>(-2.83)</w:t>
            </w:r>
          </w:p>
        </w:tc>
      </w:tr>
      <w:tr w:rsidR="004F68AE" w:rsidRPr="00AD55AA" w14:paraId="452694FB" w14:textId="77777777" w:rsidTr="003E5DD0">
        <w:trPr>
          <w:jc w:val="center"/>
        </w:trPr>
        <w:tc>
          <w:tcPr>
            <w:tcW w:w="0" w:type="auto"/>
            <w:tcBorders>
              <w:top w:val="nil"/>
              <w:left w:val="nil"/>
              <w:bottom w:val="nil"/>
              <w:right w:val="nil"/>
            </w:tcBorders>
          </w:tcPr>
          <w:p w14:paraId="392DDA69" w14:textId="77777777" w:rsidR="004F68AE" w:rsidRPr="00AD55AA" w:rsidRDefault="004F68AE" w:rsidP="004F68AE">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0" w:type="auto"/>
            <w:tcBorders>
              <w:top w:val="nil"/>
              <w:left w:val="nil"/>
              <w:bottom w:val="nil"/>
              <w:right w:val="nil"/>
            </w:tcBorders>
          </w:tcPr>
          <w:p w14:paraId="2F20B63A" w14:textId="1D90604C"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14FB9EDF" w14:textId="53FF7A97"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140A95A6" w14:textId="462FDBE8" w:rsidR="004F68AE" w:rsidRPr="00154B9B" w:rsidRDefault="004F68AE" w:rsidP="004F68AE">
            <w:pPr>
              <w:widowControl w:val="0"/>
              <w:autoSpaceDE w:val="0"/>
              <w:autoSpaceDN w:val="0"/>
              <w:adjustRightInd w:val="0"/>
              <w:jc w:val="center"/>
              <w:rPr>
                <w:sz w:val="22"/>
                <w:szCs w:val="22"/>
              </w:rPr>
            </w:pPr>
            <w:r w:rsidRPr="00F544E5">
              <w:rPr>
                <w:sz w:val="22"/>
                <w:szCs w:val="22"/>
              </w:rPr>
              <w:t>-0.006***</w:t>
            </w:r>
          </w:p>
        </w:tc>
        <w:tc>
          <w:tcPr>
            <w:tcW w:w="0" w:type="auto"/>
            <w:tcBorders>
              <w:top w:val="nil"/>
              <w:left w:val="nil"/>
              <w:bottom w:val="nil"/>
              <w:right w:val="nil"/>
            </w:tcBorders>
          </w:tcPr>
          <w:p w14:paraId="751BC377" w14:textId="616A3790" w:rsidR="004F68AE" w:rsidRPr="00154B9B" w:rsidRDefault="004F68AE" w:rsidP="004F68AE">
            <w:pPr>
              <w:widowControl w:val="0"/>
              <w:autoSpaceDE w:val="0"/>
              <w:autoSpaceDN w:val="0"/>
              <w:adjustRightInd w:val="0"/>
              <w:jc w:val="center"/>
              <w:rPr>
                <w:sz w:val="22"/>
                <w:szCs w:val="22"/>
              </w:rPr>
            </w:pPr>
            <w:r w:rsidRPr="00F544E5">
              <w:rPr>
                <w:sz w:val="22"/>
                <w:szCs w:val="22"/>
              </w:rPr>
              <w:t>-0.001</w:t>
            </w:r>
          </w:p>
        </w:tc>
      </w:tr>
      <w:tr w:rsidR="004F68AE" w:rsidRPr="00AD55AA" w14:paraId="7D6544F5" w14:textId="77777777" w:rsidTr="003E5DD0">
        <w:trPr>
          <w:jc w:val="center"/>
        </w:trPr>
        <w:tc>
          <w:tcPr>
            <w:tcW w:w="0" w:type="auto"/>
            <w:tcBorders>
              <w:top w:val="nil"/>
              <w:left w:val="nil"/>
              <w:bottom w:val="nil"/>
              <w:right w:val="nil"/>
            </w:tcBorders>
          </w:tcPr>
          <w:p w14:paraId="742E389F" w14:textId="77777777" w:rsidR="004F68AE" w:rsidRPr="00AD55AA" w:rsidRDefault="004F68AE" w:rsidP="004F68AE">
            <w:pPr>
              <w:widowControl w:val="0"/>
              <w:autoSpaceDE w:val="0"/>
              <w:autoSpaceDN w:val="0"/>
              <w:adjustRightInd w:val="0"/>
              <w:rPr>
                <w:sz w:val="22"/>
                <w:szCs w:val="22"/>
              </w:rPr>
            </w:pPr>
          </w:p>
        </w:tc>
        <w:tc>
          <w:tcPr>
            <w:tcW w:w="0" w:type="auto"/>
            <w:tcBorders>
              <w:top w:val="nil"/>
              <w:left w:val="nil"/>
              <w:bottom w:val="nil"/>
              <w:right w:val="nil"/>
            </w:tcBorders>
          </w:tcPr>
          <w:p w14:paraId="2C3F2AFE" w14:textId="46CB0F96"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0E61163D" w14:textId="0B0EE739"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3D9ECBF8" w14:textId="04C8D93F" w:rsidR="004F68AE" w:rsidRPr="00154B9B" w:rsidRDefault="004F68AE" w:rsidP="004F68AE">
            <w:pPr>
              <w:widowControl w:val="0"/>
              <w:autoSpaceDE w:val="0"/>
              <w:autoSpaceDN w:val="0"/>
              <w:adjustRightInd w:val="0"/>
              <w:jc w:val="center"/>
              <w:rPr>
                <w:sz w:val="22"/>
                <w:szCs w:val="22"/>
              </w:rPr>
            </w:pPr>
            <w:r w:rsidRPr="00F544E5">
              <w:rPr>
                <w:sz w:val="22"/>
                <w:szCs w:val="22"/>
              </w:rPr>
              <w:t>(-3.59)</w:t>
            </w:r>
          </w:p>
        </w:tc>
        <w:tc>
          <w:tcPr>
            <w:tcW w:w="0" w:type="auto"/>
            <w:tcBorders>
              <w:top w:val="nil"/>
              <w:left w:val="nil"/>
              <w:bottom w:val="nil"/>
              <w:right w:val="nil"/>
            </w:tcBorders>
          </w:tcPr>
          <w:p w14:paraId="1003D093" w14:textId="2CAD133A" w:rsidR="004F68AE" w:rsidRPr="00154B9B" w:rsidRDefault="004F68AE" w:rsidP="004F68AE">
            <w:pPr>
              <w:widowControl w:val="0"/>
              <w:autoSpaceDE w:val="0"/>
              <w:autoSpaceDN w:val="0"/>
              <w:adjustRightInd w:val="0"/>
              <w:jc w:val="center"/>
              <w:rPr>
                <w:sz w:val="22"/>
                <w:szCs w:val="22"/>
              </w:rPr>
            </w:pPr>
            <w:r w:rsidRPr="00F544E5">
              <w:rPr>
                <w:sz w:val="22"/>
                <w:szCs w:val="22"/>
              </w:rPr>
              <w:t>(-0.73)</w:t>
            </w:r>
          </w:p>
        </w:tc>
      </w:tr>
      <w:tr w:rsidR="004F68AE" w:rsidRPr="00AD55AA" w14:paraId="75ACB362" w14:textId="77777777" w:rsidTr="003E5DD0">
        <w:trPr>
          <w:jc w:val="center"/>
        </w:trPr>
        <w:tc>
          <w:tcPr>
            <w:tcW w:w="0" w:type="auto"/>
            <w:tcBorders>
              <w:top w:val="nil"/>
              <w:left w:val="nil"/>
              <w:bottom w:val="nil"/>
              <w:right w:val="nil"/>
            </w:tcBorders>
          </w:tcPr>
          <w:p w14:paraId="311355A1" w14:textId="77777777" w:rsidR="004F68AE" w:rsidRPr="00AD55AA" w:rsidRDefault="004F68AE" w:rsidP="004F68AE">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0" w:type="auto"/>
            <w:tcBorders>
              <w:top w:val="nil"/>
              <w:left w:val="nil"/>
              <w:bottom w:val="nil"/>
              <w:right w:val="nil"/>
            </w:tcBorders>
          </w:tcPr>
          <w:p w14:paraId="4DC8C73F" w14:textId="7721CE5F"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2A9099D9" w14:textId="55C92C8E"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086AEB22" w14:textId="2867977D" w:rsidR="004F68AE" w:rsidRPr="00154B9B" w:rsidRDefault="004F68AE" w:rsidP="004F68AE">
            <w:pPr>
              <w:widowControl w:val="0"/>
              <w:autoSpaceDE w:val="0"/>
              <w:autoSpaceDN w:val="0"/>
              <w:adjustRightInd w:val="0"/>
              <w:jc w:val="center"/>
              <w:rPr>
                <w:sz w:val="22"/>
                <w:szCs w:val="22"/>
              </w:rPr>
            </w:pPr>
            <w:r w:rsidRPr="00F544E5">
              <w:rPr>
                <w:sz w:val="22"/>
                <w:szCs w:val="22"/>
              </w:rPr>
              <w:t>0.004**</w:t>
            </w:r>
          </w:p>
        </w:tc>
        <w:tc>
          <w:tcPr>
            <w:tcW w:w="0" w:type="auto"/>
            <w:tcBorders>
              <w:top w:val="nil"/>
              <w:left w:val="nil"/>
              <w:bottom w:val="nil"/>
              <w:right w:val="nil"/>
            </w:tcBorders>
          </w:tcPr>
          <w:p w14:paraId="08CB2DE7" w14:textId="7EAFA4C3" w:rsidR="004F68AE" w:rsidRPr="00154B9B" w:rsidRDefault="004F68AE" w:rsidP="004F68AE">
            <w:pPr>
              <w:widowControl w:val="0"/>
              <w:autoSpaceDE w:val="0"/>
              <w:autoSpaceDN w:val="0"/>
              <w:adjustRightInd w:val="0"/>
              <w:jc w:val="center"/>
              <w:rPr>
                <w:sz w:val="22"/>
                <w:szCs w:val="22"/>
              </w:rPr>
            </w:pPr>
            <w:r w:rsidRPr="00F544E5">
              <w:rPr>
                <w:sz w:val="22"/>
                <w:szCs w:val="22"/>
              </w:rPr>
              <w:t>-0.001*</w:t>
            </w:r>
          </w:p>
        </w:tc>
      </w:tr>
      <w:tr w:rsidR="004F68AE" w:rsidRPr="00AD55AA" w14:paraId="2729377A" w14:textId="77777777" w:rsidTr="003E5DD0">
        <w:trPr>
          <w:jc w:val="center"/>
        </w:trPr>
        <w:tc>
          <w:tcPr>
            <w:tcW w:w="0" w:type="auto"/>
            <w:tcBorders>
              <w:top w:val="nil"/>
              <w:left w:val="nil"/>
              <w:bottom w:val="nil"/>
              <w:right w:val="nil"/>
            </w:tcBorders>
          </w:tcPr>
          <w:p w14:paraId="7D6AA6D7" w14:textId="77777777" w:rsidR="004F68AE" w:rsidRPr="00AD55AA" w:rsidRDefault="004F68AE" w:rsidP="004F68AE">
            <w:pPr>
              <w:widowControl w:val="0"/>
              <w:autoSpaceDE w:val="0"/>
              <w:autoSpaceDN w:val="0"/>
              <w:adjustRightInd w:val="0"/>
              <w:rPr>
                <w:sz w:val="22"/>
                <w:szCs w:val="22"/>
              </w:rPr>
            </w:pPr>
          </w:p>
        </w:tc>
        <w:tc>
          <w:tcPr>
            <w:tcW w:w="0" w:type="auto"/>
            <w:tcBorders>
              <w:top w:val="nil"/>
              <w:left w:val="nil"/>
              <w:bottom w:val="nil"/>
              <w:right w:val="nil"/>
            </w:tcBorders>
          </w:tcPr>
          <w:p w14:paraId="7F8F8A33" w14:textId="66F70D64"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40B5CFB9" w14:textId="21BF1BEE"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19EEB62A" w14:textId="3A6A3843" w:rsidR="004F68AE" w:rsidRPr="00154B9B" w:rsidRDefault="004F68AE" w:rsidP="004F68AE">
            <w:pPr>
              <w:widowControl w:val="0"/>
              <w:autoSpaceDE w:val="0"/>
              <w:autoSpaceDN w:val="0"/>
              <w:adjustRightInd w:val="0"/>
              <w:jc w:val="center"/>
              <w:rPr>
                <w:sz w:val="22"/>
                <w:szCs w:val="22"/>
              </w:rPr>
            </w:pPr>
            <w:r w:rsidRPr="00F544E5">
              <w:rPr>
                <w:sz w:val="22"/>
                <w:szCs w:val="22"/>
              </w:rPr>
              <w:t>(2.34)</w:t>
            </w:r>
          </w:p>
        </w:tc>
        <w:tc>
          <w:tcPr>
            <w:tcW w:w="0" w:type="auto"/>
            <w:tcBorders>
              <w:top w:val="nil"/>
              <w:left w:val="nil"/>
              <w:bottom w:val="nil"/>
              <w:right w:val="nil"/>
            </w:tcBorders>
          </w:tcPr>
          <w:p w14:paraId="75CF2772" w14:textId="69A41AC0" w:rsidR="004F68AE" w:rsidRPr="00154B9B" w:rsidRDefault="004F68AE" w:rsidP="004F68AE">
            <w:pPr>
              <w:widowControl w:val="0"/>
              <w:autoSpaceDE w:val="0"/>
              <w:autoSpaceDN w:val="0"/>
              <w:adjustRightInd w:val="0"/>
              <w:jc w:val="center"/>
              <w:rPr>
                <w:sz w:val="22"/>
                <w:szCs w:val="22"/>
              </w:rPr>
            </w:pPr>
            <w:r w:rsidRPr="00F544E5">
              <w:rPr>
                <w:sz w:val="22"/>
                <w:szCs w:val="22"/>
              </w:rPr>
              <w:t>(-1.84)</w:t>
            </w:r>
          </w:p>
        </w:tc>
      </w:tr>
      <w:tr w:rsidR="004F68AE" w:rsidRPr="00AD55AA" w14:paraId="1DF367BE" w14:textId="77777777" w:rsidTr="003E5DD0">
        <w:trPr>
          <w:jc w:val="center"/>
        </w:trPr>
        <w:tc>
          <w:tcPr>
            <w:tcW w:w="0" w:type="auto"/>
            <w:tcBorders>
              <w:top w:val="nil"/>
              <w:left w:val="nil"/>
              <w:bottom w:val="nil"/>
              <w:right w:val="nil"/>
            </w:tcBorders>
          </w:tcPr>
          <w:p w14:paraId="73420EEC" w14:textId="77777777" w:rsidR="004F68AE" w:rsidRPr="00AD55AA" w:rsidRDefault="004F68AE" w:rsidP="004F68AE">
            <w:pPr>
              <w:widowControl w:val="0"/>
              <w:autoSpaceDE w:val="0"/>
              <w:autoSpaceDN w:val="0"/>
              <w:adjustRightInd w:val="0"/>
              <w:rPr>
                <w:sz w:val="22"/>
                <w:szCs w:val="22"/>
              </w:rPr>
            </w:pPr>
            <w:r w:rsidRPr="00AD55AA">
              <w:rPr>
                <w:sz w:val="22"/>
                <w:szCs w:val="22"/>
              </w:rPr>
              <w:t>Size</w:t>
            </w:r>
            <w:r>
              <w:rPr>
                <w:sz w:val="22"/>
                <w:szCs w:val="22"/>
              </w:rPr>
              <w:t xml:space="preserve"> </w:t>
            </w:r>
          </w:p>
        </w:tc>
        <w:tc>
          <w:tcPr>
            <w:tcW w:w="0" w:type="auto"/>
            <w:tcBorders>
              <w:top w:val="nil"/>
              <w:left w:val="nil"/>
              <w:bottom w:val="nil"/>
              <w:right w:val="nil"/>
            </w:tcBorders>
          </w:tcPr>
          <w:p w14:paraId="48435823" w14:textId="2EC9B156"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5A991FD7" w14:textId="3B9F32DB"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3F674EE0" w14:textId="29A3D477" w:rsidR="004F68AE" w:rsidRPr="00154B9B" w:rsidRDefault="004F68AE" w:rsidP="004F68AE">
            <w:pPr>
              <w:widowControl w:val="0"/>
              <w:autoSpaceDE w:val="0"/>
              <w:autoSpaceDN w:val="0"/>
              <w:adjustRightInd w:val="0"/>
              <w:jc w:val="center"/>
              <w:rPr>
                <w:sz w:val="22"/>
                <w:szCs w:val="22"/>
              </w:rPr>
            </w:pPr>
            <w:r w:rsidRPr="00F544E5">
              <w:rPr>
                <w:sz w:val="22"/>
                <w:szCs w:val="22"/>
              </w:rPr>
              <w:t>0.007***</w:t>
            </w:r>
          </w:p>
        </w:tc>
        <w:tc>
          <w:tcPr>
            <w:tcW w:w="0" w:type="auto"/>
            <w:tcBorders>
              <w:top w:val="nil"/>
              <w:left w:val="nil"/>
              <w:bottom w:val="nil"/>
              <w:right w:val="nil"/>
            </w:tcBorders>
          </w:tcPr>
          <w:p w14:paraId="7949C40F" w14:textId="4FD3DF12" w:rsidR="004F68AE" w:rsidRPr="00154B9B" w:rsidRDefault="004F68AE" w:rsidP="004F68AE">
            <w:pPr>
              <w:widowControl w:val="0"/>
              <w:autoSpaceDE w:val="0"/>
              <w:autoSpaceDN w:val="0"/>
              <w:adjustRightInd w:val="0"/>
              <w:jc w:val="center"/>
              <w:rPr>
                <w:sz w:val="22"/>
                <w:szCs w:val="22"/>
              </w:rPr>
            </w:pPr>
            <w:r w:rsidRPr="00F544E5">
              <w:rPr>
                <w:sz w:val="22"/>
                <w:szCs w:val="22"/>
              </w:rPr>
              <w:t>0.001</w:t>
            </w:r>
          </w:p>
        </w:tc>
      </w:tr>
      <w:tr w:rsidR="004F68AE" w:rsidRPr="00AD55AA" w14:paraId="1E70AAFF" w14:textId="77777777" w:rsidTr="003E5DD0">
        <w:trPr>
          <w:jc w:val="center"/>
        </w:trPr>
        <w:tc>
          <w:tcPr>
            <w:tcW w:w="0" w:type="auto"/>
            <w:tcBorders>
              <w:top w:val="nil"/>
              <w:left w:val="nil"/>
              <w:bottom w:val="nil"/>
              <w:right w:val="nil"/>
            </w:tcBorders>
          </w:tcPr>
          <w:p w14:paraId="1DDF93E8" w14:textId="77777777" w:rsidR="004F68AE" w:rsidRPr="00AD55AA" w:rsidRDefault="004F68AE" w:rsidP="004F68AE">
            <w:pPr>
              <w:widowControl w:val="0"/>
              <w:autoSpaceDE w:val="0"/>
              <w:autoSpaceDN w:val="0"/>
              <w:adjustRightInd w:val="0"/>
              <w:rPr>
                <w:sz w:val="22"/>
                <w:szCs w:val="22"/>
              </w:rPr>
            </w:pPr>
          </w:p>
        </w:tc>
        <w:tc>
          <w:tcPr>
            <w:tcW w:w="0" w:type="auto"/>
            <w:tcBorders>
              <w:top w:val="nil"/>
              <w:left w:val="nil"/>
              <w:bottom w:val="nil"/>
              <w:right w:val="nil"/>
            </w:tcBorders>
          </w:tcPr>
          <w:p w14:paraId="2539E162" w14:textId="0AA4FB53"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3888259F" w14:textId="656EDAA4"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5A18275E" w14:textId="38E529A5" w:rsidR="004F68AE" w:rsidRPr="00154B9B" w:rsidRDefault="004F68AE" w:rsidP="004F68AE">
            <w:pPr>
              <w:widowControl w:val="0"/>
              <w:autoSpaceDE w:val="0"/>
              <w:autoSpaceDN w:val="0"/>
              <w:adjustRightInd w:val="0"/>
              <w:jc w:val="center"/>
              <w:rPr>
                <w:sz w:val="22"/>
                <w:szCs w:val="22"/>
              </w:rPr>
            </w:pPr>
            <w:r w:rsidRPr="00F544E5">
              <w:rPr>
                <w:sz w:val="22"/>
                <w:szCs w:val="22"/>
              </w:rPr>
              <w:t>(3.70)</w:t>
            </w:r>
          </w:p>
        </w:tc>
        <w:tc>
          <w:tcPr>
            <w:tcW w:w="0" w:type="auto"/>
            <w:tcBorders>
              <w:top w:val="nil"/>
              <w:left w:val="nil"/>
              <w:bottom w:val="nil"/>
              <w:right w:val="nil"/>
            </w:tcBorders>
          </w:tcPr>
          <w:p w14:paraId="6BAB1C7C" w14:textId="7AA2272F" w:rsidR="004F68AE" w:rsidRPr="00154B9B" w:rsidRDefault="004F68AE" w:rsidP="004F68AE">
            <w:pPr>
              <w:widowControl w:val="0"/>
              <w:autoSpaceDE w:val="0"/>
              <w:autoSpaceDN w:val="0"/>
              <w:adjustRightInd w:val="0"/>
              <w:jc w:val="center"/>
              <w:rPr>
                <w:sz w:val="22"/>
                <w:szCs w:val="22"/>
              </w:rPr>
            </w:pPr>
            <w:r w:rsidRPr="00F544E5">
              <w:rPr>
                <w:sz w:val="22"/>
                <w:szCs w:val="22"/>
              </w:rPr>
              <w:t>(1.13)</w:t>
            </w:r>
          </w:p>
        </w:tc>
      </w:tr>
      <w:tr w:rsidR="004F68AE" w:rsidRPr="00AD55AA" w14:paraId="5C19E953" w14:textId="77777777" w:rsidTr="003E5DD0">
        <w:trPr>
          <w:jc w:val="center"/>
        </w:trPr>
        <w:tc>
          <w:tcPr>
            <w:tcW w:w="0" w:type="auto"/>
            <w:tcBorders>
              <w:top w:val="nil"/>
              <w:left w:val="nil"/>
              <w:bottom w:val="nil"/>
              <w:right w:val="nil"/>
            </w:tcBorders>
          </w:tcPr>
          <w:p w14:paraId="635CCC7B" w14:textId="77777777" w:rsidR="004F68AE" w:rsidRPr="00AD55AA" w:rsidRDefault="004F68AE" w:rsidP="004F68AE">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0" w:type="auto"/>
            <w:tcBorders>
              <w:top w:val="nil"/>
              <w:left w:val="nil"/>
              <w:bottom w:val="nil"/>
              <w:right w:val="nil"/>
            </w:tcBorders>
          </w:tcPr>
          <w:p w14:paraId="7A1D6E56" w14:textId="764A52C6"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561EC969" w14:textId="68C6B2AC"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762197D5" w14:textId="01D58DB9" w:rsidR="004F68AE" w:rsidRPr="00154B9B" w:rsidRDefault="004F68AE" w:rsidP="004F68AE">
            <w:pPr>
              <w:widowControl w:val="0"/>
              <w:autoSpaceDE w:val="0"/>
              <w:autoSpaceDN w:val="0"/>
              <w:adjustRightInd w:val="0"/>
              <w:jc w:val="center"/>
              <w:rPr>
                <w:sz w:val="22"/>
                <w:szCs w:val="22"/>
              </w:rPr>
            </w:pPr>
            <w:r w:rsidRPr="00F544E5">
              <w:rPr>
                <w:sz w:val="22"/>
                <w:szCs w:val="22"/>
              </w:rPr>
              <w:t>-0.000***</w:t>
            </w:r>
          </w:p>
        </w:tc>
        <w:tc>
          <w:tcPr>
            <w:tcW w:w="0" w:type="auto"/>
            <w:tcBorders>
              <w:top w:val="nil"/>
              <w:left w:val="nil"/>
              <w:bottom w:val="nil"/>
              <w:right w:val="nil"/>
            </w:tcBorders>
          </w:tcPr>
          <w:p w14:paraId="01CACCA8" w14:textId="447529D4" w:rsidR="004F68AE" w:rsidRPr="00154B9B" w:rsidRDefault="004F68AE" w:rsidP="004F68AE">
            <w:pPr>
              <w:widowControl w:val="0"/>
              <w:autoSpaceDE w:val="0"/>
              <w:autoSpaceDN w:val="0"/>
              <w:adjustRightInd w:val="0"/>
              <w:jc w:val="center"/>
              <w:rPr>
                <w:sz w:val="22"/>
                <w:szCs w:val="22"/>
              </w:rPr>
            </w:pPr>
            <w:r w:rsidRPr="00F544E5">
              <w:rPr>
                <w:sz w:val="22"/>
                <w:szCs w:val="22"/>
              </w:rPr>
              <w:t>0.000</w:t>
            </w:r>
          </w:p>
        </w:tc>
      </w:tr>
      <w:tr w:rsidR="004F68AE" w:rsidRPr="00AD55AA" w14:paraId="5B78D992" w14:textId="77777777" w:rsidTr="003E5DD0">
        <w:trPr>
          <w:jc w:val="center"/>
        </w:trPr>
        <w:tc>
          <w:tcPr>
            <w:tcW w:w="0" w:type="auto"/>
            <w:tcBorders>
              <w:top w:val="nil"/>
              <w:left w:val="nil"/>
              <w:bottom w:val="nil"/>
              <w:right w:val="nil"/>
            </w:tcBorders>
          </w:tcPr>
          <w:p w14:paraId="6918FA02" w14:textId="77777777" w:rsidR="004F68AE" w:rsidRPr="00AD55AA" w:rsidRDefault="004F68AE" w:rsidP="004F68AE">
            <w:pPr>
              <w:widowControl w:val="0"/>
              <w:autoSpaceDE w:val="0"/>
              <w:autoSpaceDN w:val="0"/>
              <w:adjustRightInd w:val="0"/>
              <w:rPr>
                <w:sz w:val="22"/>
                <w:szCs w:val="22"/>
              </w:rPr>
            </w:pPr>
          </w:p>
        </w:tc>
        <w:tc>
          <w:tcPr>
            <w:tcW w:w="0" w:type="auto"/>
            <w:tcBorders>
              <w:top w:val="nil"/>
              <w:left w:val="nil"/>
              <w:bottom w:val="nil"/>
              <w:right w:val="nil"/>
            </w:tcBorders>
          </w:tcPr>
          <w:p w14:paraId="7E3BFBEF" w14:textId="1C567BE7"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5E3CFE87" w14:textId="29C15C4F"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64FD60E0" w14:textId="6F55C306" w:rsidR="004F68AE" w:rsidRPr="00154B9B" w:rsidRDefault="004F68AE" w:rsidP="004F68AE">
            <w:pPr>
              <w:widowControl w:val="0"/>
              <w:autoSpaceDE w:val="0"/>
              <w:autoSpaceDN w:val="0"/>
              <w:adjustRightInd w:val="0"/>
              <w:jc w:val="center"/>
              <w:rPr>
                <w:sz w:val="22"/>
                <w:szCs w:val="22"/>
              </w:rPr>
            </w:pPr>
            <w:r w:rsidRPr="00F544E5">
              <w:rPr>
                <w:sz w:val="22"/>
                <w:szCs w:val="22"/>
              </w:rPr>
              <w:t>(-3.17)</w:t>
            </w:r>
          </w:p>
        </w:tc>
        <w:tc>
          <w:tcPr>
            <w:tcW w:w="0" w:type="auto"/>
            <w:tcBorders>
              <w:top w:val="nil"/>
              <w:left w:val="nil"/>
              <w:bottom w:val="nil"/>
              <w:right w:val="nil"/>
            </w:tcBorders>
          </w:tcPr>
          <w:p w14:paraId="677A576D" w14:textId="3388992A" w:rsidR="004F68AE" w:rsidRPr="00154B9B" w:rsidRDefault="004F68AE" w:rsidP="004F68AE">
            <w:pPr>
              <w:widowControl w:val="0"/>
              <w:autoSpaceDE w:val="0"/>
              <w:autoSpaceDN w:val="0"/>
              <w:adjustRightInd w:val="0"/>
              <w:jc w:val="center"/>
              <w:rPr>
                <w:sz w:val="22"/>
                <w:szCs w:val="22"/>
              </w:rPr>
            </w:pPr>
            <w:r w:rsidRPr="00F544E5">
              <w:rPr>
                <w:sz w:val="22"/>
                <w:szCs w:val="22"/>
              </w:rPr>
              <w:t>(0.24)</w:t>
            </w:r>
          </w:p>
        </w:tc>
      </w:tr>
      <w:tr w:rsidR="004F68AE" w:rsidRPr="00AD55AA" w14:paraId="49A96C62" w14:textId="77777777" w:rsidTr="003E5DD0">
        <w:trPr>
          <w:jc w:val="center"/>
        </w:trPr>
        <w:tc>
          <w:tcPr>
            <w:tcW w:w="0" w:type="auto"/>
            <w:tcBorders>
              <w:top w:val="nil"/>
              <w:left w:val="nil"/>
              <w:bottom w:val="nil"/>
              <w:right w:val="nil"/>
            </w:tcBorders>
          </w:tcPr>
          <w:p w14:paraId="463FA23C" w14:textId="77777777" w:rsidR="004F68AE" w:rsidRPr="00AD55AA" w:rsidRDefault="004F68AE" w:rsidP="004F68AE">
            <w:pPr>
              <w:widowControl w:val="0"/>
              <w:autoSpaceDE w:val="0"/>
              <w:autoSpaceDN w:val="0"/>
              <w:adjustRightInd w:val="0"/>
              <w:rPr>
                <w:sz w:val="22"/>
                <w:szCs w:val="22"/>
              </w:rPr>
            </w:pPr>
            <w:r w:rsidRPr="00AD55AA">
              <w:rPr>
                <w:sz w:val="22"/>
                <w:szCs w:val="22"/>
              </w:rPr>
              <w:t>Constant</w:t>
            </w:r>
          </w:p>
        </w:tc>
        <w:tc>
          <w:tcPr>
            <w:tcW w:w="0" w:type="auto"/>
            <w:tcBorders>
              <w:top w:val="nil"/>
              <w:left w:val="nil"/>
              <w:bottom w:val="nil"/>
              <w:right w:val="nil"/>
            </w:tcBorders>
          </w:tcPr>
          <w:p w14:paraId="123FBCBA" w14:textId="23431396"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3237F8BF" w14:textId="79FF04C8"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284E94AD" w14:textId="3F0B7F01" w:rsidR="004F68AE" w:rsidRPr="00154B9B" w:rsidRDefault="004F68AE" w:rsidP="004F68AE">
            <w:pPr>
              <w:widowControl w:val="0"/>
              <w:autoSpaceDE w:val="0"/>
              <w:autoSpaceDN w:val="0"/>
              <w:adjustRightInd w:val="0"/>
              <w:jc w:val="center"/>
              <w:rPr>
                <w:sz w:val="22"/>
                <w:szCs w:val="22"/>
              </w:rPr>
            </w:pPr>
            <w:r w:rsidRPr="00F544E5">
              <w:rPr>
                <w:sz w:val="22"/>
                <w:szCs w:val="22"/>
              </w:rPr>
              <w:t>0.002</w:t>
            </w:r>
          </w:p>
        </w:tc>
        <w:tc>
          <w:tcPr>
            <w:tcW w:w="0" w:type="auto"/>
            <w:tcBorders>
              <w:top w:val="nil"/>
              <w:left w:val="nil"/>
              <w:bottom w:val="nil"/>
              <w:right w:val="nil"/>
            </w:tcBorders>
          </w:tcPr>
          <w:p w14:paraId="69AA69CA" w14:textId="19DC7BF9" w:rsidR="004F68AE" w:rsidRPr="00154B9B" w:rsidRDefault="004F68AE" w:rsidP="004F68AE">
            <w:pPr>
              <w:widowControl w:val="0"/>
              <w:autoSpaceDE w:val="0"/>
              <w:autoSpaceDN w:val="0"/>
              <w:adjustRightInd w:val="0"/>
              <w:jc w:val="center"/>
              <w:rPr>
                <w:sz w:val="22"/>
                <w:szCs w:val="22"/>
              </w:rPr>
            </w:pPr>
            <w:r w:rsidRPr="00F544E5">
              <w:rPr>
                <w:sz w:val="22"/>
                <w:szCs w:val="22"/>
              </w:rPr>
              <w:t>0.001</w:t>
            </w:r>
          </w:p>
        </w:tc>
      </w:tr>
      <w:tr w:rsidR="004F68AE" w:rsidRPr="00AD55AA" w14:paraId="75D85499" w14:textId="77777777" w:rsidTr="003E5DD0">
        <w:trPr>
          <w:jc w:val="center"/>
        </w:trPr>
        <w:tc>
          <w:tcPr>
            <w:tcW w:w="0" w:type="auto"/>
            <w:tcBorders>
              <w:top w:val="nil"/>
              <w:left w:val="nil"/>
              <w:bottom w:val="nil"/>
              <w:right w:val="nil"/>
            </w:tcBorders>
          </w:tcPr>
          <w:p w14:paraId="03AFCB10" w14:textId="77777777" w:rsidR="004F68AE" w:rsidRPr="00AD55AA" w:rsidRDefault="004F68AE" w:rsidP="004F68AE">
            <w:pPr>
              <w:widowControl w:val="0"/>
              <w:autoSpaceDE w:val="0"/>
              <w:autoSpaceDN w:val="0"/>
              <w:adjustRightInd w:val="0"/>
              <w:rPr>
                <w:sz w:val="22"/>
                <w:szCs w:val="22"/>
              </w:rPr>
            </w:pPr>
          </w:p>
        </w:tc>
        <w:tc>
          <w:tcPr>
            <w:tcW w:w="0" w:type="auto"/>
            <w:tcBorders>
              <w:top w:val="nil"/>
              <w:left w:val="nil"/>
              <w:bottom w:val="nil"/>
              <w:right w:val="nil"/>
            </w:tcBorders>
          </w:tcPr>
          <w:p w14:paraId="0A0DE807" w14:textId="5F531710"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528B0565" w14:textId="476774CD"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nil"/>
              <w:right w:val="nil"/>
            </w:tcBorders>
          </w:tcPr>
          <w:p w14:paraId="3A5ADE04" w14:textId="428E2E70" w:rsidR="004F68AE" w:rsidRPr="00154B9B" w:rsidRDefault="004F68AE" w:rsidP="004F68AE">
            <w:pPr>
              <w:widowControl w:val="0"/>
              <w:autoSpaceDE w:val="0"/>
              <w:autoSpaceDN w:val="0"/>
              <w:adjustRightInd w:val="0"/>
              <w:jc w:val="center"/>
              <w:rPr>
                <w:sz w:val="22"/>
                <w:szCs w:val="22"/>
              </w:rPr>
            </w:pPr>
            <w:r w:rsidRPr="00F544E5">
              <w:rPr>
                <w:sz w:val="22"/>
                <w:szCs w:val="22"/>
              </w:rPr>
              <w:t>(0.21)</w:t>
            </w:r>
          </w:p>
        </w:tc>
        <w:tc>
          <w:tcPr>
            <w:tcW w:w="0" w:type="auto"/>
            <w:tcBorders>
              <w:top w:val="nil"/>
              <w:left w:val="nil"/>
              <w:bottom w:val="nil"/>
              <w:right w:val="nil"/>
            </w:tcBorders>
          </w:tcPr>
          <w:p w14:paraId="4B040FA0" w14:textId="643BBF3A" w:rsidR="004F68AE" w:rsidRPr="00154B9B" w:rsidRDefault="004F68AE" w:rsidP="004F68AE">
            <w:pPr>
              <w:widowControl w:val="0"/>
              <w:autoSpaceDE w:val="0"/>
              <w:autoSpaceDN w:val="0"/>
              <w:adjustRightInd w:val="0"/>
              <w:jc w:val="center"/>
              <w:rPr>
                <w:sz w:val="22"/>
                <w:szCs w:val="22"/>
              </w:rPr>
            </w:pPr>
            <w:r w:rsidRPr="00F544E5">
              <w:rPr>
                <w:sz w:val="22"/>
                <w:szCs w:val="22"/>
              </w:rPr>
              <w:t>(0.20)</w:t>
            </w:r>
          </w:p>
        </w:tc>
      </w:tr>
      <w:tr w:rsidR="00382E32" w:rsidRPr="00AD55AA" w14:paraId="1AAE427B" w14:textId="77777777" w:rsidTr="003E5DD0">
        <w:trPr>
          <w:jc w:val="center"/>
        </w:trPr>
        <w:tc>
          <w:tcPr>
            <w:tcW w:w="0" w:type="auto"/>
            <w:tcBorders>
              <w:top w:val="nil"/>
              <w:left w:val="nil"/>
              <w:bottom w:val="nil"/>
              <w:right w:val="nil"/>
            </w:tcBorders>
          </w:tcPr>
          <w:p w14:paraId="07326BDE" w14:textId="77777777" w:rsidR="00382E32" w:rsidRPr="00AD55AA" w:rsidRDefault="00382E32" w:rsidP="00382E32">
            <w:pPr>
              <w:widowControl w:val="0"/>
              <w:autoSpaceDE w:val="0"/>
              <w:autoSpaceDN w:val="0"/>
              <w:adjustRightInd w:val="0"/>
              <w:rPr>
                <w:sz w:val="22"/>
                <w:szCs w:val="22"/>
              </w:rPr>
            </w:pPr>
          </w:p>
        </w:tc>
        <w:tc>
          <w:tcPr>
            <w:tcW w:w="0" w:type="auto"/>
            <w:tcBorders>
              <w:top w:val="nil"/>
              <w:left w:val="nil"/>
              <w:bottom w:val="nil"/>
              <w:right w:val="nil"/>
            </w:tcBorders>
          </w:tcPr>
          <w:p w14:paraId="3460E7E9"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04AD9B55"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132CBC83"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36489CA5" w14:textId="77777777" w:rsidR="00382E32" w:rsidRPr="00AD55AA" w:rsidRDefault="00382E32" w:rsidP="00382E32">
            <w:pPr>
              <w:widowControl w:val="0"/>
              <w:autoSpaceDE w:val="0"/>
              <w:autoSpaceDN w:val="0"/>
              <w:adjustRightInd w:val="0"/>
              <w:jc w:val="center"/>
              <w:rPr>
                <w:sz w:val="22"/>
                <w:szCs w:val="22"/>
              </w:rPr>
            </w:pPr>
          </w:p>
        </w:tc>
      </w:tr>
      <w:tr w:rsidR="00382E32" w:rsidRPr="00AD55AA" w14:paraId="2C7CC857" w14:textId="77777777" w:rsidTr="003E5DD0">
        <w:trPr>
          <w:jc w:val="center"/>
        </w:trPr>
        <w:tc>
          <w:tcPr>
            <w:tcW w:w="0" w:type="auto"/>
            <w:tcBorders>
              <w:top w:val="nil"/>
              <w:left w:val="nil"/>
              <w:bottom w:val="nil"/>
              <w:right w:val="nil"/>
            </w:tcBorders>
          </w:tcPr>
          <w:p w14:paraId="2A3928AD" w14:textId="77777777" w:rsidR="00382E32" w:rsidRPr="00AD55AA" w:rsidRDefault="00382E32" w:rsidP="00382E32">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6DDA2CF7" w14:textId="11A8BC26"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65FC01CE" w14:textId="66F8B7F5"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0FDE2244" w14:textId="702B1782" w:rsidR="00382E32" w:rsidRPr="00AD55AA" w:rsidRDefault="00382E32" w:rsidP="00382E32">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57D549CB" w14:textId="77777777" w:rsidR="00382E32" w:rsidRPr="00AD55AA" w:rsidRDefault="00382E32" w:rsidP="00382E32">
            <w:pPr>
              <w:widowControl w:val="0"/>
              <w:autoSpaceDE w:val="0"/>
              <w:autoSpaceDN w:val="0"/>
              <w:adjustRightInd w:val="0"/>
              <w:jc w:val="center"/>
              <w:rPr>
                <w:sz w:val="22"/>
                <w:szCs w:val="22"/>
              </w:rPr>
            </w:pPr>
            <w:r w:rsidRPr="00AD55AA">
              <w:rPr>
                <w:sz w:val="22"/>
                <w:szCs w:val="22"/>
              </w:rPr>
              <w:t>Yes</w:t>
            </w:r>
          </w:p>
        </w:tc>
      </w:tr>
      <w:tr w:rsidR="00382E32" w:rsidRPr="00AD55AA" w14:paraId="441C2C43" w14:textId="77777777" w:rsidTr="003E5DD0">
        <w:trPr>
          <w:jc w:val="center"/>
        </w:trPr>
        <w:tc>
          <w:tcPr>
            <w:tcW w:w="0" w:type="auto"/>
            <w:tcBorders>
              <w:top w:val="nil"/>
              <w:left w:val="nil"/>
              <w:bottom w:val="nil"/>
              <w:right w:val="nil"/>
            </w:tcBorders>
          </w:tcPr>
          <w:p w14:paraId="4A1E720B" w14:textId="77777777" w:rsidR="00382E32" w:rsidRPr="00AD55AA" w:rsidRDefault="00382E32" w:rsidP="00382E32">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bottom w:val="nil"/>
              <w:right w:val="nil"/>
            </w:tcBorders>
          </w:tcPr>
          <w:p w14:paraId="0D09F1EE" w14:textId="1146B089"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5192FA72" w14:textId="6EB629E3" w:rsidR="00382E32" w:rsidRPr="00AD55AA" w:rsidRDefault="00382E32" w:rsidP="00382E32">
            <w:pPr>
              <w:widowControl w:val="0"/>
              <w:autoSpaceDE w:val="0"/>
              <w:autoSpaceDN w:val="0"/>
              <w:adjustRightInd w:val="0"/>
              <w:jc w:val="center"/>
              <w:rPr>
                <w:sz w:val="22"/>
                <w:szCs w:val="22"/>
              </w:rPr>
            </w:pPr>
          </w:p>
        </w:tc>
        <w:tc>
          <w:tcPr>
            <w:tcW w:w="0" w:type="auto"/>
            <w:tcBorders>
              <w:top w:val="nil"/>
              <w:left w:val="nil"/>
              <w:bottom w:val="nil"/>
              <w:right w:val="nil"/>
            </w:tcBorders>
          </w:tcPr>
          <w:p w14:paraId="0E9ED018" w14:textId="4031BC0E" w:rsidR="00382E32" w:rsidRPr="00AD55AA" w:rsidRDefault="00382E32" w:rsidP="00382E32">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7DA1D2AD" w14:textId="77777777" w:rsidR="00382E32" w:rsidRPr="00AD55AA" w:rsidRDefault="00382E32" w:rsidP="00382E32">
            <w:pPr>
              <w:widowControl w:val="0"/>
              <w:autoSpaceDE w:val="0"/>
              <w:autoSpaceDN w:val="0"/>
              <w:adjustRightInd w:val="0"/>
              <w:jc w:val="center"/>
              <w:rPr>
                <w:sz w:val="22"/>
                <w:szCs w:val="22"/>
              </w:rPr>
            </w:pPr>
            <w:r w:rsidRPr="00AD55AA">
              <w:rPr>
                <w:sz w:val="22"/>
                <w:szCs w:val="22"/>
              </w:rPr>
              <w:t>Yes</w:t>
            </w:r>
          </w:p>
        </w:tc>
      </w:tr>
      <w:tr w:rsidR="00382E32" w:rsidRPr="00AD55AA" w14:paraId="213DB1EB" w14:textId="77777777" w:rsidTr="003E5DD0">
        <w:trPr>
          <w:jc w:val="center"/>
        </w:trPr>
        <w:tc>
          <w:tcPr>
            <w:tcW w:w="0" w:type="auto"/>
            <w:tcBorders>
              <w:top w:val="nil"/>
              <w:left w:val="nil"/>
              <w:right w:val="nil"/>
            </w:tcBorders>
          </w:tcPr>
          <w:p w14:paraId="28DC8CC1" w14:textId="77777777" w:rsidR="00382E32" w:rsidRPr="00AD55AA" w:rsidRDefault="00382E32" w:rsidP="00382E32">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30108F12" w14:textId="5FEF2A1F" w:rsidR="00382E32" w:rsidRPr="00154B9B" w:rsidRDefault="00382E32" w:rsidP="00382E32">
            <w:pPr>
              <w:widowControl w:val="0"/>
              <w:autoSpaceDE w:val="0"/>
              <w:autoSpaceDN w:val="0"/>
              <w:adjustRightInd w:val="0"/>
              <w:jc w:val="center"/>
              <w:rPr>
                <w:sz w:val="22"/>
                <w:szCs w:val="22"/>
              </w:rPr>
            </w:pPr>
          </w:p>
        </w:tc>
        <w:tc>
          <w:tcPr>
            <w:tcW w:w="0" w:type="auto"/>
            <w:tcBorders>
              <w:top w:val="nil"/>
              <w:left w:val="nil"/>
              <w:right w:val="nil"/>
            </w:tcBorders>
          </w:tcPr>
          <w:p w14:paraId="064D7FE8" w14:textId="5D71DB48" w:rsidR="00382E32" w:rsidRPr="00154B9B" w:rsidRDefault="00382E32" w:rsidP="00382E32">
            <w:pPr>
              <w:widowControl w:val="0"/>
              <w:autoSpaceDE w:val="0"/>
              <w:autoSpaceDN w:val="0"/>
              <w:adjustRightInd w:val="0"/>
              <w:jc w:val="center"/>
              <w:rPr>
                <w:sz w:val="22"/>
                <w:szCs w:val="22"/>
              </w:rPr>
            </w:pPr>
          </w:p>
        </w:tc>
        <w:tc>
          <w:tcPr>
            <w:tcW w:w="0" w:type="auto"/>
            <w:tcBorders>
              <w:top w:val="nil"/>
              <w:left w:val="nil"/>
              <w:right w:val="nil"/>
            </w:tcBorders>
          </w:tcPr>
          <w:p w14:paraId="66309D01" w14:textId="4F08393B" w:rsidR="00382E32" w:rsidRPr="00154B9B" w:rsidRDefault="00382E32" w:rsidP="00382E32">
            <w:pPr>
              <w:widowControl w:val="0"/>
              <w:autoSpaceDE w:val="0"/>
              <w:autoSpaceDN w:val="0"/>
              <w:adjustRightInd w:val="0"/>
              <w:jc w:val="center"/>
              <w:rPr>
                <w:sz w:val="22"/>
                <w:szCs w:val="22"/>
              </w:rPr>
            </w:pPr>
            <w:r w:rsidRPr="00D24267">
              <w:rPr>
                <w:sz w:val="22"/>
              </w:rPr>
              <w:t>38,628</w:t>
            </w:r>
          </w:p>
        </w:tc>
        <w:tc>
          <w:tcPr>
            <w:tcW w:w="0" w:type="auto"/>
            <w:tcBorders>
              <w:top w:val="nil"/>
              <w:left w:val="nil"/>
              <w:right w:val="nil"/>
            </w:tcBorders>
          </w:tcPr>
          <w:p w14:paraId="72041244" w14:textId="1513ABDF" w:rsidR="00382E32" w:rsidRPr="00154B9B" w:rsidRDefault="00382E32" w:rsidP="00382E32">
            <w:pPr>
              <w:widowControl w:val="0"/>
              <w:autoSpaceDE w:val="0"/>
              <w:autoSpaceDN w:val="0"/>
              <w:adjustRightInd w:val="0"/>
              <w:jc w:val="center"/>
              <w:rPr>
                <w:sz w:val="22"/>
                <w:szCs w:val="22"/>
              </w:rPr>
            </w:pPr>
            <w:r w:rsidRPr="00D24267">
              <w:rPr>
                <w:sz w:val="22"/>
              </w:rPr>
              <w:t>38,628</w:t>
            </w:r>
          </w:p>
        </w:tc>
      </w:tr>
      <w:tr w:rsidR="004F68AE" w:rsidRPr="00AD55AA" w14:paraId="23EAF947" w14:textId="77777777" w:rsidTr="003E5DD0">
        <w:tblPrEx>
          <w:tblBorders>
            <w:bottom w:val="single" w:sz="6" w:space="0" w:color="auto"/>
          </w:tblBorders>
        </w:tblPrEx>
        <w:trPr>
          <w:jc w:val="center"/>
        </w:trPr>
        <w:tc>
          <w:tcPr>
            <w:tcW w:w="0" w:type="auto"/>
            <w:tcBorders>
              <w:top w:val="nil"/>
              <w:left w:val="nil"/>
              <w:bottom w:val="single" w:sz="4" w:space="0" w:color="auto"/>
              <w:right w:val="nil"/>
            </w:tcBorders>
          </w:tcPr>
          <w:p w14:paraId="56DF378C" w14:textId="77777777" w:rsidR="004F68AE" w:rsidRPr="00AD55AA" w:rsidRDefault="004F68AE" w:rsidP="004F68AE">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4C62D205" w14:textId="752FC37F"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061FF3B2" w14:textId="73F62FB2" w:rsidR="004F68AE" w:rsidRPr="00154B9B" w:rsidRDefault="004F68AE" w:rsidP="004F68AE">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12D49A08" w14:textId="3C84D709" w:rsidR="004F68AE" w:rsidRPr="00154B9B" w:rsidRDefault="004F68AE" w:rsidP="004F68AE">
            <w:pPr>
              <w:widowControl w:val="0"/>
              <w:autoSpaceDE w:val="0"/>
              <w:autoSpaceDN w:val="0"/>
              <w:adjustRightInd w:val="0"/>
              <w:jc w:val="center"/>
              <w:rPr>
                <w:sz w:val="22"/>
                <w:szCs w:val="22"/>
              </w:rPr>
            </w:pPr>
            <w:r w:rsidRPr="00F544E5">
              <w:rPr>
                <w:sz w:val="22"/>
                <w:szCs w:val="22"/>
              </w:rPr>
              <w:t>0.0988</w:t>
            </w:r>
          </w:p>
        </w:tc>
        <w:tc>
          <w:tcPr>
            <w:tcW w:w="0" w:type="auto"/>
            <w:tcBorders>
              <w:top w:val="nil"/>
              <w:left w:val="nil"/>
              <w:bottom w:val="single" w:sz="4" w:space="0" w:color="auto"/>
              <w:right w:val="nil"/>
            </w:tcBorders>
          </w:tcPr>
          <w:p w14:paraId="0125D863" w14:textId="0901AECC" w:rsidR="004F68AE" w:rsidRPr="00154B9B" w:rsidRDefault="004F68AE" w:rsidP="004F68AE">
            <w:pPr>
              <w:widowControl w:val="0"/>
              <w:autoSpaceDE w:val="0"/>
              <w:autoSpaceDN w:val="0"/>
              <w:adjustRightInd w:val="0"/>
              <w:jc w:val="center"/>
              <w:rPr>
                <w:sz w:val="22"/>
                <w:szCs w:val="22"/>
              </w:rPr>
            </w:pPr>
            <w:r w:rsidRPr="00F544E5">
              <w:rPr>
                <w:sz w:val="22"/>
                <w:szCs w:val="22"/>
              </w:rPr>
              <w:t>0.0884</w:t>
            </w:r>
          </w:p>
        </w:tc>
      </w:tr>
      <w:tr w:rsidR="00382E32" w:rsidRPr="00AD55AA" w14:paraId="33658388" w14:textId="77777777" w:rsidTr="00997225">
        <w:tblPrEx>
          <w:tblBorders>
            <w:bottom w:val="single" w:sz="6" w:space="0" w:color="auto"/>
          </w:tblBorders>
        </w:tblPrEx>
        <w:trPr>
          <w:jc w:val="center"/>
        </w:trPr>
        <w:tc>
          <w:tcPr>
            <w:tcW w:w="0" w:type="auto"/>
            <w:tcBorders>
              <w:top w:val="single" w:sz="4" w:space="0" w:color="auto"/>
              <w:left w:val="nil"/>
              <w:bottom w:val="nil"/>
              <w:right w:val="nil"/>
            </w:tcBorders>
          </w:tcPr>
          <w:p w14:paraId="0869CBD3" w14:textId="77777777" w:rsidR="00382E32" w:rsidRPr="00AD55AA" w:rsidRDefault="00382E32" w:rsidP="00382E32">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5DBD1104"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3942A0DB"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4C21BDFC" w14:textId="77777777" w:rsidR="00382E32" w:rsidRPr="00AD55AA" w:rsidRDefault="00382E32" w:rsidP="00382E32">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458250E0" w14:textId="77777777" w:rsidR="00382E32" w:rsidRPr="00AD55AA" w:rsidRDefault="00382E32" w:rsidP="00382E32">
            <w:pPr>
              <w:widowControl w:val="0"/>
              <w:autoSpaceDE w:val="0"/>
              <w:autoSpaceDN w:val="0"/>
              <w:adjustRightInd w:val="0"/>
              <w:jc w:val="center"/>
              <w:rPr>
                <w:sz w:val="22"/>
                <w:szCs w:val="22"/>
              </w:rPr>
            </w:pPr>
          </w:p>
        </w:tc>
      </w:tr>
      <w:tr w:rsidR="00382E32" w:rsidRPr="00AD55AA" w14:paraId="18E23452" w14:textId="77777777" w:rsidTr="00997225">
        <w:tblPrEx>
          <w:tblBorders>
            <w:bottom w:val="single" w:sz="6" w:space="0" w:color="auto"/>
          </w:tblBorders>
        </w:tblPrEx>
        <w:trPr>
          <w:jc w:val="center"/>
        </w:trPr>
        <w:tc>
          <w:tcPr>
            <w:tcW w:w="0" w:type="auto"/>
            <w:gridSpan w:val="5"/>
            <w:tcBorders>
              <w:top w:val="nil"/>
              <w:left w:val="nil"/>
              <w:bottom w:val="nil"/>
              <w:right w:val="nil"/>
            </w:tcBorders>
          </w:tcPr>
          <w:p w14:paraId="76BF02FA" w14:textId="55CBACCA" w:rsidR="00382E32" w:rsidRPr="00AD55AA" w:rsidRDefault="00382E32" w:rsidP="00382E32">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 </w:t>
            </w:r>
            <w:r w:rsidRPr="00AD55AA">
              <w:rPr>
                <w:sz w:val="22"/>
                <w:szCs w:val="22"/>
              </w:rPr>
              <w:t xml:space="preserve">the results of the </w:t>
            </w:r>
            <w:r>
              <w:rPr>
                <w:sz w:val="22"/>
                <w:szCs w:val="22"/>
              </w:rPr>
              <w:t>takeover activity analysis</w:t>
            </w:r>
            <w:r w:rsidRPr="00AD55AA">
              <w:rPr>
                <w:sz w:val="22"/>
                <w:szCs w:val="22"/>
              </w:rPr>
              <w:t>.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68CF139F" w14:textId="2F1DE148" w:rsidR="00DE3298" w:rsidRDefault="00DE3298">
      <w:pPr>
        <w:spacing w:after="160" w:line="259" w:lineRule="auto"/>
        <w:rPr>
          <w:sz w:val="22"/>
          <w:szCs w:val="22"/>
        </w:rPr>
      </w:pPr>
    </w:p>
    <w:p w14:paraId="28584366" w14:textId="3AEB7451" w:rsidR="00DE3298" w:rsidRDefault="00DE3298">
      <w:pPr>
        <w:spacing w:after="160" w:line="259" w:lineRule="auto"/>
        <w:rPr>
          <w:sz w:val="22"/>
          <w:szCs w:val="22"/>
        </w:rPr>
      </w:pPr>
      <w:r>
        <w:rPr>
          <w:sz w:val="22"/>
          <w:szCs w:val="22"/>
        </w:rPr>
        <w:br w:type="page"/>
      </w:r>
    </w:p>
    <w:p w14:paraId="1166A793" w14:textId="136973E3" w:rsidR="000B79F3" w:rsidRPr="00AD55AA" w:rsidRDefault="000B79F3" w:rsidP="000B79F3">
      <w:pPr>
        <w:spacing w:after="160" w:line="259" w:lineRule="auto"/>
        <w:rPr>
          <w:sz w:val="22"/>
          <w:szCs w:val="22"/>
        </w:rPr>
      </w:pPr>
    </w:p>
    <w:tbl>
      <w:tblPr>
        <w:tblW w:w="5000" w:type="pct"/>
        <w:jc w:val="center"/>
        <w:tblCellMar>
          <w:left w:w="75" w:type="dxa"/>
          <w:right w:w="75" w:type="dxa"/>
        </w:tblCellMar>
        <w:tblLook w:val="0000" w:firstRow="0" w:lastRow="0" w:firstColumn="0" w:lastColumn="0" w:noHBand="0" w:noVBand="0"/>
      </w:tblPr>
      <w:tblGrid>
        <w:gridCol w:w="4274"/>
        <w:gridCol w:w="2397"/>
        <w:gridCol w:w="2396"/>
      </w:tblGrid>
      <w:tr w:rsidR="000B79F3" w:rsidRPr="00AD55AA" w14:paraId="2C787163" w14:textId="77777777" w:rsidTr="00EB7279">
        <w:trPr>
          <w:gridAfter w:val="2"/>
          <w:wAfter w:w="2643" w:type="pct"/>
          <w:jc w:val="center"/>
        </w:trPr>
        <w:tc>
          <w:tcPr>
            <w:tcW w:w="2357" w:type="pct"/>
            <w:tcBorders>
              <w:left w:val="nil"/>
              <w:right w:val="nil"/>
            </w:tcBorders>
          </w:tcPr>
          <w:p w14:paraId="2A377461" w14:textId="7C6826CE" w:rsidR="000B79F3" w:rsidRPr="00AD55AA" w:rsidRDefault="000B79F3" w:rsidP="00964256">
            <w:pPr>
              <w:widowControl w:val="0"/>
              <w:autoSpaceDE w:val="0"/>
              <w:autoSpaceDN w:val="0"/>
              <w:adjustRightInd w:val="0"/>
              <w:rPr>
                <w:sz w:val="22"/>
                <w:szCs w:val="22"/>
              </w:rPr>
            </w:pPr>
            <w:r w:rsidRPr="00AD55AA">
              <w:rPr>
                <w:b/>
                <w:sz w:val="22"/>
                <w:szCs w:val="22"/>
              </w:rPr>
              <w:t xml:space="preserve">Table </w:t>
            </w:r>
            <w:r w:rsidR="00964256">
              <w:rPr>
                <w:b/>
                <w:sz w:val="22"/>
                <w:szCs w:val="22"/>
              </w:rPr>
              <w:t>13</w:t>
            </w:r>
          </w:p>
        </w:tc>
      </w:tr>
      <w:tr w:rsidR="000B79F3" w:rsidRPr="00AD55AA" w14:paraId="28BECC4B" w14:textId="77777777" w:rsidTr="00AB6C46">
        <w:trPr>
          <w:jc w:val="center"/>
        </w:trPr>
        <w:tc>
          <w:tcPr>
            <w:tcW w:w="3679" w:type="pct"/>
            <w:gridSpan w:val="2"/>
            <w:tcBorders>
              <w:left w:val="nil"/>
              <w:right w:val="nil"/>
            </w:tcBorders>
          </w:tcPr>
          <w:p w14:paraId="23A2B161" w14:textId="715E446B" w:rsidR="000B79F3" w:rsidRPr="00AD55AA" w:rsidRDefault="00A430A3" w:rsidP="00820626">
            <w:pPr>
              <w:widowControl w:val="0"/>
              <w:autoSpaceDE w:val="0"/>
              <w:autoSpaceDN w:val="0"/>
              <w:adjustRightInd w:val="0"/>
              <w:rPr>
                <w:sz w:val="22"/>
                <w:szCs w:val="22"/>
              </w:rPr>
            </w:pPr>
            <w:r>
              <w:rPr>
                <w:b/>
                <w:sz w:val="22"/>
                <w:szCs w:val="22"/>
              </w:rPr>
              <w:t>I</w:t>
            </w:r>
            <w:r w:rsidR="000A2BC9" w:rsidRPr="00AD55AA">
              <w:rPr>
                <w:b/>
                <w:sz w:val="22"/>
                <w:szCs w:val="22"/>
              </w:rPr>
              <w:t>ncumbent</w:t>
            </w:r>
            <w:r w:rsidR="008C56D5" w:rsidRPr="00AD55AA">
              <w:rPr>
                <w:b/>
                <w:sz w:val="22"/>
                <w:szCs w:val="22"/>
              </w:rPr>
              <w:t xml:space="preserve"> </w:t>
            </w:r>
            <w:r w:rsidR="00F83901">
              <w:rPr>
                <w:b/>
                <w:sz w:val="22"/>
                <w:szCs w:val="22"/>
              </w:rPr>
              <w:t>a</w:t>
            </w:r>
            <w:r w:rsidR="000B79F3" w:rsidRPr="00AD55AA">
              <w:rPr>
                <w:b/>
                <w:sz w:val="22"/>
                <w:szCs w:val="22"/>
              </w:rPr>
              <w:t>dministration</w:t>
            </w:r>
          </w:p>
        </w:tc>
        <w:tc>
          <w:tcPr>
            <w:tcW w:w="1321" w:type="pct"/>
            <w:tcBorders>
              <w:left w:val="nil"/>
              <w:right w:val="nil"/>
            </w:tcBorders>
          </w:tcPr>
          <w:p w14:paraId="337BA03B" w14:textId="77777777" w:rsidR="000B79F3" w:rsidRPr="00AD55AA" w:rsidRDefault="000B79F3" w:rsidP="00AB6C46">
            <w:pPr>
              <w:widowControl w:val="0"/>
              <w:autoSpaceDE w:val="0"/>
              <w:autoSpaceDN w:val="0"/>
              <w:adjustRightInd w:val="0"/>
              <w:jc w:val="center"/>
              <w:rPr>
                <w:sz w:val="22"/>
                <w:szCs w:val="22"/>
              </w:rPr>
            </w:pPr>
          </w:p>
        </w:tc>
      </w:tr>
      <w:tr w:rsidR="000B79F3" w:rsidRPr="00AD55AA" w14:paraId="7A9E95E9" w14:textId="77777777" w:rsidTr="00EB7279">
        <w:trPr>
          <w:jc w:val="center"/>
        </w:trPr>
        <w:tc>
          <w:tcPr>
            <w:tcW w:w="2357" w:type="pct"/>
            <w:tcBorders>
              <w:left w:val="nil"/>
              <w:right w:val="nil"/>
            </w:tcBorders>
          </w:tcPr>
          <w:p w14:paraId="5EC52C85" w14:textId="77777777" w:rsidR="000B79F3" w:rsidRPr="00AD55AA" w:rsidRDefault="000B79F3" w:rsidP="00AB6C46">
            <w:pPr>
              <w:widowControl w:val="0"/>
              <w:autoSpaceDE w:val="0"/>
              <w:autoSpaceDN w:val="0"/>
              <w:adjustRightInd w:val="0"/>
              <w:rPr>
                <w:sz w:val="22"/>
                <w:szCs w:val="22"/>
              </w:rPr>
            </w:pPr>
          </w:p>
        </w:tc>
        <w:tc>
          <w:tcPr>
            <w:tcW w:w="1322" w:type="pct"/>
            <w:tcBorders>
              <w:left w:val="nil"/>
              <w:right w:val="nil"/>
            </w:tcBorders>
          </w:tcPr>
          <w:p w14:paraId="4D49D0BE" w14:textId="77777777" w:rsidR="000B79F3" w:rsidRPr="00AD55AA" w:rsidRDefault="000B79F3" w:rsidP="00AB6C46">
            <w:pPr>
              <w:widowControl w:val="0"/>
              <w:autoSpaceDE w:val="0"/>
              <w:autoSpaceDN w:val="0"/>
              <w:adjustRightInd w:val="0"/>
              <w:jc w:val="center"/>
              <w:rPr>
                <w:sz w:val="22"/>
                <w:szCs w:val="22"/>
              </w:rPr>
            </w:pPr>
          </w:p>
        </w:tc>
        <w:tc>
          <w:tcPr>
            <w:tcW w:w="1321" w:type="pct"/>
            <w:tcBorders>
              <w:left w:val="nil"/>
              <w:right w:val="nil"/>
            </w:tcBorders>
          </w:tcPr>
          <w:p w14:paraId="23D9EE7A" w14:textId="77777777" w:rsidR="000B79F3" w:rsidRPr="00AD55AA" w:rsidRDefault="000B79F3" w:rsidP="00AB6C46">
            <w:pPr>
              <w:widowControl w:val="0"/>
              <w:autoSpaceDE w:val="0"/>
              <w:autoSpaceDN w:val="0"/>
              <w:adjustRightInd w:val="0"/>
              <w:jc w:val="center"/>
              <w:rPr>
                <w:sz w:val="22"/>
                <w:szCs w:val="22"/>
              </w:rPr>
            </w:pPr>
          </w:p>
        </w:tc>
      </w:tr>
      <w:tr w:rsidR="001D15AF" w:rsidRPr="00AD55AA" w14:paraId="35CDCA1A" w14:textId="77777777" w:rsidTr="00EB7279">
        <w:trPr>
          <w:jc w:val="center"/>
        </w:trPr>
        <w:tc>
          <w:tcPr>
            <w:tcW w:w="2357" w:type="pct"/>
            <w:tcBorders>
              <w:top w:val="single" w:sz="4" w:space="0" w:color="auto"/>
              <w:left w:val="nil"/>
              <w:right w:val="nil"/>
            </w:tcBorders>
          </w:tcPr>
          <w:p w14:paraId="30E9F273" w14:textId="77777777" w:rsidR="001D15AF" w:rsidRPr="00AD55AA" w:rsidRDefault="001D15AF" w:rsidP="00AB6C46">
            <w:pPr>
              <w:widowControl w:val="0"/>
              <w:autoSpaceDE w:val="0"/>
              <w:autoSpaceDN w:val="0"/>
              <w:adjustRightInd w:val="0"/>
              <w:rPr>
                <w:sz w:val="22"/>
                <w:szCs w:val="22"/>
              </w:rPr>
            </w:pPr>
          </w:p>
        </w:tc>
        <w:tc>
          <w:tcPr>
            <w:tcW w:w="2643" w:type="pct"/>
            <w:gridSpan w:val="2"/>
            <w:tcBorders>
              <w:top w:val="single" w:sz="4" w:space="0" w:color="auto"/>
              <w:left w:val="nil"/>
              <w:right w:val="nil"/>
            </w:tcBorders>
          </w:tcPr>
          <w:p w14:paraId="14FFD652" w14:textId="77777777" w:rsidR="001D15AF" w:rsidRPr="00AD55AA" w:rsidRDefault="001D15AF" w:rsidP="00AB6C46">
            <w:pPr>
              <w:widowControl w:val="0"/>
              <w:autoSpaceDE w:val="0"/>
              <w:autoSpaceDN w:val="0"/>
              <w:adjustRightInd w:val="0"/>
              <w:jc w:val="center"/>
              <w:rPr>
                <w:sz w:val="22"/>
                <w:szCs w:val="22"/>
              </w:rPr>
            </w:pPr>
            <w:r w:rsidRPr="00AD55AA">
              <w:rPr>
                <w:sz w:val="22"/>
                <w:szCs w:val="22"/>
              </w:rPr>
              <w:t>Capex</w:t>
            </w:r>
          </w:p>
        </w:tc>
      </w:tr>
      <w:tr w:rsidR="001D15AF" w:rsidRPr="00AD55AA" w14:paraId="5E892046" w14:textId="77777777" w:rsidTr="00EB7279">
        <w:trPr>
          <w:jc w:val="center"/>
        </w:trPr>
        <w:tc>
          <w:tcPr>
            <w:tcW w:w="2357" w:type="pct"/>
            <w:tcBorders>
              <w:left w:val="nil"/>
              <w:bottom w:val="single" w:sz="6" w:space="0" w:color="auto"/>
              <w:right w:val="nil"/>
            </w:tcBorders>
          </w:tcPr>
          <w:p w14:paraId="32CF17C5" w14:textId="77777777" w:rsidR="001D15AF" w:rsidRPr="00AD55AA" w:rsidRDefault="001D15AF" w:rsidP="001D15AF">
            <w:pPr>
              <w:widowControl w:val="0"/>
              <w:autoSpaceDE w:val="0"/>
              <w:autoSpaceDN w:val="0"/>
              <w:adjustRightInd w:val="0"/>
              <w:rPr>
                <w:sz w:val="22"/>
                <w:szCs w:val="22"/>
              </w:rPr>
            </w:pPr>
            <w:r w:rsidRPr="00AD55AA">
              <w:rPr>
                <w:sz w:val="22"/>
                <w:szCs w:val="22"/>
              </w:rPr>
              <w:t>Variable:</w:t>
            </w:r>
          </w:p>
        </w:tc>
        <w:tc>
          <w:tcPr>
            <w:tcW w:w="1322" w:type="pct"/>
            <w:tcBorders>
              <w:left w:val="nil"/>
              <w:bottom w:val="single" w:sz="6" w:space="0" w:color="auto"/>
              <w:right w:val="nil"/>
            </w:tcBorders>
          </w:tcPr>
          <w:p w14:paraId="4DCFAF9E" w14:textId="4D77FD7D" w:rsidR="001D15AF" w:rsidRPr="00AD55AA" w:rsidRDefault="001D15AF" w:rsidP="001D15AF">
            <w:pPr>
              <w:widowControl w:val="0"/>
              <w:autoSpaceDE w:val="0"/>
              <w:autoSpaceDN w:val="0"/>
              <w:adjustRightInd w:val="0"/>
              <w:jc w:val="center"/>
              <w:rPr>
                <w:sz w:val="22"/>
                <w:szCs w:val="22"/>
              </w:rPr>
            </w:pPr>
            <w:r w:rsidRPr="00AD55AA">
              <w:rPr>
                <w:sz w:val="22"/>
                <w:szCs w:val="22"/>
              </w:rPr>
              <w:t>(1)</w:t>
            </w:r>
          </w:p>
        </w:tc>
        <w:tc>
          <w:tcPr>
            <w:tcW w:w="1321" w:type="pct"/>
            <w:tcBorders>
              <w:left w:val="nil"/>
              <w:bottom w:val="single" w:sz="6" w:space="0" w:color="auto"/>
              <w:right w:val="nil"/>
            </w:tcBorders>
          </w:tcPr>
          <w:p w14:paraId="33910C14" w14:textId="50A0DAF3" w:rsidR="001D15AF" w:rsidRPr="00AD55AA" w:rsidRDefault="001D15AF" w:rsidP="001D15AF">
            <w:pPr>
              <w:widowControl w:val="0"/>
              <w:autoSpaceDE w:val="0"/>
              <w:autoSpaceDN w:val="0"/>
              <w:adjustRightInd w:val="0"/>
              <w:jc w:val="center"/>
              <w:rPr>
                <w:sz w:val="22"/>
                <w:szCs w:val="22"/>
              </w:rPr>
            </w:pPr>
            <w:r w:rsidRPr="00AD55AA">
              <w:rPr>
                <w:sz w:val="22"/>
                <w:szCs w:val="22"/>
              </w:rPr>
              <w:t>(2)</w:t>
            </w:r>
          </w:p>
        </w:tc>
      </w:tr>
      <w:tr w:rsidR="000B79F3" w:rsidRPr="00AD55AA" w14:paraId="08ECA62A" w14:textId="77777777" w:rsidTr="00EB7279">
        <w:trPr>
          <w:jc w:val="center"/>
        </w:trPr>
        <w:tc>
          <w:tcPr>
            <w:tcW w:w="2357" w:type="pct"/>
            <w:tcBorders>
              <w:top w:val="nil"/>
              <w:left w:val="nil"/>
              <w:bottom w:val="nil"/>
              <w:right w:val="nil"/>
            </w:tcBorders>
          </w:tcPr>
          <w:p w14:paraId="4DA8026F" w14:textId="77777777" w:rsidR="000B79F3" w:rsidRPr="00AD55AA" w:rsidRDefault="000B79F3" w:rsidP="00AB6C46">
            <w:pPr>
              <w:widowControl w:val="0"/>
              <w:autoSpaceDE w:val="0"/>
              <w:autoSpaceDN w:val="0"/>
              <w:adjustRightInd w:val="0"/>
              <w:rPr>
                <w:sz w:val="22"/>
                <w:szCs w:val="22"/>
              </w:rPr>
            </w:pPr>
          </w:p>
        </w:tc>
        <w:tc>
          <w:tcPr>
            <w:tcW w:w="1322" w:type="pct"/>
            <w:tcBorders>
              <w:top w:val="nil"/>
              <w:left w:val="nil"/>
              <w:bottom w:val="nil"/>
              <w:right w:val="nil"/>
            </w:tcBorders>
          </w:tcPr>
          <w:p w14:paraId="41723078" w14:textId="77777777" w:rsidR="000B79F3" w:rsidRPr="00AD55AA" w:rsidRDefault="000B79F3" w:rsidP="00AB6C46">
            <w:pPr>
              <w:widowControl w:val="0"/>
              <w:autoSpaceDE w:val="0"/>
              <w:autoSpaceDN w:val="0"/>
              <w:adjustRightInd w:val="0"/>
              <w:jc w:val="center"/>
              <w:rPr>
                <w:sz w:val="22"/>
                <w:szCs w:val="22"/>
              </w:rPr>
            </w:pPr>
          </w:p>
        </w:tc>
        <w:tc>
          <w:tcPr>
            <w:tcW w:w="1321" w:type="pct"/>
            <w:tcBorders>
              <w:top w:val="nil"/>
              <w:left w:val="nil"/>
              <w:bottom w:val="nil"/>
              <w:right w:val="nil"/>
            </w:tcBorders>
          </w:tcPr>
          <w:p w14:paraId="54BA44C2" w14:textId="77777777" w:rsidR="000B79F3" w:rsidRPr="00AD55AA" w:rsidRDefault="000B79F3" w:rsidP="00AB6C46">
            <w:pPr>
              <w:widowControl w:val="0"/>
              <w:autoSpaceDE w:val="0"/>
              <w:autoSpaceDN w:val="0"/>
              <w:adjustRightInd w:val="0"/>
              <w:jc w:val="center"/>
              <w:rPr>
                <w:sz w:val="22"/>
                <w:szCs w:val="22"/>
              </w:rPr>
            </w:pPr>
          </w:p>
        </w:tc>
      </w:tr>
      <w:tr w:rsidR="00EB7279" w:rsidRPr="00AD55AA" w14:paraId="6DA8467A" w14:textId="77777777" w:rsidTr="00EB7279">
        <w:trPr>
          <w:jc w:val="center"/>
        </w:trPr>
        <w:tc>
          <w:tcPr>
            <w:tcW w:w="2357" w:type="pct"/>
            <w:tcBorders>
              <w:top w:val="nil"/>
              <w:left w:val="nil"/>
              <w:bottom w:val="nil"/>
              <w:right w:val="nil"/>
            </w:tcBorders>
          </w:tcPr>
          <w:p w14:paraId="79AF4B02" w14:textId="59EC62BE" w:rsidR="00EB7279" w:rsidRPr="00AD55AA" w:rsidRDefault="00EB7279" w:rsidP="00EB7279">
            <w:pPr>
              <w:widowControl w:val="0"/>
              <w:autoSpaceDE w:val="0"/>
              <w:autoSpaceDN w:val="0"/>
              <w:adjustRightInd w:val="0"/>
              <w:rPr>
                <w:sz w:val="22"/>
                <w:szCs w:val="22"/>
              </w:rPr>
            </w:pPr>
            <w:r w:rsidRPr="00AD55AA">
              <w:rPr>
                <w:sz w:val="22"/>
                <w:szCs w:val="22"/>
              </w:rPr>
              <w:t>CFIUS Block pre-Trump</w:t>
            </w:r>
            <w:r>
              <w:rPr>
                <w:sz w:val="22"/>
                <w:szCs w:val="22"/>
              </w:rPr>
              <w:t xml:space="preserve"> </w:t>
            </w:r>
            <w:r w:rsidRPr="00AD55AA">
              <w:rPr>
                <w:sz w:val="22"/>
                <w:szCs w:val="22"/>
              </w:rPr>
              <w:t>[a]</w:t>
            </w:r>
          </w:p>
        </w:tc>
        <w:tc>
          <w:tcPr>
            <w:tcW w:w="1322" w:type="pct"/>
            <w:tcBorders>
              <w:top w:val="nil"/>
              <w:left w:val="nil"/>
              <w:bottom w:val="nil"/>
              <w:right w:val="nil"/>
            </w:tcBorders>
          </w:tcPr>
          <w:p w14:paraId="54DD7CF1" w14:textId="1296E8DF" w:rsidR="00EB7279" w:rsidRPr="00AD55AA" w:rsidRDefault="00EB7279" w:rsidP="00EB7279">
            <w:pPr>
              <w:widowControl w:val="0"/>
              <w:autoSpaceDE w:val="0"/>
              <w:autoSpaceDN w:val="0"/>
              <w:adjustRightInd w:val="0"/>
              <w:jc w:val="center"/>
              <w:rPr>
                <w:sz w:val="22"/>
                <w:szCs w:val="22"/>
              </w:rPr>
            </w:pPr>
            <w:r w:rsidRPr="0081011E">
              <w:rPr>
                <w:sz w:val="22"/>
              </w:rPr>
              <w:t>-0.021</w:t>
            </w:r>
          </w:p>
        </w:tc>
        <w:tc>
          <w:tcPr>
            <w:tcW w:w="1321" w:type="pct"/>
            <w:tcBorders>
              <w:top w:val="nil"/>
              <w:left w:val="nil"/>
              <w:bottom w:val="nil"/>
              <w:right w:val="nil"/>
            </w:tcBorders>
          </w:tcPr>
          <w:p w14:paraId="500F1512" w14:textId="6E9F897E" w:rsidR="00EB7279" w:rsidRPr="00AD55AA" w:rsidRDefault="00EB7279" w:rsidP="00EB7279">
            <w:pPr>
              <w:widowControl w:val="0"/>
              <w:autoSpaceDE w:val="0"/>
              <w:autoSpaceDN w:val="0"/>
              <w:adjustRightInd w:val="0"/>
              <w:jc w:val="center"/>
              <w:rPr>
                <w:sz w:val="22"/>
                <w:szCs w:val="22"/>
              </w:rPr>
            </w:pPr>
            <w:r w:rsidRPr="0081011E">
              <w:rPr>
                <w:sz w:val="22"/>
              </w:rPr>
              <w:t>-0.016</w:t>
            </w:r>
          </w:p>
        </w:tc>
      </w:tr>
      <w:tr w:rsidR="00EB7279" w:rsidRPr="00AD55AA" w14:paraId="60468043" w14:textId="77777777" w:rsidTr="00EB7279">
        <w:trPr>
          <w:jc w:val="center"/>
        </w:trPr>
        <w:tc>
          <w:tcPr>
            <w:tcW w:w="2357" w:type="pct"/>
            <w:tcBorders>
              <w:top w:val="nil"/>
              <w:left w:val="nil"/>
              <w:bottom w:val="nil"/>
              <w:right w:val="nil"/>
            </w:tcBorders>
          </w:tcPr>
          <w:p w14:paraId="6BA4A895" w14:textId="77777777" w:rsidR="00EB7279" w:rsidRPr="00AD55AA" w:rsidRDefault="00EB7279" w:rsidP="00EB7279">
            <w:pPr>
              <w:widowControl w:val="0"/>
              <w:autoSpaceDE w:val="0"/>
              <w:autoSpaceDN w:val="0"/>
              <w:adjustRightInd w:val="0"/>
              <w:rPr>
                <w:sz w:val="22"/>
                <w:szCs w:val="22"/>
              </w:rPr>
            </w:pPr>
          </w:p>
        </w:tc>
        <w:tc>
          <w:tcPr>
            <w:tcW w:w="1322" w:type="pct"/>
            <w:tcBorders>
              <w:top w:val="nil"/>
              <w:left w:val="nil"/>
              <w:bottom w:val="nil"/>
              <w:right w:val="nil"/>
            </w:tcBorders>
          </w:tcPr>
          <w:p w14:paraId="26E45C7C" w14:textId="08027FB2" w:rsidR="00EB7279" w:rsidRPr="00AD55AA" w:rsidRDefault="00EB7279" w:rsidP="00EB7279">
            <w:pPr>
              <w:widowControl w:val="0"/>
              <w:autoSpaceDE w:val="0"/>
              <w:autoSpaceDN w:val="0"/>
              <w:adjustRightInd w:val="0"/>
              <w:jc w:val="center"/>
              <w:rPr>
                <w:sz w:val="22"/>
                <w:szCs w:val="22"/>
              </w:rPr>
            </w:pPr>
            <w:r w:rsidRPr="0081011E">
              <w:rPr>
                <w:sz w:val="22"/>
              </w:rPr>
              <w:t>(-1.00)</w:t>
            </w:r>
          </w:p>
        </w:tc>
        <w:tc>
          <w:tcPr>
            <w:tcW w:w="1321" w:type="pct"/>
            <w:tcBorders>
              <w:top w:val="nil"/>
              <w:left w:val="nil"/>
              <w:bottom w:val="nil"/>
              <w:right w:val="nil"/>
            </w:tcBorders>
          </w:tcPr>
          <w:p w14:paraId="21BCBA5F" w14:textId="354177C4" w:rsidR="00EB7279" w:rsidRPr="00AD55AA" w:rsidRDefault="00EB7279" w:rsidP="00EB7279">
            <w:pPr>
              <w:widowControl w:val="0"/>
              <w:autoSpaceDE w:val="0"/>
              <w:autoSpaceDN w:val="0"/>
              <w:adjustRightInd w:val="0"/>
              <w:jc w:val="center"/>
              <w:rPr>
                <w:sz w:val="22"/>
                <w:szCs w:val="22"/>
              </w:rPr>
            </w:pPr>
            <w:r w:rsidRPr="0081011E">
              <w:rPr>
                <w:sz w:val="22"/>
              </w:rPr>
              <w:t>(-0.76)</w:t>
            </w:r>
          </w:p>
        </w:tc>
      </w:tr>
      <w:tr w:rsidR="00EB7279" w:rsidRPr="00AD55AA" w14:paraId="75DDDFD5" w14:textId="77777777" w:rsidTr="00EB7279">
        <w:trPr>
          <w:jc w:val="center"/>
        </w:trPr>
        <w:tc>
          <w:tcPr>
            <w:tcW w:w="2357" w:type="pct"/>
            <w:tcBorders>
              <w:top w:val="nil"/>
              <w:left w:val="nil"/>
              <w:bottom w:val="nil"/>
              <w:right w:val="nil"/>
            </w:tcBorders>
          </w:tcPr>
          <w:p w14:paraId="0BB37B8F" w14:textId="09C9D0AD" w:rsidR="00EB7279" w:rsidRPr="00AD55AA" w:rsidRDefault="00EB7279" w:rsidP="00EB7279">
            <w:pPr>
              <w:widowControl w:val="0"/>
              <w:autoSpaceDE w:val="0"/>
              <w:autoSpaceDN w:val="0"/>
              <w:adjustRightInd w:val="0"/>
              <w:rPr>
                <w:b/>
                <w:bCs/>
                <w:sz w:val="22"/>
                <w:szCs w:val="22"/>
              </w:rPr>
            </w:pPr>
            <w:r w:rsidRPr="00AD55AA">
              <w:rPr>
                <w:sz w:val="22"/>
                <w:szCs w:val="22"/>
              </w:rPr>
              <w:t>CFIUS Block post-Trump</w:t>
            </w:r>
            <w:r>
              <w:rPr>
                <w:sz w:val="22"/>
                <w:szCs w:val="22"/>
              </w:rPr>
              <w:t xml:space="preserve"> </w:t>
            </w:r>
            <w:r w:rsidRPr="00AD55AA">
              <w:rPr>
                <w:sz w:val="22"/>
                <w:szCs w:val="22"/>
              </w:rPr>
              <w:t>[b]</w:t>
            </w:r>
          </w:p>
        </w:tc>
        <w:tc>
          <w:tcPr>
            <w:tcW w:w="1322" w:type="pct"/>
            <w:tcBorders>
              <w:top w:val="nil"/>
              <w:left w:val="nil"/>
              <w:bottom w:val="nil"/>
              <w:right w:val="nil"/>
            </w:tcBorders>
          </w:tcPr>
          <w:p w14:paraId="7F97E208" w14:textId="2A8A2DC6" w:rsidR="00EB7279" w:rsidRPr="00AD55AA" w:rsidRDefault="00EB7279" w:rsidP="00EB7279">
            <w:pPr>
              <w:widowControl w:val="0"/>
              <w:autoSpaceDE w:val="0"/>
              <w:autoSpaceDN w:val="0"/>
              <w:adjustRightInd w:val="0"/>
              <w:jc w:val="center"/>
              <w:rPr>
                <w:b/>
                <w:bCs/>
                <w:sz w:val="22"/>
                <w:szCs w:val="22"/>
              </w:rPr>
            </w:pPr>
            <w:r w:rsidRPr="0081011E">
              <w:rPr>
                <w:sz w:val="22"/>
              </w:rPr>
              <w:t>-0.124***</w:t>
            </w:r>
          </w:p>
        </w:tc>
        <w:tc>
          <w:tcPr>
            <w:tcW w:w="1321" w:type="pct"/>
            <w:tcBorders>
              <w:top w:val="nil"/>
              <w:left w:val="nil"/>
              <w:bottom w:val="nil"/>
              <w:right w:val="nil"/>
            </w:tcBorders>
          </w:tcPr>
          <w:p w14:paraId="00C738E2" w14:textId="46393B6D" w:rsidR="00EB7279" w:rsidRPr="00AD55AA" w:rsidRDefault="00EB7279" w:rsidP="00EB7279">
            <w:pPr>
              <w:widowControl w:val="0"/>
              <w:autoSpaceDE w:val="0"/>
              <w:autoSpaceDN w:val="0"/>
              <w:adjustRightInd w:val="0"/>
              <w:jc w:val="center"/>
              <w:rPr>
                <w:b/>
                <w:bCs/>
                <w:sz w:val="22"/>
                <w:szCs w:val="22"/>
              </w:rPr>
            </w:pPr>
            <w:r w:rsidRPr="0081011E">
              <w:rPr>
                <w:sz w:val="22"/>
              </w:rPr>
              <w:t>-0.111***</w:t>
            </w:r>
          </w:p>
        </w:tc>
      </w:tr>
      <w:tr w:rsidR="00EB7279" w:rsidRPr="00AD55AA" w14:paraId="78A8E1B7" w14:textId="77777777" w:rsidTr="00EB7279">
        <w:trPr>
          <w:jc w:val="center"/>
        </w:trPr>
        <w:tc>
          <w:tcPr>
            <w:tcW w:w="2357" w:type="pct"/>
            <w:tcBorders>
              <w:top w:val="nil"/>
              <w:left w:val="nil"/>
              <w:bottom w:val="nil"/>
              <w:right w:val="nil"/>
            </w:tcBorders>
          </w:tcPr>
          <w:p w14:paraId="5BE0F540" w14:textId="77777777" w:rsidR="00EB7279" w:rsidRPr="00AD55AA" w:rsidRDefault="00EB7279" w:rsidP="00EB7279">
            <w:pPr>
              <w:widowControl w:val="0"/>
              <w:autoSpaceDE w:val="0"/>
              <w:autoSpaceDN w:val="0"/>
              <w:adjustRightInd w:val="0"/>
              <w:rPr>
                <w:b/>
                <w:bCs/>
                <w:sz w:val="22"/>
                <w:szCs w:val="22"/>
              </w:rPr>
            </w:pPr>
          </w:p>
        </w:tc>
        <w:tc>
          <w:tcPr>
            <w:tcW w:w="1322" w:type="pct"/>
            <w:tcBorders>
              <w:top w:val="nil"/>
              <w:left w:val="nil"/>
              <w:bottom w:val="nil"/>
              <w:right w:val="nil"/>
            </w:tcBorders>
          </w:tcPr>
          <w:p w14:paraId="602D7BD4" w14:textId="34F8E04A" w:rsidR="00EB7279" w:rsidRPr="00AD55AA" w:rsidRDefault="00EB7279" w:rsidP="00EB7279">
            <w:pPr>
              <w:widowControl w:val="0"/>
              <w:autoSpaceDE w:val="0"/>
              <w:autoSpaceDN w:val="0"/>
              <w:adjustRightInd w:val="0"/>
              <w:jc w:val="center"/>
              <w:rPr>
                <w:b/>
                <w:bCs/>
                <w:sz w:val="22"/>
                <w:szCs w:val="22"/>
              </w:rPr>
            </w:pPr>
            <w:r w:rsidRPr="0081011E">
              <w:rPr>
                <w:sz w:val="22"/>
              </w:rPr>
              <w:t>(-2.80)</w:t>
            </w:r>
          </w:p>
        </w:tc>
        <w:tc>
          <w:tcPr>
            <w:tcW w:w="1321" w:type="pct"/>
            <w:tcBorders>
              <w:top w:val="nil"/>
              <w:left w:val="nil"/>
              <w:bottom w:val="nil"/>
              <w:right w:val="nil"/>
            </w:tcBorders>
          </w:tcPr>
          <w:p w14:paraId="4BF45D37" w14:textId="71828612" w:rsidR="00EB7279" w:rsidRPr="00AD55AA" w:rsidRDefault="00EB7279" w:rsidP="00EB7279">
            <w:pPr>
              <w:widowControl w:val="0"/>
              <w:autoSpaceDE w:val="0"/>
              <w:autoSpaceDN w:val="0"/>
              <w:adjustRightInd w:val="0"/>
              <w:jc w:val="center"/>
              <w:rPr>
                <w:b/>
                <w:bCs/>
                <w:sz w:val="22"/>
                <w:szCs w:val="22"/>
              </w:rPr>
            </w:pPr>
            <w:r w:rsidRPr="0081011E">
              <w:rPr>
                <w:sz w:val="22"/>
              </w:rPr>
              <w:t>(-2.69)</w:t>
            </w:r>
          </w:p>
        </w:tc>
      </w:tr>
      <w:tr w:rsidR="00EB7279" w:rsidRPr="00AD55AA" w14:paraId="73FF5B5A" w14:textId="77777777" w:rsidTr="00EB7279">
        <w:trPr>
          <w:jc w:val="center"/>
        </w:trPr>
        <w:tc>
          <w:tcPr>
            <w:tcW w:w="2357" w:type="pct"/>
            <w:tcBorders>
              <w:top w:val="nil"/>
              <w:left w:val="nil"/>
              <w:bottom w:val="nil"/>
              <w:right w:val="nil"/>
            </w:tcBorders>
          </w:tcPr>
          <w:p w14:paraId="01E8286A" w14:textId="072AE35B" w:rsidR="00EB7279" w:rsidRPr="00AD55AA" w:rsidRDefault="00EB7279" w:rsidP="00EB7279">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1322" w:type="pct"/>
            <w:tcBorders>
              <w:top w:val="nil"/>
              <w:left w:val="nil"/>
              <w:bottom w:val="nil"/>
              <w:right w:val="nil"/>
            </w:tcBorders>
          </w:tcPr>
          <w:p w14:paraId="42631298"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6DCD31E0" w14:textId="39EEB391" w:rsidR="00EB7279" w:rsidRPr="00AD55AA" w:rsidRDefault="00EB7279" w:rsidP="00EB7279">
            <w:pPr>
              <w:widowControl w:val="0"/>
              <w:autoSpaceDE w:val="0"/>
              <w:autoSpaceDN w:val="0"/>
              <w:adjustRightInd w:val="0"/>
              <w:jc w:val="center"/>
              <w:rPr>
                <w:sz w:val="22"/>
                <w:szCs w:val="22"/>
              </w:rPr>
            </w:pPr>
            <w:r w:rsidRPr="0081011E">
              <w:rPr>
                <w:sz w:val="22"/>
              </w:rPr>
              <w:t>0.160***</w:t>
            </w:r>
          </w:p>
        </w:tc>
      </w:tr>
      <w:tr w:rsidR="00EB7279" w:rsidRPr="00AD55AA" w14:paraId="60A04E8C" w14:textId="77777777" w:rsidTr="00EB7279">
        <w:trPr>
          <w:jc w:val="center"/>
        </w:trPr>
        <w:tc>
          <w:tcPr>
            <w:tcW w:w="2357" w:type="pct"/>
            <w:tcBorders>
              <w:top w:val="nil"/>
              <w:left w:val="nil"/>
              <w:bottom w:val="nil"/>
              <w:right w:val="nil"/>
            </w:tcBorders>
          </w:tcPr>
          <w:p w14:paraId="26608B00" w14:textId="77777777" w:rsidR="00EB7279" w:rsidRPr="00AD55AA" w:rsidRDefault="00EB7279" w:rsidP="00EB7279">
            <w:pPr>
              <w:widowControl w:val="0"/>
              <w:autoSpaceDE w:val="0"/>
              <w:autoSpaceDN w:val="0"/>
              <w:adjustRightInd w:val="0"/>
              <w:rPr>
                <w:sz w:val="22"/>
                <w:szCs w:val="22"/>
              </w:rPr>
            </w:pPr>
          </w:p>
        </w:tc>
        <w:tc>
          <w:tcPr>
            <w:tcW w:w="1322" w:type="pct"/>
            <w:tcBorders>
              <w:top w:val="nil"/>
              <w:left w:val="nil"/>
              <w:bottom w:val="nil"/>
              <w:right w:val="nil"/>
            </w:tcBorders>
          </w:tcPr>
          <w:p w14:paraId="60C149DA"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723B1BA4" w14:textId="5934AB6A" w:rsidR="00EB7279" w:rsidRPr="00AD55AA" w:rsidRDefault="00EB7279" w:rsidP="00EB7279">
            <w:pPr>
              <w:widowControl w:val="0"/>
              <w:autoSpaceDE w:val="0"/>
              <w:autoSpaceDN w:val="0"/>
              <w:adjustRightInd w:val="0"/>
              <w:jc w:val="center"/>
              <w:rPr>
                <w:sz w:val="22"/>
                <w:szCs w:val="22"/>
              </w:rPr>
            </w:pPr>
            <w:r w:rsidRPr="0081011E">
              <w:rPr>
                <w:sz w:val="22"/>
              </w:rPr>
              <w:t>(4.64)</w:t>
            </w:r>
          </w:p>
        </w:tc>
      </w:tr>
      <w:tr w:rsidR="00EB7279" w:rsidRPr="00AD55AA" w14:paraId="0DACA205" w14:textId="77777777" w:rsidTr="00EB7279">
        <w:trPr>
          <w:jc w:val="center"/>
        </w:trPr>
        <w:tc>
          <w:tcPr>
            <w:tcW w:w="2357" w:type="pct"/>
            <w:tcBorders>
              <w:top w:val="nil"/>
              <w:left w:val="nil"/>
              <w:bottom w:val="nil"/>
              <w:right w:val="nil"/>
            </w:tcBorders>
          </w:tcPr>
          <w:p w14:paraId="00F24753" w14:textId="057A3E45" w:rsidR="00EB7279" w:rsidRPr="00AD55AA" w:rsidRDefault="00EB7279" w:rsidP="00EB7279">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1322" w:type="pct"/>
            <w:tcBorders>
              <w:top w:val="nil"/>
              <w:left w:val="nil"/>
              <w:bottom w:val="nil"/>
              <w:right w:val="nil"/>
            </w:tcBorders>
          </w:tcPr>
          <w:p w14:paraId="69A6F54B"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451D3CA7" w14:textId="39621EA3" w:rsidR="00EB7279" w:rsidRPr="00AD55AA" w:rsidRDefault="00EB7279" w:rsidP="00EB7279">
            <w:pPr>
              <w:widowControl w:val="0"/>
              <w:autoSpaceDE w:val="0"/>
              <w:autoSpaceDN w:val="0"/>
              <w:adjustRightInd w:val="0"/>
              <w:jc w:val="center"/>
              <w:rPr>
                <w:sz w:val="22"/>
                <w:szCs w:val="22"/>
              </w:rPr>
            </w:pPr>
            <w:r w:rsidRPr="0081011E">
              <w:rPr>
                <w:sz w:val="22"/>
              </w:rPr>
              <w:t>-0.066***</w:t>
            </w:r>
          </w:p>
        </w:tc>
      </w:tr>
      <w:tr w:rsidR="00EB7279" w:rsidRPr="00AD55AA" w14:paraId="24FFAB2C" w14:textId="77777777" w:rsidTr="00EB7279">
        <w:trPr>
          <w:jc w:val="center"/>
        </w:trPr>
        <w:tc>
          <w:tcPr>
            <w:tcW w:w="2357" w:type="pct"/>
            <w:tcBorders>
              <w:top w:val="nil"/>
              <w:left w:val="nil"/>
              <w:bottom w:val="nil"/>
              <w:right w:val="nil"/>
            </w:tcBorders>
          </w:tcPr>
          <w:p w14:paraId="32D05B01" w14:textId="77777777" w:rsidR="00EB7279" w:rsidRPr="00AD55AA" w:rsidRDefault="00EB7279" w:rsidP="00EB7279">
            <w:pPr>
              <w:widowControl w:val="0"/>
              <w:autoSpaceDE w:val="0"/>
              <w:autoSpaceDN w:val="0"/>
              <w:adjustRightInd w:val="0"/>
              <w:rPr>
                <w:sz w:val="22"/>
                <w:szCs w:val="22"/>
              </w:rPr>
            </w:pPr>
          </w:p>
        </w:tc>
        <w:tc>
          <w:tcPr>
            <w:tcW w:w="1322" w:type="pct"/>
            <w:tcBorders>
              <w:top w:val="nil"/>
              <w:left w:val="nil"/>
              <w:bottom w:val="nil"/>
              <w:right w:val="nil"/>
            </w:tcBorders>
          </w:tcPr>
          <w:p w14:paraId="7E40103F"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7ABC4DC0" w14:textId="5C739060" w:rsidR="00EB7279" w:rsidRPr="00AD55AA" w:rsidRDefault="00EB7279" w:rsidP="00EB7279">
            <w:pPr>
              <w:widowControl w:val="0"/>
              <w:autoSpaceDE w:val="0"/>
              <w:autoSpaceDN w:val="0"/>
              <w:adjustRightInd w:val="0"/>
              <w:jc w:val="center"/>
              <w:rPr>
                <w:sz w:val="22"/>
                <w:szCs w:val="22"/>
              </w:rPr>
            </w:pPr>
            <w:r w:rsidRPr="0081011E">
              <w:rPr>
                <w:sz w:val="22"/>
              </w:rPr>
              <w:t>(-5.32)</w:t>
            </w:r>
          </w:p>
        </w:tc>
      </w:tr>
      <w:tr w:rsidR="00EB7279" w:rsidRPr="00AD55AA" w14:paraId="20E7566F" w14:textId="77777777" w:rsidTr="00EB7279">
        <w:trPr>
          <w:jc w:val="center"/>
        </w:trPr>
        <w:tc>
          <w:tcPr>
            <w:tcW w:w="2357" w:type="pct"/>
            <w:tcBorders>
              <w:top w:val="nil"/>
              <w:left w:val="nil"/>
              <w:bottom w:val="nil"/>
              <w:right w:val="nil"/>
            </w:tcBorders>
          </w:tcPr>
          <w:p w14:paraId="7F568A87" w14:textId="2E1026E9" w:rsidR="00EB7279" w:rsidRPr="00AD55AA" w:rsidRDefault="00EB7279" w:rsidP="00EB7279">
            <w:pPr>
              <w:widowControl w:val="0"/>
              <w:autoSpaceDE w:val="0"/>
              <w:autoSpaceDN w:val="0"/>
              <w:adjustRightInd w:val="0"/>
              <w:rPr>
                <w:sz w:val="22"/>
                <w:szCs w:val="22"/>
              </w:rPr>
            </w:pPr>
            <w:r w:rsidRPr="00AD55AA">
              <w:rPr>
                <w:sz w:val="22"/>
                <w:szCs w:val="22"/>
              </w:rPr>
              <w:t>Size</w:t>
            </w:r>
            <w:r>
              <w:rPr>
                <w:sz w:val="22"/>
                <w:szCs w:val="22"/>
              </w:rPr>
              <w:t xml:space="preserve"> </w:t>
            </w:r>
          </w:p>
        </w:tc>
        <w:tc>
          <w:tcPr>
            <w:tcW w:w="1322" w:type="pct"/>
            <w:tcBorders>
              <w:top w:val="nil"/>
              <w:left w:val="nil"/>
              <w:bottom w:val="nil"/>
              <w:right w:val="nil"/>
            </w:tcBorders>
          </w:tcPr>
          <w:p w14:paraId="360D4B30"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370A4AE0" w14:textId="5748F6EB" w:rsidR="00EB7279" w:rsidRPr="00AD55AA" w:rsidRDefault="00EB7279" w:rsidP="00EB7279">
            <w:pPr>
              <w:widowControl w:val="0"/>
              <w:autoSpaceDE w:val="0"/>
              <w:autoSpaceDN w:val="0"/>
              <w:adjustRightInd w:val="0"/>
              <w:jc w:val="center"/>
              <w:rPr>
                <w:sz w:val="22"/>
                <w:szCs w:val="22"/>
              </w:rPr>
            </w:pPr>
            <w:r w:rsidRPr="0081011E">
              <w:rPr>
                <w:sz w:val="22"/>
              </w:rPr>
              <w:t>-0.129***</w:t>
            </w:r>
          </w:p>
        </w:tc>
      </w:tr>
      <w:tr w:rsidR="00EB7279" w:rsidRPr="00AD55AA" w14:paraId="26E2F3FD" w14:textId="77777777" w:rsidTr="00EB7279">
        <w:trPr>
          <w:jc w:val="center"/>
        </w:trPr>
        <w:tc>
          <w:tcPr>
            <w:tcW w:w="2357" w:type="pct"/>
            <w:tcBorders>
              <w:top w:val="nil"/>
              <w:left w:val="nil"/>
              <w:bottom w:val="nil"/>
              <w:right w:val="nil"/>
            </w:tcBorders>
          </w:tcPr>
          <w:p w14:paraId="65EB98BE" w14:textId="77777777" w:rsidR="00EB7279" w:rsidRPr="00AD55AA" w:rsidRDefault="00EB7279" w:rsidP="00EB7279">
            <w:pPr>
              <w:widowControl w:val="0"/>
              <w:autoSpaceDE w:val="0"/>
              <w:autoSpaceDN w:val="0"/>
              <w:adjustRightInd w:val="0"/>
              <w:rPr>
                <w:sz w:val="22"/>
                <w:szCs w:val="22"/>
              </w:rPr>
            </w:pPr>
          </w:p>
        </w:tc>
        <w:tc>
          <w:tcPr>
            <w:tcW w:w="1322" w:type="pct"/>
            <w:tcBorders>
              <w:top w:val="nil"/>
              <w:left w:val="nil"/>
              <w:bottom w:val="nil"/>
              <w:right w:val="nil"/>
            </w:tcBorders>
          </w:tcPr>
          <w:p w14:paraId="1A4FA89D"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7D043E9C" w14:textId="0FB5C83F" w:rsidR="00EB7279" w:rsidRPr="00AD55AA" w:rsidRDefault="00EB7279" w:rsidP="00EB7279">
            <w:pPr>
              <w:widowControl w:val="0"/>
              <w:autoSpaceDE w:val="0"/>
              <w:autoSpaceDN w:val="0"/>
              <w:adjustRightInd w:val="0"/>
              <w:jc w:val="center"/>
              <w:rPr>
                <w:sz w:val="22"/>
                <w:szCs w:val="22"/>
              </w:rPr>
            </w:pPr>
            <w:r w:rsidRPr="0081011E">
              <w:rPr>
                <w:sz w:val="22"/>
              </w:rPr>
              <w:t>(-9.67)</w:t>
            </w:r>
          </w:p>
        </w:tc>
      </w:tr>
      <w:tr w:rsidR="00EB7279" w:rsidRPr="00AD55AA" w14:paraId="0508854C" w14:textId="77777777" w:rsidTr="00EB7279">
        <w:trPr>
          <w:jc w:val="center"/>
        </w:trPr>
        <w:tc>
          <w:tcPr>
            <w:tcW w:w="2357" w:type="pct"/>
            <w:tcBorders>
              <w:top w:val="nil"/>
              <w:left w:val="nil"/>
              <w:bottom w:val="nil"/>
              <w:right w:val="nil"/>
            </w:tcBorders>
          </w:tcPr>
          <w:p w14:paraId="6BB6FA90" w14:textId="7F599E3D" w:rsidR="00EB7279" w:rsidRPr="00AD55AA" w:rsidRDefault="00EB7279" w:rsidP="00EB7279">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1322" w:type="pct"/>
            <w:tcBorders>
              <w:top w:val="nil"/>
              <w:left w:val="nil"/>
              <w:bottom w:val="nil"/>
              <w:right w:val="nil"/>
            </w:tcBorders>
          </w:tcPr>
          <w:p w14:paraId="65B7555B"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45526564" w14:textId="7FD12714" w:rsidR="00EB7279" w:rsidRPr="00AD55AA" w:rsidRDefault="00EB7279" w:rsidP="00EB7279">
            <w:pPr>
              <w:widowControl w:val="0"/>
              <w:autoSpaceDE w:val="0"/>
              <w:autoSpaceDN w:val="0"/>
              <w:adjustRightInd w:val="0"/>
              <w:jc w:val="center"/>
              <w:rPr>
                <w:sz w:val="22"/>
                <w:szCs w:val="22"/>
              </w:rPr>
            </w:pPr>
            <w:r w:rsidRPr="0081011E">
              <w:rPr>
                <w:sz w:val="22"/>
              </w:rPr>
              <w:t>0.007***</w:t>
            </w:r>
          </w:p>
        </w:tc>
      </w:tr>
      <w:tr w:rsidR="00EB7279" w:rsidRPr="00AD55AA" w14:paraId="07D7ED95" w14:textId="77777777" w:rsidTr="00EB7279">
        <w:trPr>
          <w:jc w:val="center"/>
        </w:trPr>
        <w:tc>
          <w:tcPr>
            <w:tcW w:w="2357" w:type="pct"/>
            <w:tcBorders>
              <w:top w:val="nil"/>
              <w:left w:val="nil"/>
              <w:bottom w:val="nil"/>
              <w:right w:val="nil"/>
            </w:tcBorders>
          </w:tcPr>
          <w:p w14:paraId="32EE7187" w14:textId="77777777" w:rsidR="00EB7279" w:rsidRPr="00AD55AA" w:rsidRDefault="00EB7279" w:rsidP="00EB7279">
            <w:pPr>
              <w:widowControl w:val="0"/>
              <w:autoSpaceDE w:val="0"/>
              <w:autoSpaceDN w:val="0"/>
              <w:adjustRightInd w:val="0"/>
              <w:rPr>
                <w:sz w:val="22"/>
                <w:szCs w:val="22"/>
              </w:rPr>
            </w:pPr>
          </w:p>
        </w:tc>
        <w:tc>
          <w:tcPr>
            <w:tcW w:w="1322" w:type="pct"/>
            <w:tcBorders>
              <w:top w:val="nil"/>
              <w:left w:val="nil"/>
              <w:bottom w:val="nil"/>
              <w:right w:val="nil"/>
            </w:tcBorders>
          </w:tcPr>
          <w:p w14:paraId="00861560" w14:textId="77777777" w:rsidR="00EB7279" w:rsidRPr="00AD55AA" w:rsidRDefault="00EB7279" w:rsidP="00EB7279">
            <w:pPr>
              <w:widowControl w:val="0"/>
              <w:autoSpaceDE w:val="0"/>
              <w:autoSpaceDN w:val="0"/>
              <w:adjustRightInd w:val="0"/>
              <w:jc w:val="center"/>
              <w:rPr>
                <w:sz w:val="22"/>
                <w:szCs w:val="22"/>
              </w:rPr>
            </w:pPr>
          </w:p>
        </w:tc>
        <w:tc>
          <w:tcPr>
            <w:tcW w:w="1321" w:type="pct"/>
            <w:tcBorders>
              <w:top w:val="nil"/>
              <w:left w:val="nil"/>
              <w:bottom w:val="nil"/>
              <w:right w:val="nil"/>
            </w:tcBorders>
          </w:tcPr>
          <w:p w14:paraId="32EEA25F" w14:textId="301E14A5" w:rsidR="00EB7279" w:rsidRPr="00AD55AA" w:rsidRDefault="00EB7279" w:rsidP="00EB7279">
            <w:pPr>
              <w:widowControl w:val="0"/>
              <w:autoSpaceDE w:val="0"/>
              <w:autoSpaceDN w:val="0"/>
              <w:adjustRightInd w:val="0"/>
              <w:jc w:val="center"/>
              <w:rPr>
                <w:sz w:val="22"/>
                <w:szCs w:val="22"/>
              </w:rPr>
            </w:pPr>
            <w:r w:rsidRPr="0081011E">
              <w:rPr>
                <w:sz w:val="22"/>
              </w:rPr>
              <w:t>(6.31)</w:t>
            </w:r>
          </w:p>
        </w:tc>
      </w:tr>
      <w:tr w:rsidR="00EB7279" w:rsidRPr="00AD55AA" w14:paraId="5696CBA6" w14:textId="77777777" w:rsidTr="00EB7279">
        <w:trPr>
          <w:jc w:val="center"/>
        </w:trPr>
        <w:tc>
          <w:tcPr>
            <w:tcW w:w="2357" w:type="pct"/>
            <w:tcBorders>
              <w:top w:val="nil"/>
              <w:left w:val="nil"/>
              <w:bottom w:val="nil"/>
              <w:right w:val="nil"/>
            </w:tcBorders>
          </w:tcPr>
          <w:p w14:paraId="01C22EA8" w14:textId="77777777" w:rsidR="00EB7279" w:rsidRPr="00AD55AA" w:rsidRDefault="00EB7279" w:rsidP="00EB7279">
            <w:pPr>
              <w:widowControl w:val="0"/>
              <w:autoSpaceDE w:val="0"/>
              <w:autoSpaceDN w:val="0"/>
              <w:adjustRightInd w:val="0"/>
              <w:rPr>
                <w:sz w:val="22"/>
                <w:szCs w:val="22"/>
              </w:rPr>
            </w:pPr>
            <w:r w:rsidRPr="00AD55AA">
              <w:rPr>
                <w:sz w:val="22"/>
                <w:szCs w:val="22"/>
              </w:rPr>
              <w:t>Constant</w:t>
            </w:r>
          </w:p>
        </w:tc>
        <w:tc>
          <w:tcPr>
            <w:tcW w:w="1322" w:type="pct"/>
            <w:tcBorders>
              <w:top w:val="nil"/>
              <w:left w:val="nil"/>
              <w:bottom w:val="nil"/>
              <w:right w:val="nil"/>
            </w:tcBorders>
          </w:tcPr>
          <w:p w14:paraId="1184A3BC" w14:textId="74AE7DB2" w:rsidR="00EB7279" w:rsidRPr="00AD55AA" w:rsidRDefault="00EB7279" w:rsidP="00EB7279">
            <w:pPr>
              <w:widowControl w:val="0"/>
              <w:autoSpaceDE w:val="0"/>
              <w:autoSpaceDN w:val="0"/>
              <w:adjustRightInd w:val="0"/>
              <w:jc w:val="center"/>
              <w:rPr>
                <w:sz w:val="22"/>
                <w:szCs w:val="22"/>
              </w:rPr>
            </w:pPr>
            <w:r w:rsidRPr="0081011E">
              <w:rPr>
                <w:sz w:val="22"/>
              </w:rPr>
              <w:t>0.372***</w:t>
            </w:r>
          </w:p>
        </w:tc>
        <w:tc>
          <w:tcPr>
            <w:tcW w:w="1321" w:type="pct"/>
            <w:tcBorders>
              <w:top w:val="nil"/>
              <w:left w:val="nil"/>
              <w:bottom w:val="nil"/>
              <w:right w:val="nil"/>
            </w:tcBorders>
          </w:tcPr>
          <w:p w14:paraId="288A2414" w14:textId="0C662E79" w:rsidR="00EB7279" w:rsidRPr="00AD55AA" w:rsidRDefault="00EB7279" w:rsidP="00EB7279">
            <w:pPr>
              <w:widowControl w:val="0"/>
              <w:autoSpaceDE w:val="0"/>
              <w:autoSpaceDN w:val="0"/>
              <w:adjustRightInd w:val="0"/>
              <w:jc w:val="center"/>
              <w:rPr>
                <w:sz w:val="22"/>
                <w:szCs w:val="22"/>
              </w:rPr>
            </w:pPr>
            <w:r w:rsidRPr="0081011E">
              <w:rPr>
                <w:sz w:val="22"/>
              </w:rPr>
              <w:t>1.102***</w:t>
            </w:r>
          </w:p>
        </w:tc>
      </w:tr>
      <w:tr w:rsidR="00EB7279" w:rsidRPr="00AD55AA" w14:paraId="7D2CA747" w14:textId="77777777" w:rsidTr="00EB7279">
        <w:trPr>
          <w:jc w:val="center"/>
        </w:trPr>
        <w:tc>
          <w:tcPr>
            <w:tcW w:w="2357" w:type="pct"/>
            <w:tcBorders>
              <w:top w:val="nil"/>
              <w:left w:val="nil"/>
              <w:bottom w:val="nil"/>
              <w:right w:val="nil"/>
            </w:tcBorders>
          </w:tcPr>
          <w:p w14:paraId="720F8039" w14:textId="77777777" w:rsidR="00EB7279" w:rsidRPr="00AD55AA" w:rsidRDefault="00EB7279" w:rsidP="00EB7279">
            <w:pPr>
              <w:widowControl w:val="0"/>
              <w:autoSpaceDE w:val="0"/>
              <w:autoSpaceDN w:val="0"/>
              <w:adjustRightInd w:val="0"/>
              <w:rPr>
                <w:sz w:val="22"/>
                <w:szCs w:val="22"/>
              </w:rPr>
            </w:pPr>
          </w:p>
        </w:tc>
        <w:tc>
          <w:tcPr>
            <w:tcW w:w="1322" w:type="pct"/>
            <w:tcBorders>
              <w:top w:val="nil"/>
              <w:left w:val="nil"/>
              <w:bottom w:val="nil"/>
              <w:right w:val="nil"/>
            </w:tcBorders>
          </w:tcPr>
          <w:p w14:paraId="57B6F5DA" w14:textId="085E04A5" w:rsidR="00EB7279" w:rsidRPr="00AD55AA" w:rsidRDefault="00EB7279" w:rsidP="00EB7279">
            <w:pPr>
              <w:widowControl w:val="0"/>
              <w:autoSpaceDE w:val="0"/>
              <w:autoSpaceDN w:val="0"/>
              <w:adjustRightInd w:val="0"/>
              <w:jc w:val="center"/>
              <w:rPr>
                <w:sz w:val="22"/>
                <w:szCs w:val="22"/>
              </w:rPr>
            </w:pPr>
            <w:r w:rsidRPr="0081011E">
              <w:rPr>
                <w:sz w:val="22"/>
              </w:rPr>
              <w:t>(292.91)</w:t>
            </w:r>
          </w:p>
        </w:tc>
        <w:tc>
          <w:tcPr>
            <w:tcW w:w="1321" w:type="pct"/>
            <w:tcBorders>
              <w:top w:val="nil"/>
              <w:left w:val="nil"/>
              <w:bottom w:val="nil"/>
              <w:right w:val="nil"/>
            </w:tcBorders>
          </w:tcPr>
          <w:p w14:paraId="2102A2CF" w14:textId="7D077346" w:rsidR="00EB7279" w:rsidRPr="00AD55AA" w:rsidRDefault="00EB7279" w:rsidP="00EB7279">
            <w:pPr>
              <w:widowControl w:val="0"/>
              <w:autoSpaceDE w:val="0"/>
              <w:autoSpaceDN w:val="0"/>
              <w:adjustRightInd w:val="0"/>
              <w:jc w:val="center"/>
              <w:rPr>
                <w:sz w:val="22"/>
                <w:szCs w:val="22"/>
              </w:rPr>
            </w:pPr>
            <w:r w:rsidRPr="0081011E">
              <w:rPr>
                <w:sz w:val="22"/>
              </w:rPr>
              <w:t>(14.27)</w:t>
            </w:r>
          </w:p>
        </w:tc>
      </w:tr>
      <w:tr w:rsidR="000B79F3" w:rsidRPr="00AD55AA" w14:paraId="31E96D4D" w14:textId="77777777" w:rsidTr="00EB7279">
        <w:trPr>
          <w:jc w:val="center"/>
        </w:trPr>
        <w:tc>
          <w:tcPr>
            <w:tcW w:w="2357" w:type="pct"/>
            <w:tcBorders>
              <w:top w:val="nil"/>
              <w:left w:val="nil"/>
              <w:bottom w:val="nil"/>
              <w:right w:val="nil"/>
            </w:tcBorders>
          </w:tcPr>
          <w:p w14:paraId="351A44F5" w14:textId="77777777" w:rsidR="000B79F3" w:rsidRPr="00AD55AA" w:rsidRDefault="000B79F3" w:rsidP="00AB6C46">
            <w:pPr>
              <w:widowControl w:val="0"/>
              <w:autoSpaceDE w:val="0"/>
              <w:autoSpaceDN w:val="0"/>
              <w:adjustRightInd w:val="0"/>
              <w:rPr>
                <w:sz w:val="22"/>
                <w:szCs w:val="22"/>
              </w:rPr>
            </w:pPr>
          </w:p>
        </w:tc>
        <w:tc>
          <w:tcPr>
            <w:tcW w:w="1322" w:type="pct"/>
            <w:tcBorders>
              <w:top w:val="nil"/>
              <w:left w:val="nil"/>
              <w:bottom w:val="nil"/>
              <w:right w:val="nil"/>
            </w:tcBorders>
          </w:tcPr>
          <w:p w14:paraId="4BD42FB6" w14:textId="77777777" w:rsidR="000B79F3" w:rsidRPr="00AD55AA" w:rsidRDefault="000B79F3" w:rsidP="00AB6C46">
            <w:pPr>
              <w:widowControl w:val="0"/>
              <w:autoSpaceDE w:val="0"/>
              <w:autoSpaceDN w:val="0"/>
              <w:adjustRightInd w:val="0"/>
              <w:jc w:val="center"/>
              <w:rPr>
                <w:sz w:val="22"/>
                <w:szCs w:val="22"/>
              </w:rPr>
            </w:pPr>
          </w:p>
        </w:tc>
        <w:tc>
          <w:tcPr>
            <w:tcW w:w="1321" w:type="pct"/>
            <w:tcBorders>
              <w:top w:val="nil"/>
              <w:left w:val="nil"/>
              <w:bottom w:val="nil"/>
              <w:right w:val="nil"/>
            </w:tcBorders>
          </w:tcPr>
          <w:p w14:paraId="2637489D" w14:textId="77777777" w:rsidR="000B79F3" w:rsidRPr="00AD55AA" w:rsidRDefault="000B79F3" w:rsidP="00AB6C46">
            <w:pPr>
              <w:widowControl w:val="0"/>
              <w:autoSpaceDE w:val="0"/>
              <w:autoSpaceDN w:val="0"/>
              <w:adjustRightInd w:val="0"/>
              <w:jc w:val="center"/>
              <w:rPr>
                <w:sz w:val="22"/>
                <w:szCs w:val="22"/>
              </w:rPr>
            </w:pPr>
          </w:p>
        </w:tc>
      </w:tr>
      <w:tr w:rsidR="001D15AF" w:rsidRPr="00AD55AA" w14:paraId="0DBC83B4" w14:textId="77777777" w:rsidTr="00EB7279">
        <w:trPr>
          <w:jc w:val="center"/>
        </w:trPr>
        <w:tc>
          <w:tcPr>
            <w:tcW w:w="2357" w:type="pct"/>
            <w:tcBorders>
              <w:top w:val="nil"/>
              <w:left w:val="nil"/>
              <w:bottom w:val="nil"/>
              <w:right w:val="nil"/>
            </w:tcBorders>
          </w:tcPr>
          <w:p w14:paraId="6853FECF" w14:textId="46A56923" w:rsidR="001D15AF" w:rsidRPr="00AD55AA" w:rsidRDefault="001D15AF" w:rsidP="001D15AF">
            <w:pPr>
              <w:widowControl w:val="0"/>
              <w:autoSpaceDE w:val="0"/>
              <w:autoSpaceDN w:val="0"/>
              <w:adjustRightInd w:val="0"/>
              <w:rPr>
                <w:sz w:val="22"/>
                <w:szCs w:val="22"/>
              </w:rPr>
            </w:pPr>
            <w:r w:rsidRPr="00AD55AA">
              <w:rPr>
                <w:sz w:val="22"/>
                <w:szCs w:val="22"/>
              </w:rPr>
              <w:t>Firm fixed effects</w:t>
            </w:r>
          </w:p>
        </w:tc>
        <w:tc>
          <w:tcPr>
            <w:tcW w:w="1322" w:type="pct"/>
            <w:tcBorders>
              <w:top w:val="nil"/>
              <w:left w:val="nil"/>
              <w:bottom w:val="nil"/>
              <w:right w:val="nil"/>
            </w:tcBorders>
          </w:tcPr>
          <w:p w14:paraId="79632D47" w14:textId="63C1770A" w:rsidR="001D15AF" w:rsidRPr="00AD55AA" w:rsidRDefault="001D15AF" w:rsidP="001D15AF">
            <w:pPr>
              <w:widowControl w:val="0"/>
              <w:autoSpaceDE w:val="0"/>
              <w:autoSpaceDN w:val="0"/>
              <w:adjustRightInd w:val="0"/>
              <w:jc w:val="center"/>
              <w:rPr>
                <w:sz w:val="22"/>
                <w:szCs w:val="22"/>
              </w:rPr>
            </w:pPr>
            <w:r w:rsidRPr="00AD55AA">
              <w:rPr>
                <w:sz w:val="22"/>
                <w:szCs w:val="22"/>
              </w:rPr>
              <w:t>Yes</w:t>
            </w:r>
          </w:p>
        </w:tc>
        <w:tc>
          <w:tcPr>
            <w:tcW w:w="1321" w:type="pct"/>
            <w:tcBorders>
              <w:top w:val="nil"/>
              <w:left w:val="nil"/>
              <w:bottom w:val="nil"/>
              <w:right w:val="nil"/>
            </w:tcBorders>
          </w:tcPr>
          <w:p w14:paraId="6CCCF414" w14:textId="77777777" w:rsidR="001D15AF" w:rsidRPr="00AD55AA" w:rsidRDefault="001D15AF" w:rsidP="001D15AF">
            <w:pPr>
              <w:widowControl w:val="0"/>
              <w:autoSpaceDE w:val="0"/>
              <w:autoSpaceDN w:val="0"/>
              <w:adjustRightInd w:val="0"/>
              <w:jc w:val="center"/>
              <w:rPr>
                <w:sz w:val="22"/>
                <w:szCs w:val="22"/>
              </w:rPr>
            </w:pPr>
            <w:r w:rsidRPr="00AD55AA">
              <w:rPr>
                <w:sz w:val="22"/>
                <w:szCs w:val="22"/>
              </w:rPr>
              <w:t>Yes</w:t>
            </w:r>
          </w:p>
        </w:tc>
      </w:tr>
      <w:tr w:rsidR="001D15AF" w:rsidRPr="00AD55AA" w14:paraId="3102A76B" w14:textId="77777777" w:rsidTr="00EB7279">
        <w:trPr>
          <w:jc w:val="center"/>
        </w:trPr>
        <w:tc>
          <w:tcPr>
            <w:tcW w:w="2357" w:type="pct"/>
            <w:tcBorders>
              <w:top w:val="nil"/>
              <w:left w:val="nil"/>
              <w:bottom w:val="nil"/>
              <w:right w:val="nil"/>
            </w:tcBorders>
          </w:tcPr>
          <w:p w14:paraId="14153B2D" w14:textId="0F724DB3" w:rsidR="001D15AF" w:rsidRPr="00AD55AA" w:rsidRDefault="001D15AF" w:rsidP="001D15AF">
            <w:pPr>
              <w:widowControl w:val="0"/>
              <w:autoSpaceDE w:val="0"/>
              <w:autoSpaceDN w:val="0"/>
              <w:adjustRightInd w:val="0"/>
              <w:rPr>
                <w:sz w:val="22"/>
                <w:szCs w:val="22"/>
              </w:rPr>
            </w:pPr>
            <w:r w:rsidRPr="00AD55AA">
              <w:rPr>
                <w:sz w:val="22"/>
                <w:szCs w:val="22"/>
              </w:rPr>
              <w:t>Year fixed effects</w:t>
            </w:r>
          </w:p>
        </w:tc>
        <w:tc>
          <w:tcPr>
            <w:tcW w:w="1322" w:type="pct"/>
            <w:tcBorders>
              <w:top w:val="nil"/>
              <w:left w:val="nil"/>
              <w:bottom w:val="nil"/>
              <w:right w:val="nil"/>
            </w:tcBorders>
          </w:tcPr>
          <w:p w14:paraId="0D8BFC53" w14:textId="1000A230" w:rsidR="001D15AF" w:rsidRPr="00AD55AA" w:rsidRDefault="001D15AF" w:rsidP="001D15AF">
            <w:pPr>
              <w:widowControl w:val="0"/>
              <w:autoSpaceDE w:val="0"/>
              <w:autoSpaceDN w:val="0"/>
              <w:adjustRightInd w:val="0"/>
              <w:jc w:val="center"/>
              <w:rPr>
                <w:sz w:val="22"/>
                <w:szCs w:val="22"/>
              </w:rPr>
            </w:pPr>
            <w:r w:rsidRPr="00AD55AA">
              <w:rPr>
                <w:sz w:val="22"/>
                <w:szCs w:val="22"/>
              </w:rPr>
              <w:t>Yes</w:t>
            </w:r>
          </w:p>
        </w:tc>
        <w:tc>
          <w:tcPr>
            <w:tcW w:w="1321" w:type="pct"/>
            <w:tcBorders>
              <w:top w:val="nil"/>
              <w:left w:val="nil"/>
              <w:bottom w:val="nil"/>
              <w:right w:val="nil"/>
            </w:tcBorders>
          </w:tcPr>
          <w:p w14:paraId="4E5BC0DC" w14:textId="77777777" w:rsidR="001D15AF" w:rsidRPr="00AD55AA" w:rsidRDefault="001D15AF" w:rsidP="001D15AF">
            <w:pPr>
              <w:widowControl w:val="0"/>
              <w:autoSpaceDE w:val="0"/>
              <w:autoSpaceDN w:val="0"/>
              <w:adjustRightInd w:val="0"/>
              <w:jc w:val="center"/>
              <w:rPr>
                <w:sz w:val="22"/>
                <w:szCs w:val="22"/>
              </w:rPr>
            </w:pPr>
            <w:r w:rsidRPr="00AD55AA">
              <w:rPr>
                <w:sz w:val="22"/>
                <w:szCs w:val="22"/>
              </w:rPr>
              <w:t>Yes</w:t>
            </w:r>
          </w:p>
        </w:tc>
      </w:tr>
      <w:tr w:rsidR="001D15AF" w:rsidRPr="00AD55AA" w14:paraId="7FB778AE" w14:textId="77777777" w:rsidTr="00EB7279">
        <w:trPr>
          <w:jc w:val="center"/>
        </w:trPr>
        <w:tc>
          <w:tcPr>
            <w:tcW w:w="2357" w:type="pct"/>
            <w:tcBorders>
              <w:top w:val="nil"/>
              <w:left w:val="nil"/>
              <w:right w:val="nil"/>
            </w:tcBorders>
          </w:tcPr>
          <w:p w14:paraId="358B41AE" w14:textId="2982D328" w:rsidR="001D15AF" w:rsidRPr="00AD55AA" w:rsidRDefault="001D15AF" w:rsidP="001D15AF">
            <w:pPr>
              <w:widowControl w:val="0"/>
              <w:autoSpaceDE w:val="0"/>
              <w:autoSpaceDN w:val="0"/>
              <w:adjustRightInd w:val="0"/>
              <w:rPr>
                <w:sz w:val="22"/>
                <w:szCs w:val="22"/>
              </w:rPr>
            </w:pPr>
            <w:r w:rsidRPr="00AD55AA">
              <w:rPr>
                <w:sz w:val="22"/>
                <w:szCs w:val="22"/>
              </w:rPr>
              <w:t>Test [a] = [b]</w:t>
            </w:r>
          </w:p>
        </w:tc>
        <w:tc>
          <w:tcPr>
            <w:tcW w:w="1322" w:type="pct"/>
            <w:tcBorders>
              <w:top w:val="nil"/>
              <w:left w:val="nil"/>
              <w:right w:val="nil"/>
            </w:tcBorders>
          </w:tcPr>
          <w:p w14:paraId="3A637931" w14:textId="1F01BCEA" w:rsidR="001D15AF" w:rsidRPr="00AD55AA" w:rsidRDefault="00EB7279" w:rsidP="001D15AF">
            <w:pPr>
              <w:widowControl w:val="0"/>
              <w:autoSpaceDE w:val="0"/>
              <w:autoSpaceDN w:val="0"/>
              <w:adjustRightInd w:val="0"/>
              <w:jc w:val="center"/>
              <w:rPr>
                <w:sz w:val="22"/>
                <w:szCs w:val="22"/>
              </w:rPr>
            </w:pPr>
            <w:r w:rsidRPr="00EB7279">
              <w:rPr>
                <w:sz w:val="22"/>
                <w:szCs w:val="22"/>
              </w:rPr>
              <w:t>0.053</w:t>
            </w:r>
          </w:p>
        </w:tc>
        <w:tc>
          <w:tcPr>
            <w:tcW w:w="1321" w:type="pct"/>
            <w:tcBorders>
              <w:top w:val="nil"/>
              <w:left w:val="nil"/>
              <w:right w:val="nil"/>
            </w:tcBorders>
          </w:tcPr>
          <w:p w14:paraId="152D237F" w14:textId="7FF487AA" w:rsidR="001D15AF" w:rsidRPr="00AD55AA" w:rsidRDefault="001D15AF" w:rsidP="001D15AF">
            <w:pPr>
              <w:widowControl w:val="0"/>
              <w:autoSpaceDE w:val="0"/>
              <w:autoSpaceDN w:val="0"/>
              <w:adjustRightInd w:val="0"/>
              <w:jc w:val="center"/>
              <w:rPr>
                <w:sz w:val="22"/>
                <w:szCs w:val="22"/>
              </w:rPr>
            </w:pPr>
            <w:r w:rsidRPr="00AD55AA">
              <w:rPr>
                <w:sz w:val="22"/>
                <w:szCs w:val="22"/>
              </w:rPr>
              <w:t>0.</w:t>
            </w:r>
            <w:r w:rsidR="00EB7279" w:rsidRPr="00EB7279">
              <w:rPr>
                <w:sz w:val="22"/>
                <w:szCs w:val="22"/>
              </w:rPr>
              <w:t>056</w:t>
            </w:r>
          </w:p>
        </w:tc>
      </w:tr>
      <w:tr w:rsidR="001D15AF" w:rsidRPr="00AD55AA" w14:paraId="0985E58A" w14:textId="77777777" w:rsidTr="00EB7279">
        <w:trPr>
          <w:jc w:val="center"/>
        </w:trPr>
        <w:tc>
          <w:tcPr>
            <w:tcW w:w="2357" w:type="pct"/>
            <w:tcBorders>
              <w:top w:val="nil"/>
              <w:left w:val="nil"/>
              <w:right w:val="nil"/>
            </w:tcBorders>
          </w:tcPr>
          <w:p w14:paraId="4DDD7223" w14:textId="77777777" w:rsidR="001D15AF" w:rsidRPr="00AD55AA" w:rsidRDefault="001D15AF" w:rsidP="001D15AF">
            <w:pPr>
              <w:widowControl w:val="0"/>
              <w:autoSpaceDE w:val="0"/>
              <w:autoSpaceDN w:val="0"/>
              <w:adjustRightInd w:val="0"/>
              <w:rPr>
                <w:sz w:val="22"/>
                <w:szCs w:val="22"/>
              </w:rPr>
            </w:pPr>
            <w:r w:rsidRPr="00AD55AA">
              <w:rPr>
                <w:sz w:val="22"/>
                <w:szCs w:val="22"/>
              </w:rPr>
              <w:t>Observations</w:t>
            </w:r>
          </w:p>
        </w:tc>
        <w:tc>
          <w:tcPr>
            <w:tcW w:w="1322" w:type="pct"/>
            <w:tcBorders>
              <w:top w:val="nil"/>
              <w:left w:val="nil"/>
              <w:right w:val="nil"/>
            </w:tcBorders>
          </w:tcPr>
          <w:p w14:paraId="43708062" w14:textId="4B8326DE" w:rsidR="001D15AF" w:rsidRPr="00AD55AA" w:rsidRDefault="001D15AF" w:rsidP="001D15AF">
            <w:pPr>
              <w:widowControl w:val="0"/>
              <w:autoSpaceDE w:val="0"/>
              <w:autoSpaceDN w:val="0"/>
              <w:adjustRightInd w:val="0"/>
              <w:jc w:val="center"/>
              <w:rPr>
                <w:sz w:val="22"/>
                <w:szCs w:val="22"/>
              </w:rPr>
            </w:pPr>
            <w:r w:rsidRPr="00AD55AA">
              <w:rPr>
                <w:sz w:val="22"/>
                <w:szCs w:val="22"/>
              </w:rPr>
              <w:t>41,918</w:t>
            </w:r>
          </w:p>
        </w:tc>
        <w:tc>
          <w:tcPr>
            <w:tcW w:w="1321" w:type="pct"/>
            <w:tcBorders>
              <w:top w:val="nil"/>
              <w:left w:val="nil"/>
              <w:right w:val="nil"/>
            </w:tcBorders>
          </w:tcPr>
          <w:p w14:paraId="4DF9F702" w14:textId="77777777" w:rsidR="001D15AF" w:rsidRPr="00AD55AA" w:rsidRDefault="001D15AF" w:rsidP="001D15AF">
            <w:pPr>
              <w:widowControl w:val="0"/>
              <w:autoSpaceDE w:val="0"/>
              <w:autoSpaceDN w:val="0"/>
              <w:adjustRightInd w:val="0"/>
              <w:jc w:val="center"/>
              <w:rPr>
                <w:sz w:val="22"/>
                <w:szCs w:val="22"/>
              </w:rPr>
            </w:pPr>
            <w:r w:rsidRPr="00AD55AA">
              <w:rPr>
                <w:sz w:val="22"/>
                <w:szCs w:val="22"/>
              </w:rPr>
              <w:t>41,918</w:t>
            </w:r>
          </w:p>
        </w:tc>
      </w:tr>
      <w:tr w:rsidR="00EB7279" w:rsidRPr="00AD55AA" w14:paraId="36552360" w14:textId="77777777" w:rsidTr="00EB7279">
        <w:tblPrEx>
          <w:tblBorders>
            <w:bottom w:val="single" w:sz="6" w:space="0" w:color="auto"/>
          </w:tblBorders>
        </w:tblPrEx>
        <w:trPr>
          <w:jc w:val="center"/>
        </w:trPr>
        <w:tc>
          <w:tcPr>
            <w:tcW w:w="2357" w:type="pct"/>
            <w:tcBorders>
              <w:top w:val="nil"/>
              <w:left w:val="nil"/>
              <w:bottom w:val="single" w:sz="4" w:space="0" w:color="auto"/>
              <w:right w:val="nil"/>
            </w:tcBorders>
          </w:tcPr>
          <w:p w14:paraId="70C3A27E" w14:textId="77777777" w:rsidR="00EB7279" w:rsidRPr="00AD55AA" w:rsidRDefault="00EB7279" w:rsidP="00EB7279">
            <w:pPr>
              <w:widowControl w:val="0"/>
              <w:autoSpaceDE w:val="0"/>
              <w:autoSpaceDN w:val="0"/>
              <w:adjustRightInd w:val="0"/>
              <w:rPr>
                <w:sz w:val="22"/>
                <w:szCs w:val="22"/>
              </w:rPr>
            </w:pPr>
            <w:r w:rsidRPr="00AD55AA">
              <w:rPr>
                <w:sz w:val="22"/>
                <w:szCs w:val="22"/>
              </w:rPr>
              <w:t>Adjusted R-squared</w:t>
            </w:r>
          </w:p>
        </w:tc>
        <w:tc>
          <w:tcPr>
            <w:tcW w:w="1322" w:type="pct"/>
            <w:tcBorders>
              <w:top w:val="nil"/>
              <w:left w:val="nil"/>
              <w:bottom w:val="single" w:sz="4" w:space="0" w:color="auto"/>
              <w:right w:val="nil"/>
            </w:tcBorders>
          </w:tcPr>
          <w:p w14:paraId="1C3DA0EE" w14:textId="30780270" w:rsidR="00EB7279" w:rsidRPr="00AD55AA" w:rsidRDefault="00EB7279" w:rsidP="00EB7279">
            <w:pPr>
              <w:widowControl w:val="0"/>
              <w:autoSpaceDE w:val="0"/>
              <w:autoSpaceDN w:val="0"/>
              <w:adjustRightInd w:val="0"/>
              <w:jc w:val="center"/>
              <w:rPr>
                <w:sz w:val="22"/>
                <w:szCs w:val="22"/>
              </w:rPr>
            </w:pPr>
            <w:r w:rsidRPr="0081011E">
              <w:rPr>
                <w:sz w:val="22"/>
              </w:rPr>
              <w:t>0.1946</w:t>
            </w:r>
          </w:p>
        </w:tc>
        <w:tc>
          <w:tcPr>
            <w:tcW w:w="1321" w:type="pct"/>
            <w:tcBorders>
              <w:top w:val="nil"/>
              <w:left w:val="nil"/>
              <w:bottom w:val="single" w:sz="4" w:space="0" w:color="auto"/>
              <w:right w:val="nil"/>
            </w:tcBorders>
          </w:tcPr>
          <w:p w14:paraId="03538655" w14:textId="7ED2CDA9" w:rsidR="00EB7279" w:rsidRPr="00AD55AA" w:rsidRDefault="00EB7279" w:rsidP="00EB7279">
            <w:pPr>
              <w:widowControl w:val="0"/>
              <w:autoSpaceDE w:val="0"/>
              <w:autoSpaceDN w:val="0"/>
              <w:adjustRightInd w:val="0"/>
              <w:jc w:val="center"/>
              <w:rPr>
                <w:sz w:val="22"/>
                <w:szCs w:val="22"/>
              </w:rPr>
            </w:pPr>
            <w:r w:rsidRPr="0081011E">
              <w:rPr>
                <w:sz w:val="22"/>
              </w:rPr>
              <w:t>0.2102</w:t>
            </w:r>
          </w:p>
        </w:tc>
      </w:tr>
      <w:tr w:rsidR="00964256" w:rsidRPr="00AD55AA" w14:paraId="467EF008" w14:textId="77777777" w:rsidTr="00EB7279">
        <w:tblPrEx>
          <w:tblBorders>
            <w:bottom w:val="single" w:sz="6" w:space="0" w:color="auto"/>
          </w:tblBorders>
        </w:tblPrEx>
        <w:trPr>
          <w:jc w:val="center"/>
        </w:trPr>
        <w:tc>
          <w:tcPr>
            <w:tcW w:w="2357" w:type="pct"/>
            <w:tcBorders>
              <w:top w:val="single" w:sz="4" w:space="0" w:color="auto"/>
              <w:left w:val="nil"/>
              <w:bottom w:val="nil"/>
              <w:right w:val="nil"/>
            </w:tcBorders>
          </w:tcPr>
          <w:p w14:paraId="469CB1FE" w14:textId="77777777" w:rsidR="00964256" w:rsidRPr="00AD55AA" w:rsidRDefault="00964256" w:rsidP="001D15AF">
            <w:pPr>
              <w:widowControl w:val="0"/>
              <w:autoSpaceDE w:val="0"/>
              <w:autoSpaceDN w:val="0"/>
              <w:adjustRightInd w:val="0"/>
              <w:rPr>
                <w:sz w:val="22"/>
                <w:szCs w:val="22"/>
              </w:rPr>
            </w:pPr>
          </w:p>
        </w:tc>
        <w:tc>
          <w:tcPr>
            <w:tcW w:w="1322" w:type="pct"/>
            <w:tcBorders>
              <w:top w:val="single" w:sz="4" w:space="0" w:color="auto"/>
              <w:left w:val="nil"/>
              <w:bottom w:val="nil"/>
              <w:right w:val="nil"/>
            </w:tcBorders>
          </w:tcPr>
          <w:p w14:paraId="04653000" w14:textId="77777777" w:rsidR="00964256" w:rsidRPr="000A269C" w:rsidRDefault="00964256" w:rsidP="001D15AF">
            <w:pPr>
              <w:widowControl w:val="0"/>
              <w:autoSpaceDE w:val="0"/>
              <w:autoSpaceDN w:val="0"/>
              <w:adjustRightInd w:val="0"/>
              <w:jc w:val="center"/>
              <w:rPr>
                <w:sz w:val="22"/>
                <w:szCs w:val="22"/>
              </w:rPr>
            </w:pPr>
          </w:p>
        </w:tc>
        <w:tc>
          <w:tcPr>
            <w:tcW w:w="1321" w:type="pct"/>
            <w:tcBorders>
              <w:top w:val="single" w:sz="4" w:space="0" w:color="auto"/>
              <w:left w:val="nil"/>
              <w:bottom w:val="nil"/>
              <w:right w:val="nil"/>
            </w:tcBorders>
          </w:tcPr>
          <w:p w14:paraId="38EF117E" w14:textId="77777777" w:rsidR="00964256" w:rsidRPr="000A269C" w:rsidRDefault="00964256" w:rsidP="001D15AF">
            <w:pPr>
              <w:widowControl w:val="0"/>
              <w:autoSpaceDE w:val="0"/>
              <w:autoSpaceDN w:val="0"/>
              <w:adjustRightInd w:val="0"/>
              <w:jc w:val="center"/>
              <w:rPr>
                <w:sz w:val="22"/>
                <w:szCs w:val="22"/>
              </w:rPr>
            </w:pPr>
          </w:p>
        </w:tc>
      </w:tr>
      <w:tr w:rsidR="00964256" w:rsidRPr="00AD55AA" w14:paraId="1805C743" w14:textId="77777777" w:rsidTr="00964256">
        <w:tblPrEx>
          <w:tblBorders>
            <w:bottom w:val="single" w:sz="6" w:space="0" w:color="auto"/>
          </w:tblBorders>
        </w:tblPrEx>
        <w:trPr>
          <w:jc w:val="center"/>
        </w:trPr>
        <w:tc>
          <w:tcPr>
            <w:tcW w:w="5000" w:type="pct"/>
            <w:gridSpan w:val="3"/>
            <w:tcBorders>
              <w:top w:val="nil"/>
              <w:left w:val="nil"/>
              <w:bottom w:val="nil"/>
              <w:right w:val="nil"/>
            </w:tcBorders>
          </w:tcPr>
          <w:p w14:paraId="16D8D8E7" w14:textId="179469C6" w:rsidR="00964256" w:rsidRPr="000A269C" w:rsidRDefault="00964256" w:rsidP="00C82F24">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 </w:t>
            </w:r>
            <w:r w:rsidRPr="00AD55AA">
              <w:rPr>
                <w:sz w:val="22"/>
                <w:szCs w:val="22"/>
              </w:rPr>
              <w:t>the results of</w:t>
            </w:r>
            <w:r w:rsidR="00C82F24">
              <w:rPr>
                <w:sz w:val="22"/>
                <w:szCs w:val="22"/>
              </w:rPr>
              <w:t xml:space="preserve"> the i</w:t>
            </w:r>
            <w:r w:rsidR="00C82F24" w:rsidRPr="00C82F24">
              <w:rPr>
                <w:sz w:val="22"/>
                <w:szCs w:val="22"/>
              </w:rPr>
              <w:t xml:space="preserve">ncumbent </w:t>
            </w:r>
            <w:r w:rsidR="00820626">
              <w:rPr>
                <w:sz w:val="22"/>
                <w:szCs w:val="22"/>
              </w:rPr>
              <w:t>administration</w:t>
            </w:r>
            <w:r w:rsidR="00C82F24">
              <w:rPr>
                <w:sz w:val="22"/>
                <w:szCs w:val="22"/>
              </w:rPr>
              <w:t xml:space="preserve"> analysis</w:t>
            </w:r>
            <w:r w:rsidRPr="00AD55AA">
              <w:rPr>
                <w:sz w:val="22"/>
                <w:szCs w:val="22"/>
              </w:rPr>
              <w:t xml:space="preserve">. </w:t>
            </w:r>
            <w:r w:rsidRPr="00B0791D">
              <w:rPr>
                <w:sz w:val="22"/>
                <w:szCs w:val="22"/>
              </w:rPr>
              <w:t xml:space="preserve">CFIUS Block pre-Trump and CFIUS Block post-Trump </w:t>
            </w:r>
            <w:r>
              <w:rPr>
                <w:sz w:val="22"/>
                <w:szCs w:val="22"/>
              </w:rPr>
              <w:t>are defined using</w:t>
            </w:r>
            <w:r w:rsidRPr="00B0791D">
              <w:rPr>
                <w:sz w:val="22"/>
                <w:szCs w:val="22"/>
              </w:rPr>
              <w:t xml:space="preserve"> CFIUS interventions before and after the 2016 U</w:t>
            </w:r>
            <w:r w:rsidR="008A3E91">
              <w:rPr>
                <w:sz w:val="22"/>
                <w:szCs w:val="22"/>
              </w:rPr>
              <w:t>.</w:t>
            </w:r>
            <w:r w:rsidRPr="00B0791D">
              <w:rPr>
                <w:sz w:val="22"/>
                <w:szCs w:val="22"/>
              </w:rPr>
              <w:t>S</w:t>
            </w:r>
            <w:r w:rsidR="008A3E91">
              <w:rPr>
                <w:sz w:val="22"/>
                <w:szCs w:val="22"/>
              </w:rPr>
              <w:t>.</w:t>
            </w:r>
            <w:r w:rsidRPr="00B0791D">
              <w:rPr>
                <w:sz w:val="22"/>
                <w:szCs w:val="22"/>
              </w:rPr>
              <w:t xml:space="preserve"> presidential</w:t>
            </w:r>
            <w:r w:rsidRPr="00AD55AA">
              <w:rPr>
                <w:sz w:val="22"/>
                <w:szCs w:val="22"/>
              </w:rPr>
              <w:t xml:space="preserve"> election respectively. Test [a] = [b] is a t-test of equality between the two coefficients.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7B3AF211" w14:textId="77777777" w:rsidR="000B79F3" w:rsidRPr="00AD55AA" w:rsidRDefault="000B79F3" w:rsidP="000B79F3">
      <w:pPr>
        <w:spacing w:after="160" w:line="259" w:lineRule="auto"/>
        <w:rPr>
          <w:sz w:val="22"/>
          <w:szCs w:val="22"/>
        </w:rPr>
      </w:pPr>
    </w:p>
    <w:p w14:paraId="7BC6EEC0" w14:textId="77777777" w:rsidR="000B79F3" w:rsidRPr="00AD55AA" w:rsidRDefault="000B79F3">
      <w:pPr>
        <w:spacing w:after="160" w:line="259" w:lineRule="auto"/>
        <w:rPr>
          <w:sz w:val="22"/>
          <w:szCs w:val="22"/>
        </w:rPr>
      </w:pPr>
    </w:p>
    <w:p w14:paraId="47E53B08" w14:textId="1F655F01" w:rsidR="000B79F3" w:rsidRPr="00AD55AA" w:rsidRDefault="000B79F3">
      <w:pPr>
        <w:spacing w:after="160" w:line="259" w:lineRule="auto"/>
        <w:rPr>
          <w:sz w:val="22"/>
          <w:szCs w:val="22"/>
        </w:rPr>
      </w:pPr>
      <w:r w:rsidRPr="00AD55AA">
        <w:rPr>
          <w:sz w:val="22"/>
          <w:szCs w:val="22"/>
        </w:rPr>
        <w:br w:type="page"/>
      </w:r>
    </w:p>
    <w:p w14:paraId="792D9957" w14:textId="6B36CE0C" w:rsidR="005934FA" w:rsidRDefault="005934FA">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2678"/>
        <w:gridCol w:w="1598"/>
        <w:gridCol w:w="1597"/>
        <w:gridCol w:w="1597"/>
        <w:gridCol w:w="1597"/>
      </w:tblGrid>
      <w:tr w:rsidR="00C82F24" w:rsidRPr="00AD55AA" w14:paraId="3FEFE167" w14:textId="77777777" w:rsidTr="00FB100C">
        <w:trPr>
          <w:jc w:val="center"/>
        </w:trPr>
        <w:tc>
          <w:tcPr>
            <w:tcW w:w="0" w:type="auto"/>
            <w:tcBorders>
              <w:left w:val="nil"/>
              <w:right w:val="nil"/>
            </w:tcBorders>
          </w:tcPr>
          <w:p w14:paraId="4FC13DE3" w14:textId="72517205" w:rsidR="00C82F24" w:rsidRPr="00AD55AA" w:rsidRDefault="00C82F24" w:rsidP="00FB100C">
            <w:pPr>
              <w:widowControl w:val="0"/>
              <w:autoSpaceDE w:val="0"/>
              <w:autoSpaceDN w:val="0"/>
              <w:adjustRightInd w:val="0"/>
              <w:rPr>
                <w:sz w:val="22"/>
                <w:szCs w:val="22"/>
              </w:rPr>
            </w:pPr>
            <w:r w:rsidRPr="00AD55AA">
              <w:rPr>
                <w:b/>
                <w:sz w:val="22"/>
                <w:szCs w:val="22"/>
              </w:rPr>
              <w:t xml:space="preserve">Table </w:t>
            </w:r>
            <w:r>
              <w:rPr>
                <w:b/>
                <w:sz w:val="22"/>
                <w:szCs w:val="22"/>
              </w:rPr>
              <w:t>14</w:t>
            </w:r>
          </w:p>
        </w:tc>
        <w:tc>
          <w:tcPr>
            <w:tcW w:w="0" w:type="auto"/>
            <w:gridSpan w:val="2"/>
            <w:tcBorders>
              <w:left w:val="nil"/>
              <w:right w:val="nil"/>
            </w:tcBorders>
          </w:tcPr>
          <w:p w14:paraId="43701371" w14:textId="77777777" w:rsidR="00C82F24" w:rsidRPr="00AD55AA" w:rsidRDefault="00C82F24" w:rsidP="00FB100C">
            <w:pPr>
              <w:widowControl w:val="0"/>
              <w:autoSpaceDE w:val="0"/>
              <w:autoSpaceDN w:val="0"/>
              <w:adjustRightInd w:val="0"/>
              <w:jc w:val="center"/>
              <w:rPr>
                <w:sz w:val="22"/>
                <w:szCs w:val="22"/>
              </w:rPr>
            </w:pPr>
          </w:p>
        </w:tc>
        <w:tc>
          <w:tcPr>
            <w:tcW w:w="0" w:type="auto"/>
            <w:gridSpan w:val="2"/>
            <w:tcBorders>
              <w:left w:val="nil"/>
              <w:right w:val="nil"/>
            </w:tcBorders>
          </w:tcPr>
          <w:p w14:paraId="3DA6B80F" w14:textId="77777777" w:rsidR="00C82F24" w:rsidRPr="00AD55AA" w:rsidRDefault="00C82F24" w:rsidP="00FB100C">
            <w:pPr>
              <w:widowControl w:val="0"/>
              <w:autoSpaceDE w:val="0"/>
              <w:autoSpaceDN w:val="0"/>
              <w:adjustRightInd w:val="0"/>
              <w:jc w:val="center"/>
              <w:rPr>
                <w:sz w:val="22"/>
                <w:szCs w:val="22"/>
              </w:rPr>
            </w:pPr>
          </w:p>
        </w:tc>
      </w:tr>
      <w:tr w:rsidR="00C82F24" w:rsidRPr="00AD55AA" w14:paraId="5442F127" w14:textId="77777777" w:rsidTr="00FB100C">
        <w:trPr>
          <w:jc w:val="center"/>
        </w:trPr>
        <w:tc>
          <w:tcPr>
            <w:tcW w:w="0" w:type="auto"/>
            <w:gridSpan w:val="5"/>
            <w:tcBorders>
              <w:left w:val="nil"/>
              <w:right w:val="nil"/>
            </w:tcBorders>
          </w:tcPr>
          <w:p w14:paraId="70A710F8" w14:textId="18245E25" w:rsidR="00C82F24" w:rsidRPr="00AD55AA" w:rsidRDefault="00C82F24" w:rsidP="00FB100C">
            <w:pPr>
              <w:widowControl w:val="0"/>
              <w:autoSpaceDE w:val="0"/>
              <w:autoSpaceDN w:val="0"/>
              <w:adjustRightInd w:val="0"/>
              <w:rPr>
                <w:sz w:val="22"/>
                <w:szCs w:val="22"/>
              </w:rPr>
            </w:pPr>
            <w:r>
              <w:rPr>
                <w:b/>
                <w:sz w:val="22"/>
                <w:szCs w:val="22"/>
              </w:rPr>
              <w:t>Robustness tests</w:t>
            </w:r>
          </w:p>
        </w:tc>
      </w:tr>
      <w:tr w:rsidR="00C82F24" w:rsidRPr="00AD55AA" w14:paraId="47DCE7EE" w14:textId="77777777" w:rsidTr="00FB100C">
        <w:trPr>
          <w:jc w:val="center"/>
        </w:trPr>
        <w:tc>
          <w:tcPr>
            <w:tcW w:w="0" w:type="auto"/>
            <w:tcBorders>
              <w:left w:val="nil"/>
              <w:bottom w:val="single" w:sz="4" w:space="0" w:color="auto"/>
              <w:right w:val="nil"/>
            </w:tcBorders>
          </w:tcPr>
          <w:p w14:paraId="272A5723" w14:textId="77777777" w:rsidR="00C82F24" w:rsidRPr="00AD55AA" w:rsidRDefault="00C82F24" w:rsidP="00FB100C">
            <w:pPr>
              <w:widowControl w:val="0"/>
              <w:autoSpaceDE w:val="0"/>
              <w:autoSpaceDN w:val="0"/>
              <w:adjustRightInd w:val="0"/>
              <w:rPr>
                <w:sz w:val="22"/>
                <w:szCs w:val="22"/>
              </w:rPr>
            </w:pPr>
          </w:p>
        </w:tc>
        <w:tc>
          <w:tcPr>
            <w:tcW w:w="0" w:type="auto"/>
            <w:gridSpan w:val="2"/>
            <w:tcBorders>
              <w:left w:val="nil"/>
              <w:bottom w:val="single" w:sz="4" w:space="0" w:color="auto"/>
              <w:right w:val="nil"/>
            </w:tcBorders>
          </w:tcPr>
          <w:p w14:paraId="1E5D97C2" w14:textId="77777777" w:rsidR="00C82F24" w:rsidRPr="00AD55AA" w:rsidRDefault="00C82F24" w:rsidP="00FB100C">
            <w:pPr>
              <w:widowControl w:val="0"/>
              <w:autoSpaceDE w:val="0"/>
              <w:autoSpaceDN w:val="0"/>
              <w:adjustRightInd w:val="0"/>
              <w:jc w:val="center"/>
              <w:rPr>
                <w:sz w:val="22"/>
                <w:szCs w:val="22"/>
              </w:rPr>
            </w:pPr>
          </w:p>
        </w:tc>
        <w:tc>
          <w:tcPr>
            <w:tcW w:w="0" w:type="auto"/>
            <w:gridSpan w:val="2"/>
            <w:tcBorders>
              <w:left w:val="nil"/>
              <w:bottom w:val="single" w:sz="4" w:space="0" w:color="auto"/>
              <w:right w:val="nil"/>
            </w:tcBorders>
          </w:tcPr>
          <w:p w14:paraId="0793B03E" w14:textId="77777777" w:rsidR="00C82F24" w:rsidRPr="00AD55AA" w:rsidRDefault="00C82F24" w:rsidP="00FB100C">
            <w:pPr>
              <w:widowControl w:val="0"/>
              <w:autoSpaceDE w:val="0"/>
              <w:autoSpaceDN w:val="0"/>
              <w:adjustRightInd w:val="0"/>
              <w:jc w:val="center"/>
              <w:rPr>
                <w:sz w:val="22"/>
                <w:szCs w:val="22"/>
              </w:rPr>
            </w:pPr>
          </w:p>
        </w:tc>
      </w:tr>
      <w:tr w:rsidR="00C82F24" w:rsidRPr="00AD55AA" w14:paraId="056F67E4" w14:textId="77777777" w:rsidTr="00FB100C">
        <w:trPr>
          <w:jc w:val="center"/>
        </w:trPr>
        <w:tc>
          <w:tcPr>
            <w:tcW w:w="0" w:type="auto"/>
            <w:tcBorders>
              <w:top w:val="single" w:sz="4" w:space="0" w:color="auto"/>
              <w:left w:val="nil"/>
              <w:right w:val="nil"/>
            </w:tcBorders>
          </w:tcPr>
          <w:p w14:paraId="00BA7227" w14:textId="77777777" w:rsidR="00C82F24" w:rsidRPr="00AD55AA" w:rsidRDefault="00C82F24" w:rsidP="00FB100C">
            <w:pPr>
              <w:widowControl w:val="0"/>
              <w:autoSpaceDE w:val="0"/>
              <w:autoSpaceDN w:val="0"/>
              <w:adjustRightInd w:val="0"/>
              <w:rPr>
                <w:sz w:val="22"/>
                <w:szCs w:val="22"/>
              </w:rPr>
            </w:pPr>
          </w:p>
        </w:tc>
        <w:tc>
          <w:tcPr>
            <w:tcW w:w="0" w:type="auto"/>
            <w:gridSpan w:val="4"/>
            <w:tcBorders>
              <w:top w:val="single" w:sz="4" w:space="0" w:color="auto"/>
              <w:left w:val="nil"/>
              <w:right w:val="nil"/>
            </w:tcBorders>
          </w:tcPr>
          <w:p w14:paraId="010A5BC6" w14:textId="55B818FD" w:rsidR="00C82F24" w:rsidRPr="00AD55AA" w:rsidRDefault="00C82F24" w:rsidP="00FB100C">
            <w:pPr>
              <w:widowControl w:val="0"/>
              <w:autoSpaceDE w:val="0"/>
              <w:autoSpaceDN w:val="0"/>
              <w:adjustRightInd w:val="0"/>
              <w:jc w:val="center"/>
              <w:rPr>
                <w:sz w:val="22"/>
                <w:szCs w:val="22"/>
              </w:rPr>
            </w:pPr>
            <w:r w:rsidRPr="00AD55AA">
              <w:rPr>
                <w:sz w:val="22"/>
                <w:szCs w:val="22"/>
              </w:rPr>
              <w:t>Capex</w:t>
            </w:r>
          </w:p>
        </w:tc>
      </w:tr>
      <w:tr w:rsidR="00C82F24" w:rsidRPr="00AD55AA" w14:paraId="6CEFFEA0" w14:textId="77777777" w:rsidTr="00FB100C">
        <w:trPr>
          <w:jc w:val="center"/>
        </w:trPr>
        <w:tc>
          <w:tcPr>
            <w:tcW w:w="0" w:type="auto"/>
            <w:tcBorders>
              <w:left w:val="nil"/>
              <w:bottom w:val="single" w:sz="6" w:space="0" w:color="auto"/>
              <w:right w:val="nil"/>
            </w:tcBorders>
          </w:tcPr>
          <w:p w14:paraId="1DF148B5" w14:textId="77777777" w:rsidR="00C82F24" w:rsidRPr="00AD55AA" w:rsidRDefault="00C82F24" w:rsidP="00C82F24">
            <w:pPr>
              <w:widowControl w:val="0"/>
              <w:autoSpaceDE w:val="0"/>
              <w:autoSpaceDN w:val="0"/>
              <w:adjustRightInd w:val="0"/>
              <w:rPr>
                <w:sz w:val="22"/>
                <w:szCs w:val="22"/>
              </w:rPr>
            </w:pPr>
            <w:r w:rsidRPr="00AD55AA">
              <w:rPr>
                <w:sz w:val="22"/>
                <w:szCs w:val="22"/>
              </w:rPr>
              <w:t>Variable:</w:t>
            </w:r>
          </w:p>
        </w:tc>
        <w:tc>
          <w:tcPr>
            <w:tcW w:w="0" w:type="auto"/>
            <w:tcBorders>
              <w:left w:val="nil"/>
              <w:bottom w:val="single" w:sz="6" w:space="0" w:color="auto"/>
              <w:right w:val="nil"/>
            </w:tcBorders>
          </w:tcPr>
          <w:p w14:paraId="4C7F138A" w14:textId="49D1226B" w:rsidR="00C82F24" w:rsidRPr="00AD55AA" w:rsidRDefault="00C82F24" w:rsidP="00C82F24">
            <w:pPr>
              <w:widowControl w:val="0"/>
              <w:autoSpaceDE w:val="0"/>
              <w:autoSpaceDN w:val="0"/>
              <w:adjustRightInd w:val="0"/>
              <w:jc w:val="center"/>
              <w:rPr>
                <w:sz w:val="22"/>
                <w:szCs w:val="22"/>
              </w:rPr>
            </w:pPr>
            <w:r w:rsidRPr="00AD55AA">
              <w:rPr>
                <w:sz w:val="22"/>
                <w:szCs w:val="22"/>
              </w:rPr>
              <w:t>(1)</w:t>
            </w:r>
          </w:p>
        </w:tc>
        <w:tc>
          <w:tcPr>
            <w:tcW w:w="0" w:type="auto"/>
            <w:tcBorders>
              <w:left w:val="nil"/>
              <w:bottom w:val="single" w:sz="6" w:space="0" w:color="auto"/>
              <w:right w:val="nil"/>
            </w:tcBorders>
          </w:tcPr>
          <w:p w14:paraId="421D7022" w14:textId="77223BA8" w:rsidR="00C82F24" w:rsidRPr="00AD55AA" w:rsidRDefault="00C82F24" w:rsidP="00C82F24">
            <w:pPr>
              <w:widowControl w:val="0"/>
              <w:autoSpaceDE w:val="0"/>
              <w:autoSpaceDN w:val="0"/>
              <w:adjustRightInd w:val="0"/>
              <w:jc w:val="center"/>
              <w:rPr>
                <w:sz w:val="22"/>
                <w:szCs w:val="22"/>
              </w:rPr>
            </w:pPr>
            <w:r w:rsidRPr="00AD55AA">
              <w:rPr>
                <w:sz w:val="22"/>
                <w:szCs w:val="22"/>
              </w:rPr>
              <w:t>(2)</w:t>
            </w:r>
          </w:p>
        </w:tc>
        <w:tc>
          <w:tcPr>
            <w:tcW w:w="0" w:type="auto"/>
            <w:tcBorders>
              <w:left w:val="nil"/>
              <w:bottom w:val="single" w:sz="6" w:space="0" w:color="auto"/>
              <w:right w:val="nil"/>
            </w:tcBorders>
          </w:tcPr>
          <w:p w14:paraId="7E63A629" w14:textId="575495F4" w:rsidR="00C82F24" w:rsidRPr="00AD55AA" w:rsidRDefault="00C82F24" w:rsidP="00C82F24">
            <w:pPr>
              <w:widowControl w:val="0"/>
              <w:autoSpaceDE w:val="0"/>
              <w:autoSpaceDN w:val="0"/>
              <w:adjustRightInd w:val="0"/>
              <w:jc w:val="center"/>
              <w:rPr>
                <w:sz w:val="22"/>
                <w:szCs w:val="22"/>
              </w:rPr>
            </w:pPr>
            <w:r>
              <w:rPr>
                <w:sz w:val="22"/>
                <w:szCs w:val="22"/>
              </w:rPr>
              <w:t>(3</w:t>
            </w:r>
            <w:r w:rsidRPr="00AD55AA">
              <w:rPr>
                <w:sz w:val="22"/>
                <w:szCs w:val="22"/>
              </w:rPr>
              <w:t>)</w:t>
            </w:r>
          </w:p>
        </w:tc>
        <w:tc>
          <w:tcPr>
            <w:tcW w:w="0" w:type="auto"/>
            <w:tcBorders>
              <w:left w:val="nil"/>
              <w:bottom w:val="single" w:sz="6" w:space="0" w:color="auto"/>
              <w:right w:val="nil"/>
            </w:tcBorders>
          </w:tcPr>
          <w:p w14:paraId="4FEA5C9E" w14:textId="5CB9A456" w:rsidR="00C82F24" w:rsidRPr="00AD55AA" w:rsidRDefault="00C82F24" w:rsidP="00C82F24">
            <w:pPr>
              <w:widowControl w:val="0"/>
              <w:autoSpaceDE w:val="0"/>
              <w:autoSpaceDN w:val="0"/>
              <w:adjustRightInd w:val="0"/>
              <w:jc w:val="center"/>
              <w:rPr>
                <w:sz w:val="22"/>
                <w:szCs w:val="22"/>
              </w:rPr>
            </w:pPr>
            <w:r>
              <w:rPr>
                <w:sz w:val="22"/>
                <w:szCs w:val="22"/>
              </w:rPr>
              <w:t>(4</w:t>
            </w:r>
            <w:r w:rsidRPr="00AD55AA">
              <w:rPr>
                <w:sz w:val="22"/>
                <w:szCs w:val="22"/>
              </w:rPr>
              <w:t>)</w:t>
            </w:r>
          </w:p>
        </w:tc>
      </w:tr>
      <w:tr w:rsidR="00C82F24" w:rsidRPr="00AD55AA" w14:paraId="61281F6B" w14:textId="77777777" w:rsidTr="00FB100C">
        <w:trPr>
          <w:jc w:val="center"/>
        </w:trPr>
        <w:tc>
          <w:tcPr>
            <w:tcW w:w="0" w:type="auto"/>
            <w:tcBorders>
              <w:top w:val="nil"/>
              <w:left w:val="nil"/>
              <w:bottom w:val="nil"/>
              <w:right w:val="nil"/>
            </w:tcBorders>
          </w:tcPr>
          <w:p w14:paraId="4E08292D" w14:textId="77777777" w:rsidR="00C82F24" w:rsidRPr="00AD55AA" w:rsidRDefault="00C82F24" w:rsidP="00FB100C">
            <w:pPr>
              <w:widowControl w:val="0"/>
              <w:autoSpaceDE w:val="0"/>
              <w:autoSpaceDN w:val="0"/>
              <w:adjustRightInd w:val="0"/>
              <w:rPr>
                <w:sz w:val="22"/>
                <w:szCs w:val="22"/>
              </w:rPr>
            </w:pPr>
          </w:p>
        </w:tc>
        <w:tc>
          <w:tcPr>
            <w:tcW w:w="0" w:type="auto"/>
            <w:tcBorders>
              <w:top w:val="nil"/>
              <w:left w:val="nil"/>
              <w:bottom w:val="nil"/>
              <w:right w:val="nil"/>
            </w:tcBorders>
          </w:tcPr>
          <w:p w14:paraId="2A20704D" w14:textId="77777777" w:rsidR="00C82F24" w:rsidRPr="00AD55AA" w:rsidRDefault="00C82F24" w:rsidP="00FB100C">
            <w:pPr>
              <w:widowControl w:val="0"/>
              <w:autoSpaceDE w:val="0"/>
              <w:autoSpaceDN w:val="0"/>
              <w:adjustRightInd w:val="0"/>
              <w:jc w:val="center"/>
              <w:rPr>
                <w:sz w:val="22"/>
                <w:szCs w:val="22"/>
              </w:rPr>
            </w:pPr>
          </w:p>
        </w:tc>
        <w:tc>
          <w:tcPr>
            <w:tcW w:w="0" w:type="auto"/>
            <w:tcBorders>
              <w:top w:val="nil"/>
              <w:left w:val="nil"/>
              <w:bottom w:val="nil"/>
              <w:right w:val="nil"/>
            </w:tcBorders>
          </w:tcPr>
          <w:p w14:paraId="3981025B" w14:textId="77777777" w:rsidR="00C82F24" w:rsidRPr="00AD55AA" w:rsidRDefault="00C82F24" w:rsidP="00FB100C">
            <w:pPr>
              <w:widowControl w:val="0"/>
              <w:autoSpaceDE w:val="0"/>
              <w:autoSpaceDN w:val="0"/>
              <w:adjustRightInd w:val="0"/>
              <w:jc w:val="center"/>
              <w:rPr>
                <w:sz w:val="22"/>
                <w:szCs w:val="22"/>
              </w:rPr>
            </w:pPr>
          </w:p>
        </w:tc>
        <w:tc>
          <w:tcPr>
            <w:tcW w:w="0" w:type="auto"/>
            <w:tcBorders>
              <w:top w:val="nil"/>
              <w:left w:val="nil"/>
              <w:bottom w:val="nil"/>
              <w:right w:val="nil"/>
            </w:tcBorders>
          </w:tcPr>
          <w:p w14:paraId="2544225F" w14:textId="77777777" w:rsidR="00C82F24" w:rsidRPr="00AD55AA" w:rsidRDefault="00C82F24" w:rsidP="00FB100C">
            <w:pPr>
              <w:widowControl w:val="0"/>
              <w:autoSpaceDE w:val="0"/>
              <w:autoSpaceDN w:val="0"/>
              <w:adjustRightInd w:val="0"/>
              <w:jc w:val="center"/>
              <w:rPr>
                <w:sz w:val="22"/>
                <w:szCs w:val="22"/>
              </w:rPr>
            </w:pPr>
          </w:p>
        </w:tc>
        <w:tc>
          <w:tcPr>
            <w:tcW w:w="0" w:type="auto"/>
            <w:tcBorders>
              <w:top w:val="nil"/>
              <w:left w:val="nil"/>
              <w:bottom w:val="nil"/>
              <w:right w:val="nil"/>
            </w:tcBorders>
          </w:tcPr>
          <w:p w14:paraId="41E74AA9" w14:textId="77777777" w:rsidR="00C82F24" w:rsidRPr="00AD55AA" w:rsidRDefault="00C82F24" w:rsidP="00FB100C">
            <w:pPr>
              <w:widowControl w:val="0"/>
              <w:autoSpaceDE w:val="0"/>
              <w:autoSpaceDN w:val="0"/>
              <w:adjustRightInd w:val="0"/>
              <w:jc w:val="center"/>
              <w:rPr>
                <w:sz w:val="22"/>
                <w:szCs w:val="22"/>
              </w:rPr>
            </w:pPr>
          </w:p>
        </w:tc>
      </w:tr>
      <w:tr w:rsidR="00165583" w:rsidRPr="00AD55AA" w14:paraId="48CB6678" w14:textId="77777777" w:rsidTr="00FB100C">
        <w:trPr>
          <w:jc w:val="center"/>
        </w:trPr>
        <w:tc>
          <w:tcPr>
            <w:tcW w:w="0" w:type="auto"/>
            <w:tcBorders>
              <w:top w:val="nil"/>
              <w:left w:val="nil"/>
              <w:bottom w:val="nil"/>
              <w:right w:val="nil"/>
            </w:tcBorders>
          </w:tcPr>
          <w:p w14:paraId="5B4A2688" w14:textId="77777777" w:rsidR="00165583" w:rsidRPr="00AD55AA" w:rsidRDefault="00165583" w:rsidP="00165583">
            <w:pPr>
              <w:widowControl w:val="0"/>
              <w:autoSpaceDE w:val="0"/>
              <w:autoSpaceDN w:val="0"/>
              <w:adjustRightInd w:val="0"/>
              <w:rPr>
                <w:sz w:val="22"/>
                <w:szCs w:val="22"/>
              </w:rPr>
            </w:pPr>
            <w:r w:rsidRPr="00AD55AA">
              <w:rPr>
                <w:sz w:val="22"/>
                <w:szCs w:val="22"/>
              </w:rPr>
              <w:t xml:space="preserve">CFIUS </w:t>
            </w:r>
            <w:r>
              <w:rPr>
                <w:sz w:val="22"/>
                <w:szCs w:val="22"/>
              </w:rPr>
              <w:t xml:space="preserve">Block </w:t>
            </w:r>
          </w:p>
        </w:tc>
        <w:tc>
          <w:tcPr>
            <w:tcW w:w="0" w:type="auto"/>
            <w:tcBorders>
              <w:top w:val="nil"/>
              <w:left w:val="nil"/>
              <w:bottom w:val="nil"/>
              <w:right w:val="nil"/>
            </w:tcBorders>
          </w:tcPr>
          <w:p w14:paraId="46B5275E" w14:textId="1990FAB0" w:rsidR="00165583" w:rsidRPr="00154B9B" w:rsidRDefault="00165583" w:rsidP="00165583">
            <w:pPr>
              <w:widowControl w:val="0"/>
              <w:autoSpaceDE w:val="0"/>
              <w:autoSpaceDN w:val="0"/>
              <w:adjustRightInd w:val="0"/>
              <w:jc w:val="center"/>
              <w:rPr>
                <w:sz w:val="22"/>
                <w:szCs w:val="22"/>
              </w:rPr>
            </w:pPr>
            <w:r w:rsidRPr="003F6FED">
              <w:rPr>
                <w:sz w:val="22"/>
                <w:szCs w:val="22"/>
              </w:rPr>
              <w:t>-0.072**</w:t>
            </w:r>
          </w:p>
        </w:tc>
        <w:tc>
          <w:tcPr>
            <w:tcW w:w="0" w:type="auto"/>
            <w:tcBorders>
              <w:top w:val="nil"/>
              <w:left w:val="nil"/>
              <w:bottom w:val="nil"/>
              <w:right w:val="nil"/>
            </w:tcBorders>
          </w:tcPr>
          <w:p w14:paraId="2EB41392" w14:textId="4AEB2226" w:rsidR="00165583" w:rsidRPr="00154B9B" w:rsidRDefault="00165583" w:rsidP="00165583">
            <w:pPr>
              <w:widowControl w:val="0"/>
              <w:autoSpaceDE w:val="0"/>
              <w:autoSpaceDN w:val="0"/>
              <w:adjustRightInd w:val="0"/>
              <w:jc w:val="center"/>
              <w:rPr>
                <w:sz w:val="22"/>
                <w:szCs w:val="22"/>
              </w:rPr>
            </w:pPr>
            <w:r w:rsidRPr="00272C6C">
              <w:rPr>
                <w:sz w:val="22"/>
                <w:szCs w:val="22"/>
              </w:rPr>
              <w:t>-0.053***</w:t>
            </w:r>
          </w:p>
        </w:tc>
        <w:tc>
          <w:tcPr>
            <w:tcW w:w="0" w:type="auto"/>
            <w:tcBorders>
              <w:top w:val="nil"/>
              <w:left w:val="nil"/>
              <w:bottom w:val="nil"/>
              <w:right w:val="nil"/>
            </w:tcBorders>
          </w:tcPr>
          <w:p w14:paraId="4D5F9A63" w14:textId="55439A33" w:rsidR="00165583" w:rsidRPr="00154B9B" w:rsidRDefault="00165583" w:rsidP="00165583">
            <w:pPr>
              <w:widowControl w:val="0"/>
              <w:autoSpaceDE w:val="0"/>
              <w:autoSpaceDN w:val="0"/>
              <w:adjustRightInd w:val="0"/>
              <w:jc w:val="center"/>
              <w:rPr>
                <w:sz w:val="22"/>
                <w:szCs w:val="22"/>
              </w:rPr>
            </w:pPr>
            <w:r w:rsidRPr="002942DA">
              <w:rPr>
                <w:sz w:val="22"/>
                <w:szCs w:val="22"/>
              </w:rPr>
              <w:t>-0.070**</w:t>
            </w:r>
          </w:p>
        </w:tc>
        <w:tc>
          <w:tcPr>
            <w:tcW w:w="0" w:type="auto"/>
            <w:tcBorders>
              <w:top w:val="nil"/>
              <w:left w:val="nil"/>
              <w:bottom w:val="nil"/>
              <w:right w:val="nil"/>
            </w:tcBorders>
          </w:tcPr>
          <w:p w14:paraId="67B29357" w14:textId="2874D063" w:rsidR="00165583" w:rsidRPr="00154B9B" w:rsidRDefault="00165583" w:rsidP="00165583">
            <w:pPr>
              <w:widowControl w:val="0"/>
              <w:autoSpaceDE w:val="0"/>
              <w:autoSpaceDN w:val="0"/>
              <w:adjustRightInd w:val="0"/>
              <w:jc w:val="center"/>
              <w:rPr>
                <w:sz w:val="22"/>
                <w:szCs w:val="22"/>
              </w:rPr>
            </w:pPr>
          </w:p>
        </w:tc>
      </w:tr>
      <w:tr w:rsidR="00165583" w:rsidRPr="00AD55AA" w14:paraId="26417AEE" w14:textId="77777777" w:rsidTr="00FB100C">
        <w:trPr>
          <w:jc w:val="center"/>
        </w:trPr>
        <w:tc>
          <w:tcPr>
            <w:tcW w:w="0" w:type="auto"/>
            <w:tcBorders>
              <w:top w:val="nil"/>
              <w:left w:val="nil"/>
              <w:bottom w:val="nil"/>
              <w:right w:val="nil"/>
            </w:tcBorders>
          </w:tcPr>
          <w:p w14:paraId="3E26D8B8"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7354DD7D" w14:textId="6A133C4F" w:rsidR="00165583" w:rsidRPr="00154B9B" w:rsidRDefault="00165583" w:rsidP="00165583">
            <w:pPr>
              <w:widowControl w:val="0"/>
              <w:autoSpaceDE w:val="0"/>
              <w:autoSpaceDN w:val="0"/>
              <w:adjustRightInd w:val="0"/>
              <w:jc w:val="center"/>
              <w:rPr>
                <w:sz w:val="22"/>
                <w:szCs w:val="22"/>
              </w:rPr>
            </w:pPr>
            <w:r w:rsidRPr="003F6FED">
              <w:rPr>
                <w:sz w:val="22"/>
                <w:szCs w:val="22"/>
              </w:rPr>
              <w:t>(-2.45)</w:t>
            </w:r>
          </w:p>
        </w:tc>
        <w:tc>
          <w:tcPr>
            <w:tcW w:w="0" w:type="auto"/>
            <w:tcBorders>
              <w:top w:val="nil"/>
              <w:left w:val="nil"/>
              <w:bottom w:val="nil"/>
              <w:right w:val="nil"/>
            </w:tcBorders>
          </w:tcPr>
          <w:p w14:paraId="19C1EBAA" w14:textId="77F716BC" w:rsidR="00165583" w:rsidRPr="00154B9B" w:rsidRDefault="00165583" w:rsidP="00165583">
            <w:pPr>
              <w:widowControl w:val="0"/>
              <w:autoSpaceDE w:val="0"/>
              <w:autoSpaceDN w:val="0"/>
              <w:adjustRightInd w:val="0"/>
              <w:jc w:val="center"/>
              <w:rPr>
                <w:sz w:val="22"/>
                <w:szCs w:val="22"/>
              </w:rPr>
            </w:pPr>
            <w:r w:rsidRPr="00272C6C">
              <w:rPr>
                <w:sz w:val="22"/>
                <w:szCs w:val="22"/>
              </w:rPr>
              <w:t>(-3.15)</w:t>
            </w:r>
          </w:p>
        </w:tc>
        <w:tc>
          <w:tcPr>
            <w:tcW w:w="0" w:type="auto"/>
            <w:tcBorders>
              <w:top w:val="nil"/>
              <w:left w:val="nil"/>
              <w:bottom w:val="nil"/>
              <w:right w:val="nil"/>
            </w:tcBorders>
          </w:tcPr>
          <w:p w14:paraId="3F7A97EC" w14:textId="3DA1D0D6" w:rsidR="00165583" w:rsidRPr="00154B9B" w:rsidRDefault="00165583" w:rsidP="00165583">
            <w:pPr>
              <w:widowControl w:val="0"/>
              <w:autoSpaceDE w:val="0"/>
              <w:autoSpaceDN w:val="0"/>
              <w:adjustRightInd w:val="0"/>
              <w:jc w:val="center"/>
              <w:rPr>
                <w:sz w:val="22"/>
                <w:szCs w:val="22"/>
              </w:rPr>
            </w:pPr>
            <w:r w:rsidRPr="002942DA">
              <w:rPr>
                <w:sz w:val="22"/>
                <w:szCs w:val="22"/>
              </w:rPr>
              <w:t>(-2.13)</w:t>
            </w:r>
          </w:p>
        </w:tc>
        <w:tc>
          <w:tcPr>
            <w:tcW w:w="0" w:type="auto"/>
            <w:tcBorders>
              <w:top w:val="nil"/>
              <w:left w:val="nil"/>
              <w:bottom w:val="nil"/>
              <w:right w:val="nil"/>
            </w:tcBorders>
          </w:tcPr>
          <w:p w14:paraId="5D23174B" w14:textId="3F706B0C" w:rsidR="00165583" w:rsidRPr="00154B9B" w:rsidRDefault="00165583" w:rsidP="00165583">
            <w:pPr>
              <w:widowControl w:val="0"/>
              <w:autoSpaceDE w:val="0"/>
              <w:autoSpaceDN w:val="0"/>
              <w:adjustRightInd w:val="0"/>
              <w:jc w:val="center"/>
              <w:rPr>
                <w:sz w:val="22"/>
                <w:szCs w:val="22"/>
              </w:rPr>
            </w:pPr>
          </w:p>
        </w:tc>
      </w:tr>
      <w:tr w:rsidR="00165583" w:rsidRPr="00AD55AA" w14:paraId="6E3CE8D5" w14:textId="77777777" w:rsidTr="00FB100C">
        <w:trPr>
          <w:jc w:val="center"/>
        </w:trPr>
        <w:tc>
          <w:tcPr>
            <w:tcW w:w="0" w:type="auto"/>
            <w:tcBorders>
              <w:top w:val="nil"/>
              <w:left w:val="nil"/>
              <w:bottom w:val="nil"/>
              <w:right w:val="nil"/>
            </w:tcBorders>
          </w:tcPr>
          <w:p w14:paraId="37AD45CE" w14:textId="68070EDD" w:rsidR="00165583" w:rsidRPr="00AD55AA" w:rsidRDefault="00165583" w:rsidP="00165583">
            <w:pPr>
              <w:widowControl w:val="0"/>
              <w:autoSpaceDE w:val="0"/>
              <w:autoSpaceDN w:val="0"/>
              <w:adjustRightInd w:val="0"/>
              <w:rPr>
                <w:sz w:val="22"/>
                <w:szCs w:val="22"/>
              </w:rPr>
            </w:pPr>
            <w:r w:rsidRPr="00AD55AA">
              <w:rPr>
                <w:sz w:val="22"/>
                <w:szCs w:val="22"/>
              </w:rPr>
              <w:t>CFIUS Block all deals</w:t>
            </w:r>
          </w:p>
        </w:tc>
        <w:tc>
          <w:tcPr>
            <w:tcW w:w="0" w:type="auto"/>
            <w:tcBorders>
              <w:top w:val="nil"/>
              <w:left w:val="nil"/>
              <w:bottom w:val="nil"/>
              <w:right w:val="nil"/>
            </w:tcBorders>
          </w:tcPr>
          <w:p w14:paraId="0D5BBD3E" w14:textId="4EA256AF" w:rsidR="00165583" w:rsidRPr="00FF7545"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137798FE" w14:textId="77777777" w:rsidR="00165583" w:rsidRPr="00543EE6"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E34F4DA" w14:textId="77777777" w:rsidR="00165583" w:rsidRPr="00E16608"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0A25253" w14:textId="75C842B5" w:rsidR="00165583" w:rsidRPr="00154B9B" w:rsidRDefault="00165583" w:rsidP="00165583">
            <w:pPr>
              <w:widowControl w:val="0"/>
              <w:autoSpaceDE w:val="0"/>
              <w:autoSpaceDN w:val="0"/>
              <w:adjustRightInd w:val="0"/>
              <w:jc w:val="center"/>
              <w:rPr>
                <w:sz w:val="22"/>
                <w:szCs w:val="22"/>
              </w:rPr>
            </w:pPr>
            <w:r w:rsidRPr="00CA03AC">
              <w:rPr>
                <w:sz w:val="22"/>
                <w:szCs w:val="22"/>
              </w:rPr>
              <w:t>-0.041*</w:t>
            </w:r>
          </w:p>
        </w:tc>
      </w:tr>
      <w:tr w:rsidR="00165583" w:rsidRPr="00AD55AA" w14:paraId="43C4F82E" w14:textId="77777777" w:rsidTr="00FB100C">
        <w:trPr>
          <w:jc w:val="center"/>
        </w:trPr>
        <w:tc>
          <w:tcPr>
            <w:tcW w:w="0" w:type="auto"/>
            <w:tcBorders>
              <w:top w:val="nil"/>
              <w:left w:val="nil"/>
              <w:bottom w:val="nil"/>
              <w:right w:val="nil"/>
            </w:tcBorders>
          </w:tcPr>
          <w:p w14:paraId="61054FB4"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23CF978A" w14:textId="44E45E4D" w:rsidR="00165583" w:rsidRPr="00FF7545"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DF5593B" w14:textId="77777777" w:rsidR="00165583" w:rsidRPr="00543EE6"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786D0CF0" w14:textId="77777777" w:rsidR="00165583" w:rsidRPr="00E16608"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A965198" w14:textId="7E829BAE" w:rsidR="00165583" w:rsidRPr="00154B9B" w:rsidRDefault="00165583" w:rsidP="00165583">
            <w:pPr>
              <w:widowControl w:val="0"/>
              <w:autoSpaceDE w:val="0"/>
              <w:autoSpaceDN w:val="0"/>
              <w:adjustRightInd w:val="0"/>
              <w:jc w:val="center"/>
              <w:rPr>
                <w:sz w:val="22"/>
                <w:szCs w:val="22"/>
              </w:rPr>
            </w:pPr>
            <w:r w:rsidRPr="00CA03AC">
              <w:rPr>
                <w:sz w:val="22"/>
                <w:szCs w:val="22"/>
              </w:rPr>
              <w:t>(-1.78)</w:t>
            </w:r>
          </w:p>
        </w:tc>
      </w:tr>
      <w:tr w:rsidR="00165583" w:rsidRPr="00AD55AA" w14:paraId="1DE79E9F" w14:textId="77777777" w:rsidTr="00FB100C">
        <w:trPr>
          <w:jc w:val="center"/>
        </w:trPr>
        <w:tc>
          <w:tcPr>
            <w:tcW w:w="0" w:type="auto"/>
            <w:tcBorders>
              <w:top w:val="nil"/>
              <w:left w:val="nil"/>
              <w:bottom w:val="nil"/>
              <w:right w:val="nil"/>
            </w:tcBorders>
          </w:tcPr>
          <w:p w14:paraId="3915B868" w14:textId="77777777" w:rsidR="00165583" w:rsidRPr="00AD55AA" w:rsidRDefault="00165583" w:rsidP="00165583">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0" w:type="auto"/>
            <w:tcBorders>
              <w:top w:val="nil"/>
              <w:left w:val="nil"/>
              <w:bottom w:val="nil"/>
              <w:right w:val="nil"/>
            </w:tcBorders>
          </w:tcPr>
          <w:p w14:paraId="11502D40" w14:textId="596C8188" w:rsidR="00165583" w:rsidRPr="00154B9B" w:rsidRDefault="00165583" w:rsidP="00165583">
            <w:pPr>
              <w:widowControl w:val="0"/>
              <w:autoSpaceDE w:val="0"/>
              <w:autoSpaceDN w:val="0"/>
              <w:adjustRightInd w:val="0"/>
              <w:jc w:val="center"/>
              <w:rPr>
                <w:sz w:val="22"/>
                <w:szCs w:val="22"/>
              </w:rPr>
            </w:pPr>
            <w:r w:rsidRPr="003F6FED">
              <w:rPr>
                <w:sz w:val="22"/>
                <w:szCs w:val="22"/>
              </w:rPr>
              <w:t>0.153***</w:t>
            </w:r>
          </w:p>
        </w:tc>
        <w:tc>
          <w:tcPr>
            <w:tcW w:w="0" w:type="auto"/>
            <w:tcBorders>
              <w:top w:val="nil"/>
              <w:left w:val="nil"/>
              <w:bottom w:val="nil"/>
              <w:right w:val="nil"/>
            </w:tcBorders>
          </w:tcPr>
          <w:p w14:paraId="4BE49DF5" w14:textId="1A0F56F1" w:rsidR="00165583" w:rsidRPr="00154B9B" w:rsidRDefault="00165583" w:rsidP="00165583">
            <w:pPr>
              <w:widowControl w:val="0"/>
              <w:autoSpaceDE w:val="0"/>
              <w:autoSpaceDN w:val="0"/>
              <w:adjustRightInd w:val="0"/>
              <w:jc w:val="center"/>
              <w:rPr>
                <w:sz w:val="22"/>
                <w:szCs w:val="22"/>
              </w:rPr>
            </w:pPr>
            <w:r w:rsidRPr="00272C6C">
              <w:rPr>
                <w:sz w:val="22"/>
                <w:szCs w:val="22"/>
              </w:rPr>
              <w:t>0.109***</w:t>
            </w:r>
          </w:p>
        </w:tc>
        <w:tc>
          <w:tcPr>
            <w:tcW w:w="0" w:type="auto"/>
            <w:tcBorders>
              <w:top w:val="nil"/>
              <w:left w:val="nil"/>
              <w:bottom w:val="nil"/>
              <w:right w:val="nil"/>
            </w:tcBorders>
          </w:tcPr>
          <w:p w14:paraId="1C8C9234" w14:textId="3106C863" w:rsidR="00165583" w:rsidRPr="00154B9B" w:rsidRDefault="00165583" w:rsidP="00165583">
            <w:pPr>
              <w:widowControl w:val="0"/>
              <w:autoSpaceDE w:val="0"/>
              <w:autoSpaceDN w:val="0"/>
              <w:adjustRightInd w:val="0"/>
              <w:jc w:val="center"/>
              <w:rPr>
                <w:sz w:val="22"/>
                <w:szCs w:val="22"/>
              </w:rPr>
            </w:pPr>
            <w:r w:rsidRPr="002942DA">
              <w:rPr>
                <w:sz w:val="22"/>
                <w:szCs w:val="22"/>
              </w:rPr>
              <w:t>0.140***</w:t>
            </w:r>
          </w:p>
        </w:tc>
        <w:tc>
          <w:tcPr>
            <w:tcW w:w="0" w:type="auto"/>
            <w:tcBorders>
              <w:top w:val="nil"/>
              <w:left w:val="nil"/>
              <w:bottom w:val="nil"/>
              <w:right w:val="nil"/>
            </w:tcBorders>
          </w:tcPr>
          <w:p w14:paraId="57D19255" w14:textId="27F392AC" w:rsidR="00165583" w:rsidRPr="00154B9B" w:rsidRDefault="00165583" w:rsidP="00165583">
            <w:pPr>
              <w:widowControl w:val="0"/>
              <w:autoSpaceDE w:val="0"/>
              <w:autoSpaceDN w:val="0"/>
              <w:adjustRightInd w:val="0"/>
              <w:jc w:val="center"/>
              <w:rPr>
                <w:sz w:val="22"/>
                <w:szCs w:val="22"/>
              </w:rPr>
            </w:pPr>
            <w:r w:rsidRPr="00CA03AC">
              <w:rPr>
                <w:sz w:val="22"/>
                <w:szCs w:val="22"/>
              </w:rPr>
              <w:t>0.160***</w:t>
            </w:r>
          </w:p>
        </w:tc>
      </w:tr>
      <w:tr w:rsidR="00165583" w:rsidRPr="00AD55AA" w14:paraId="735A35E3" w14:textId="77777777" w:rsidTr="00FB100C">
        <w:trPr>
          <w:jc w:val="center"/>
        </w:trPr>
        <w:tc>
          <w:tcPr>
            <w:tcW w:w="0" w:type="auto"/>
            <w:tcBorders>
              <w:top w:val="nil"/>
              <w:left w:val="nil"/>
              <w:bottom w:val="nil"/>
              <w:right w:val="nil"/>
            </w:tcBorders>
          </w:tcPr>
          <w:p w14:paraId="59BD0823"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43EE0067" w14:textId="32B21CF8" w:rsidR="00165583" w:rsidRPr="00154B9B" w:rsidRDefault="00165583" w:rsidP="00165583">
            <w:pPr>
              <w:widowControl w:val="0"/>
              <w:autoSpaceDE w:val="0"/>
              <w:autoSpaceDN w:val="0"/>
              <w:adjustRightInd w:val="0"/>
              <w:jc w:val="center"/>
              <w:rPr>
                <w:sz w:val="22"/>
                <w:szCs w:val="22"/>
              </w:rPr>
            </w:pPr>
            <w:r w:rsidRPr="003F6FED">
              <w:rPr>
                <w:sz w:val="22"/>
                <w:szCs w:val="22"/>
              </w:rPr>
              <w:t>(4.27)</w:t>
            </w:r>
          </w:p>
        </w:tc>
        <w:tc>
          <w:tcPr>
            <w:tcW w:w="0" w:type="auto"/>
            <w:tcBorders>
              <w:top w:val="nil"/>
              <w:left w:val="nil"/>
              <w:bottom w:val="nil"/>
              <w:right w:val="nil"/>
            </w:tcBorders>
          </w:tcPr>
          <w:p w14:paraId="1C925985" w14:textId="2F66598D" w:rsidR="00165583" w:rsidRPr="00154B9B" w:rsidRDefault="00165583" w:rsidP="00165583">
            <w:pPr>
              <w:widowControl w:val="0"/>
              <w:autoSpaceDE w:val="0"/>
              <w:autoSpaceDN w:val="0"/>
              <w:adjustRightInd w:val="0"/>
              <w:jc w:val="center"/>
              <w:rPr>
                <w:sz w:val="22"/>
                <w:szCs w:val="22"/>
              </w:rPr>
            </w:pPr>
            <w:r w:rsidRPr="00272C6C">
              <w:rPr>
                <w:sz w:val="22"/>
                <w:szCs w:val="22"/>
              </w:rPr>
              <w:t>(3.91)</w:t>
            </w:r>
          </w:p>
        </w:tc>
        <w:tc>
          <w:tcPr>
            <w:tcW w:w="0" w:type="auto"/>
            <w:tcBorders>
              <w:top w:val="nil"/>
              <w:left w:val="nil"/>
              <w:bottom w:val="nil"/>
              <w:right w:val="nil"/>
            </w:tcBorders>
          </w:tcPr>
          <w:p w14:paraId="3580FE96" w14:textId="465220FA" w:rsidR="00165583" w:rsidRPr="00154B9B" w:rsidRDefault="00165583" w:rsidP="00165583">
            <w:pPr>
              <w:widowControl w:val="0"/>
              <w:autoSpaceDE w:val="0"/>
              <w:autoSpaceDN w:val="0"/>
              <w:adjustRightInd w:val="0"/>
              <w:jc w:val="center"/>
              <w:rPr>
                <w:sz w:val="22"/>
                <w:szCs w:val="22"/>
              </w:rPr>
            </w:pPr>
            <w:r w:rsidRPr="002942DA">
              <w:rPr>
                <w:sz w:val="22"/>
                <w:szCs w:val="22"/>
              </w:rPr>
              <w:t>(3.54)</w:t>
            </w:r>
          </w:p>
        </w:tc>
        <w:tc>
          <w:tcPr>
            <w:tcW w:w="0" w:type="auto"/>
            <w:tcBorders>
              <w:top w:val="nil"/>
              <w:left w:val="nil"/>
              <w:bottom w:val="nil"/>
              <w:right w:val="nil"/>
            </w:tcBorders>
          </w:tcPr>
          <w:p w14:paraId="30B38DF8" w14:textId="5042A258" w:rsidR="00165583" w:rsidRPr="00154B9B" w:rsidRDefault="00165583" w:rsidP="00165583">
            <w:pPr>
              <w:widowControl w:val="0"/>
              <w:autoSpaceDE w:val="0"/>
              <w:autoSpaceDN w:val="0"/>
              <w:adjustRightInd w:val="0"/>
              <w:jc w:val="center"/>
              <w:rPr>
                <w:sz w:val="22"/>
                <w:szCs w:val="22"/>
              </w:rPr>
            </w:pPr>
            <w:r w:rsidRPr="00CA03AC">
              <w:rPr>
                <w:sz w:val="22"/>
                <w:szCs w:val="22"/>
              </w:rPr>
              <w:t>(4.63)</w:t>
            </w:r>
          </w:p>
        </w:tc>
      </w:tr>
      <w:tr w:rsidR="00165583" w:rsidRPr="00AD55AA" w14:paraId="2BB19D11" w14:textId="77777777" w:rsidTr="00FB100C">
        <w:trPr>
          <w:jc w:val="center"/>
        </w:trPr>
        <w:tc>
          <w:tcPr>
            <w:tcW w:w="0" w:type="auto"/>
            <w:tcBorders>
              <w:top w:val="nil"/>
              <w:left w:val="nil"/>
              <w:bottom w:val="nil"/>
              <w:right w:val="nil"/>
            </w:tcBorders>
          </w:tcPr>
          <w:p w14:paraId="66D23AA7" w14:textId="77777777" w:rsidR="00165583" w:rsidRPr="00AD55AA" w:rsidRDefault="00165583" w:rsidP="00165583">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0" w:type="auto"/>
            <w:tcBorders>
              <w:top w:val="nil"/>
              <w:left w:val="nil"/>
              <w:bottom w:val="nil"/>
              <w:right w:val="nil"/>
            </w:tcBorders>
          </w:tcPr>
          <w:p w14:paraId="2A20F5CE" w14:textId="760E1268" w:rsidR="00165583" w:rsidRPr="00154B9B" w:rsidRDefault="00165583" w:rsidP="00165583">
            <w:pPr>
              <w:widowControl w:val="0"/>
              <w:autoSpaceDE w:val="0"/>
              <w:autoSpaceDN w:val="0"/>
              <w:adjustRightInd w:val="0"/>
              <w:jc w:val="center"/>
              <w:rPr>
                <w:sz w:val="22"/>
                <w:szCs w:val="22"/>
              </w:rPr>
            </w:pPr>
            <w:r w:rsidRPr="003F6FED">
              <w:rPr>
                <w:sz w:val="22"/>
                <w:szCs w:val="22"/>
              </w:rPr>
              <w:t>-0.058***</w:t>
            </w:r>
          </w:p>
        </w:tc>
        <w:tc>
          <w:tcPr>
            <w:tcW w:w="0" w:type="auto"/>
            <w:tcBorders>
              <w:top w:val="nil"/>
              <w:left w:val="nil"/>
              <w:bottom w:val="nil"/>
              <w:right w:val="nil"/>
            </w:tcBorders>
          </w:tcPr>
          <w:p w14:paraId="4D82B135" w14:textId="2BE053D8" w:rsidR="00165583" w:rsidRPr="00154B9B" w:rsidRDefault="00165583" w:rsidP="00165583">
            <w:pPr>
              <w:widowControl w:val="0"/>
              <w:autoSpaceDE w:val="0"/>
              <w:autoSpaceDN w:val="0"/>
              <w:adjustRightInd w:val="0"/>
              <w:jc w:val="center"/>
              <w:rPr>
                <w:sz w:val="22"/>
                <w:szCs w:val="22"/>
              </w:rPr>
            </w:pPr>
            <w:r w:rsidRPr="00272C6C">
              <w:rPr>
                <w:sz w:val="22"/>
                <w:szCs w:val="22"/>
              </w:rPr>
              <w:t>-0.061***</w:t>
            </w:r>
          </w:p>
        </w:tc>
        <w:tc>
          <w:tcPr>
            <w:tcW w:w="0" w:type="auto"/>
            <w:tcBorders>
              <w:top w:val="nil"/>
              <w:left w:val="nil"/>
              <w:bottom w:val="nil"/>
              <w:right w:val="nil"/>
            </w:tcBorders>
          </w:tcPr>
          <w:p w14:paraId="29D52223" w14:textId="2B5FE0F7" w:rsidR="00165583" w:rsidRPr="00154B9B" w:rsidRDefault="00165583" w:rsidP="00165583">
            <w:pPr>
              <w:widowControl w:val="0"/>
              <w:autoSpaceDE w:val="0"/>
              <w:autoSpaceDN w:val="0"/>
              <w:adjustRightInd w:val="0"/>
              <w:jc w:val="center"/>
              <w:rPr>
                <w:sz w:val="22"/>
                <w:szCs w:val="22"/>
              </w:rPr>
            </w:pPr>
            <w:r w:rsidRPr="002942DA">
              <w:rPr>
                <w:sz w:val="22"/>
                <w:szCs w:val="22"/>
              </w:rPr>
              <w:t>-0.069***</w:t>
            </w:r>
          </w:p>
        </w:tc>
        <w:tc>
          <w:tcPr>
            <w:tcW w:w="0" w:type="auto"/>
            <w:tcBorders>
              <w:top w:val="nil"/>
              <w:left w:val="nil"/>
              <w:bottom w:val="nil"/>
              <w:right w:val="nil"/>
            </w:tcBorders>
          </w:tcPr>
          <w:p w14:paraId="708B510F" w14:textId="66D6775E" w:rsidR="00165583" w:rsidRPr="00154B9B" w:rsidRDefault="00165583" w:rsidP="00165583">
            <w:pPr>
              <w:widowControl w:val="0"/>
              <w:autoSpaceDE w:val="0"/>
              <w:autoSpaceDN w:val="0"/>
              <w:adjustRightInd w:val="0"/>
              <w:jc w:val="center"/>
              <w:rPr>
                <w:sz w:val="22"/>
                <w:szCs w:val="22"/>
              </w:rPr>
            </w:pPr>
            <w:r w:rsidRPr="00CA03AC">
              <w:rPr>
                <w:sz w:val="22"/>
                <w:szCs w:val="22"/>
              </w:rPr>
              <w:t>-0.065***</w:t>
            </w:r>
          </w:p>
        </w:tc>
      </w:tr>
      <w:tr w:rsidR="00165583" w:rsidRPr="00AD55AA" w14:paraId="5AC1B768" w14:textId="77777777" w:rsidTr="00FB100C">
        <w:trPr>
          <w:jc w:val="center"/>
        </w:trPr>
        <w:tc>
          <w:tcPr>
            <w:tcW w:w="0" w:type="auto"/>
            <w:tcBorders>
              <w:top w:val="nil"/>
              <w:left w:val="nil"/>
              <w:bottom w:val="nil"/>
              <w:right w:val="nil"/>
            </w:tcBorders>
          </w:tcPr>
          <w:p w14:paraId="57E36F50"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4B323D9B" w14:textId="14E52874" w:rsidR="00165583" w:rsidRPr="00154B9B" w:rsidRDefault="00165583" w:rsidP="00165583">
            <w:pPr>
              <w:widowControl w:val="0"/>
              <w:autoSpaceDE w:val="0"/>
              <w:autoSpaceDN w:val="0"/>
              <w:adjustRightInd w:val="0"/>
              <w:jc w:val="center"/>
              <w:rPr>
                <w:sz w:val="22"/>
                <w:szCs w:val="22"/>
              </w:rPr>
            </w:pPr>
            <w:r w:rsidRPr="003F6FED">
              <w:rPr>
                <w:sz w:val="22"/>
                <w:szCs w:val="22"/>
              </w:rPr>
              <w:t>(-3.94)</w:t>
            </w:r>
          </w:p>
        </w:tc>
        <w:tc>
          <w:tcPr>
            <w:tcW w:w="0" w:type="auto"/>
            <w:tcBorders>
              <w:top w:val="nil"/>
              <w:left w:val="nil"/>
              <w:bottom w:val="nil"/>
              <w:right w:val="nil"/>
            </w:tcBorders>
          </w:tcPr>
          <w:p w14:paraId="61725293" w14:textId="2D49D65D" w:rsidR="00165583" w:rsidRPr="00154B9B" w:rsidRDefault="00165583" w:rsidP="00165583">
            <w:pPr>
              <w:widowControl w:val="0"/>
              <w:autoSpaceDE w:val="0"/>
              <w:autoSpaceDN w:val="0"/>
              <w:adjustRightInd w:val="0"/>
              <w:jc w:val="center"/>
              <w:rPr>
                <w:sz w:val="22"/>
                <w:szCs w:val="22"/>
              </w:rPr>
            </w:pPr>
            <w:r w:rsidRPr="00272C6C">
              <w:rPr>
                <w:sz w:val="22"/>
                <w:szCs w:val="22"/>
              </w:rPr>
              <w:t>(-4.10)</w:t>
            </w:r>
          </w:p>
        </w:tc>
        <w:tc>
          <w:tcPr>
            <w:tcW w:w="0" w:type="auto"/>
            <w:tcBorders>
              <w:top w:val="nil"/>
              <w:left w:val="nil"/>
              <w:bottom w:val="nil"/>
              <w:right w:val="nil"/>
            </w:tcBorders>
          </w:tcPr>
          <w:p w14:paraId="79D6C77C" w14:textId="58F7243F" w:rsidR="00165583" w:rsidRPr="00154B9B" w:rsidRDefault="00165583" w:rsidP="00165583">
            <w:pPr>
              <w:widowControl w:val="0"/>
              <w:autoSpaceDE w:val="0"/>
              <w:autoSpaceDN w:val="0"/>
              <w:adjustRightInd w:val="0"/>
              <w:jc w:val="center"/>
              <w:rPr>
                <w:sz w:val="22"/>
                <w:szCs w:val="22"/>
              </w:rPr>
            </w:pPr>
            <w:r w:rsidRPr="002942DA">
              <w:rPr>
                <w:sz w:val="22"/>
                <w:szCs w:val="22"/>
              </w:rPr>
              <w:t>(-5.21)</w:t>
            </w:r>
          </w:p>
        </w:tc>
        <w:tc>
          <w:tcPr>
            <w:tcW w:w="0" w:type="auto"/>
            <w:tcBorders>
              <w:top w:val="nil"/>
              <w:left w:val="nil"/>
              <w:bottom w:val="nil"/>
              <w:right w:val="nil"/>
            </w:tcBorders>
          </w:tcPr>
          <w:p w14:paraId="3FAFEA71" w14:textId="5268E9EC" w:rsidR="00165583" w:rsidRPr="00154B9B" w:rsidRDefault="00165583" w:rsidP="00165583">
            <w:pPr>
              <w:widowControl w:val="0"/>
              <w:autoSpaceDE w:val="0"/>
              <w:autoSpaceDN w:val="0"/>
              <w:adjustRightInd w:val="0"/>
              <w:jc w:val="center"/>
              <w:rPr>
                <w:sz w:val="22"/>
                <w:szCs w:val="22"/>
              </w:rPr>
            </w:pPr>
            <w:r w:rsidRPr="00CA03AC">
              <w:rPr>
                <w:sz w:val="22"/>
                <w:szCs w:val="22"/>
              </w:rPr>
              <w:t>(-5.34)</w:t>
            </w:r>
          </w:p>
        </w:tc>
      </w:tr>
      <w:tr w:rsidR="00165583" w:rsidRPr="00AD55AA" w14:paraId="14F9F05B" w14:textId="77777777" w:rsidTr="00FB100C">
        <w:trPr>
          <w:jc w:val="center"/>
        </w:trPr>
        <w:tc>
          <w:tcPr>
            <w:tcW w:w="0" w:type="auto"/>
            <w:tcBorders>
              <w:top w:val="nil"/>
              <w:left w:val="nil"/>
              <w:bottom w:val="nil"/>
              <w:right w:val="nil"/>
            </w:tcBorders>
          </w:tcPr>
          <w:p w14:paraId="54A60020" w14:textId="77777777" w:rsidR="00165583" w:rsidRPr="00AD55AA" w:rsidRDefault="00165583" w:rsidP="00165583">
            <w:pPr>
              <w:widowControl w:val="0"/>
              <w:autoSpaceDE w:val="0"/>
              <w:autoSpaceDN w:val="0"/>
              <w:adjustRightInd w:val="0"/>
              <w:rPr>
                <w:sz w:val="22"/>
                <w:szCs w:val="22"/>
              </w:rPr>
            </w:pPr>
            <w:r w:rsidRPr="00AD55AA">
              <w:rPr>
                <w:sz w:val="22"/>
                <w:szCs w:val="22"/>
              </w:rPr>
              <w:t>Size</w:t>
            </w:r>
            <w:r>
              <w:rPr>
                <w:sz w:val="22"/>
                <w:szCs w:val="22"/>
              </w:rPr>
              <w:t xml:space="preserve"> </w:t>
            </w:r>
          </w:p>
        </w:tc>
        <w:tc>
          <w:tcPr>
            <w:tcW w:w="0" w:type="auto"/>
            <w:tcBorders>
              <w:top w:val="nil"/>
              <w:left w:val="nil"/>
              <w:bottom w:val="nil"/>
              <w:right w:val="nil"/>
            </w:tcBorders>
          </w:tcPr>
          <w:p w14:paraId="7F5FA250" w14:textId="364DA99B" w:rsidR="00165583" w:rsidRPr="00154B9B" w:rsidRDefault="00165583" w:rsidP="00165583">
            <w:pPr>
              <w:widowControl w:val="0"/>
              <w:autoSpaceDE w:val="0"/>
              <w:autoSpaceDN w:val="0"/>
              <w:adjustRightInd w:val="0"/>
              <w:jc w:val="center"/>
              <w:rPr>
                <w:sz w:val="22"/>
                <w:szCs w:val="22"/>
              </w:rPr>
            </w:pPr>
            <w:r w:rsidRPr="003F6FED">
              <w:rPr>
                <w:sz w:val="22"/>
                <w:szCs w:val="22"/>
              </w:rPr>
              <w:t>-0.121***</w:t>
            </w:r>
          </w:p>
        </w:tc>
        <w:tc>
          <w:tcPr>
            <w:tcW w:w="0" w:type="auto"/>
            <w:tcBorders>
              <w:top w:val="nil"/>
              <w:left w:val="nil"/>
              <w:bottom w:val="nil"/>
              <w:right w:val="nil"/>
            </w:tcBorders>
          </w:tcPr>
          <w:p w14:paraId="12E2DD56" w14:textId="2A5C2EE9" w:rsidR="00165583" w:rsidRPr="00154B9B" w:rsidRDefault="00165583" w:rsidP="00165583">
            <w:pPr>
              <w:widowControl w:val="0"/>
              <w:autoSpaceDE w:val="0"/>
              <w:autoSpaceDN w:val="0"/>
              <w:adjustRightInd w:val="0"/>
              <w:jc w:val="center"/>
              <w:rPr>
                <w:sz w:val="22"/>
                <w:szCs w:val="22"/>
              </w:rPr>
            </w:pPr>
            <w:r w:rsidRPr="00272C6C">
              <w:rPr>
                <w:sz w:val="22"/>
                <w:szCs w:val="22"/>
              </w:rPr>
              <w:t>-0.131***</w:t>
            </w:r>
          </w:p>
        </w:tc>
        <w:tc>
          <w:tcPr>
            <w:tcW w:w="0" w:type="auto"/>
            <w:tcBorders>
              <w:top w:val="nil"/>
              <w:left w:val="nil"/>
              <w:bottom w:val="nil"/>
              <w:right w:val="nil"/>
            </w:tcBorders>
          </w:tcPr>
          <w:p w14:paraId="2451F2E7" w14:textId="6D4FD211" w:rsidR="00165583" w:rsidRPr="00154B9B" w:rsidRDefault="00165583" w:rsidP="00165583">
            <w:pPr>
              <w:widowControl w:val="0"/>
              <w:autoSpaceDE w:val="0"/>
              <w:autoSpaceDN w:val="0"/>
              <w:adjustRightInd w:val="0"/>
              <w:jc w:val="center"/>
              <w:rPr>
                <w:sz w:val="22"/>
                <w:szCs w:val="22"/>
              </w:rPr>
            </w:pPr>
            <w:r w:rsidRPr="002942DA">
              <w:rPr>
                <w:sz w:val="22"/>
                <w:szCs w:val="22"/>
              </w:rPr>
              <w:t>-0.151***</w:t>
            </w:r>
          </w:p>
        </w:tc>
        <w:tc>
          <w:tcPr>
            <w:tcW w:w="0" w:type="auto"/>
            <w:tcBorders>
              <w:top w:val="nil"/>
              <w:left w:val="nil"/>
              <w:bottom w:val="nil"/>
              <w:right w:val="nil"/>
            </w:tcBorders>
          </w:tcPr>
          <w:p w14:paraId="76E04668" w14:textId="2700595D" w:rsidR="00165583" w:rsidRPr="00154B9B" w:rsidRDefault="00165583" w:rsidP="00165583">
            <w:pPr>
              <w:widowControl w:val="0"/>
              <w:autoSpaceDE w:val="0"/>
              <w:autoSpaceDN w:val="0"/>
              <w:adjustRightInd w:val="0"/>
              <w:jc w:val="center"/>
              <w:rPr>
                <w:sz w:val="22"/>
                <w:szCs w:val="22"/>
              </w:rPr>
            </w:pPr>
            <w:r w:rsidRPr="00CA03AC">
              <w:rPr>
                <w:sz w:val="22"/>
                <w:szCs w:val="22"/>
              </w:rPr>
              <w:t>-0.130***</w:t>
            </w:r>
          </w:p>
        </w:tc>
      </w:tr>
      <w:tr w:rsidR="00165583" w:rsidRPr="00AD55AA" w14:paraId="7CD6302E" w14:textId="77777777" w:rsidTr="00FB100C">
        <w:trPr>
          <w:jc w:val="center"/>
        </w:trPr>
        <w:tc>
          <w:tcPr>
            <w:tcW w:w="0" w:type="auto"/>
            <w:tcBorders>
              <w:top w:val="nil"/>
              <w:left w:val="nil"/>
              <w:bottom w:val="nil"/>
              <w:right w:val="nil"/>
            </w:tcBorders>
          </w:tcPr>
          <w:p w14:paraId="53868E2D"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6C093A3F" w14:textId="5C707360" w:rsidR="00165583" w:rsidRPr="00154B9B" w:rsidRDefault="00165583" w:rsidP="00165583">
            <w:pPr>
              <w:widowControl w:val="0"/>
              <w:autoSpaceDE w:val="0"/>
              <w:autoSpaceDN w:val="0"/>
              <w:adjustRightInd w:val="0"/>
              <w:jc w:val="center"/>
              <w:rPr>
                <w:sz w:val="22"/>
                <w:szCs w:val="22"/>
              </w:rPr>
            </w:pPr>
            <w:r w:rsidRPr="003F6FED">
              <w:rPr>
                <w:sz w:val="22"/>
                <w:szCs w:val="22"/>
              </w:rPr>
              <w:t>(-6.28)</w:t>
            </w:r>
          </w:p>
        </w:tc>
        <w:tc>
          <w:tcPr>
            <w:tcW w:w="0" w:type="auto"/>
            <w:tcBorders>
              <w:top w:val="nil"/>
              <w:left w:val="nil"/>
              <w:bottom w:val="nil"/>
              <w:right w:val="nil"/>
            </w:tcBorders>
          </w:tcPr>
          <w:p w14:paraId="390C844A" w14:textId="31A8FE18" w:rsidR="00165583" w:rsidRPr="00154B9B" w:rsidRDefault="00165583" w:rsidP="00165583">
            <w:pPr>
              <w:widowControl w:val="0"/>
              <w:autoSpaceDE w:val="0"/>
              <w:autoSpaceDN w:val="0"/>
              <w:adjustRightInd w:val="0"/>
              <w:jc w:val="center"/>
              <w:rPr>
                <w:sz w:val="22"/>
                <w:szCs w:val="22"/>
              </w:rPr>
            </w:pPr>
            <w:r w:rsidRPr="00272C6C">
              <w:rPr>
                <w:sz w:val="22"/>
                <w:szCs w:val="22"/>
              </w:rPr>
              <w:t>(-7.82)</w:t>
            </w:r>
          </w:p>
        </w:tc>
        <w:tc>
          <w:tcPr>
            <w:tcW w:w="0" w:type="auto"/>
            <w:tcBorders>
              <w:top w:val="nil"/>
              <w:left w:val="nil"/>
              <w:bottom w:val="nil"/>
              <w:right w:val="nil"/>
            </w:tcBorders>
          </w:tcPr>
          <w:p w14:paraId="303BD909" w14:textId="2C78ED6C" w:rsidR="00165583" w:rsidRPr="00154B9B" w:rsidRDefault="00165583" w:rsidP="00165583">
            <w:pPr>
              <w:widowControl w:val="0"/>
              <w:autoSpaceDE w:val="0"/>
              <w:autoSpaceDN w:val="0"/>
              <w:adjustRightInd w:val="0"/>
              <w:jc w:val="center"/>
              <w:rPr>
                <w:sz w:val="22"/>
                <w:szCs w:val="22"/>
              </w:rPr>
            </w:pPr>
            <w:r w:rsidRPr="002942DA">
              <w:rPr>
                <w:sz w:val="22"/>
                <w:szCs w:val="22"/>
              </w:rPr>
              <w:t>(-5.64)</w:t>
            </w:r>
          </w:p>
        </w:tc>
        <w:tc>
          <w:tcPr>
            <w:tcW w:w="0" w:type="auto"/>
            <w:tcBorders>
              <w:top w:val="nil"/>
              <w:left w:val="nil"/>
              <w:bottom w:val="nil"/>
              <w:right w:val="nil"/>
            </w:tcBorders>
          </w:tcPr>
          <w:p w14:paraId="0301F30F" w14:textId="33D94702" w:rsidR="00165583" w:rsidRPr="00154B9B" w:rsidRDefault="00165583" w:rsidP="00165583">
            <w:pPr>
              <w:widowControl w:val="0"/>
              <w:autoSpaceDE w:val="0"/>
              <w:autoSpaceDN w:val="0"/>
              <w:adjustRightInd w:val="0"/>
              <w:jc w:val="center"/>
              <w:rPr>
                <w:sz w:val="22"/>
                <w:szCs w:val="22"/>
              </w:rPr>
            </w:pPr>
            <w:r w:rsidRPr="00CA03AC">
              <w:rPr>
                <w:sz w:val="22"/>
                <w:szCs w:val="22"/>
              </w:rPr>
              <w:t>(-9.77)</w:t>
            </w:r>
          </w:p>
        </w:tc>
      </w:tr>
      <w:tr w:rsidR="00165583" w:rsidRPr="00AD55AA" w14:paraId="58E9C9F6" w14:textId="77777777" w:rsidTr="00FB100C">
        <w:trPr>
          <w:jc w:val="center"/>
        </w:trPr>
        <w:tc>
          <w:tcPr>
            <w:tcW w:w="0" w:type="auto"/>
            <w:tcBorders>
              <w:top w:val="nil"/>
              <w:left w:val="nil"/>
              <w:bottom w:val="nil"/>
              <w:right w:val="nil"/>
            </w:tcBorders>
          </w:tcPr>
          <w:p w14:paraId="40035B96" w14:textId="77777777" w:rsidR="00165583" w:rsidRPr="00AD55AA" w:rsidRDefault="00165583" w:rsidP="00165583">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0" w:type="auto"/>
            <w:tcBorders>
              <w:top w:val="nil"/>
              <w:left w:val="nil"/>
              <w:bottom w:val="nil"/>
              <w:right w:val="nil"/>
            </w:tcBorders>
          </w:tcPr>
          <w:p w14:paraId="5BDD523F" w14:textId="6107226F" w:rsidR="00165583" w:rsidRPr="00154B9B" w:rsidRDefault="00165583" w:rsidP="00165583">
            <w:pPr>
              <w:widowControl w:val="0"/>
              <w:autoSpaceDE w:val="0"/>
              <w:autoSpaceDN w:val="0"/>
              <w:adjustRightInd w:val="0"/>
              <w:jc w:val="center"/>
              <w:rPr>
                <w:sz w:val="22"/>
                <w:szCs w:val="22"/>
              </w:rPr>
            </w:pPr>
            <w:r w:rsidRPr="003F6FED">
              <w:rPr>
                <w:sz w:val="22"/>
                <w:szCs w:val="22"/>
              </w:rPr>
              <w:t>0.006***</w:t>
            </w:r>
          </w:p>
        </w:tc>
        <w:tc>
          <w:tcPr>
            <w:tcW w:w="0" w:type="auto"/>
            <w:tcBorders>
              <w:top w:val="nil"/>
              <w:left w:val="nil"/>
              <w:bottom w:val="nil"/>
              <w:right w:val="nil"/>
            </w:tcBorders>
          </w:tcPr>
          <w:p w14:paraId="54A92309" w14:textId="246DF56D" w:rsidR="00165583" w:rsidRPr="00154B9B" w:rsidRDefault="00165583" w:rsidP="00165583">
            <w:pPr>
              <w:widowControl w:val="0"/>
              <w:autoSpaceDE w:val="0"/>
              <w:autoSpaceDN w:val="0"/>
              <w:adjustRightInd w:val="0"/>
              <w:jc w:val="center"/>
              <w:rPr>
                <w:sz w:val="22"/>
                <w:szCs w:val="22"/>
              </w:rPr>
            </w:pPr>
            <w:r w:rsidRPr="00272C6C">
              <w:rPr>
                <w:sz w:val="22"/>
                <w:szCs w:val="22"/>
              </w:rPr>
              <w:t>0.006***</w:t>
            </w:r>
          </w:p>
        </w:tc>
        <w:tc>
          <w:tcPr>
            <w:tcW w:w="0" w:type="auto"/>
            <w:tcBorders>
              <w:top w:val="nil"/>
              <w:left w:val="nil"/>
              <w:bottom w:val="nil"/>
              <w:right w:val="nil"/>
            </w:tcBorders>
          </w:tcPr>
          <w:p w14:paraId="77B1FC8A" w14:textId="43EF1D59" w:rsidR="00165583" w:rsidRPr="00154B9B" w:rsidRDefault="00165583" w:rsidP="00165583">
            <w:pPr>
              <w:widowControl w:val="0"/>
              <w:autoSpaceDE w:val="0"/>
              <w:autoSpaceDN w:val="0"/>
              <w:adjustRightInd w:val="0"/>
              <w:jc w:val="center"/>
              <w:rPr>
                <w:sz w:val="22"/>
                <w:szCs w:val="22"/>
              </w:rPr>
            </w:pPr>
            <w:r w:rsidRPr="002942DA">
              <w:rPr>
                <w:sz w:val="22"/>
                <w:szCs w:val="22"/>
              </w:rPr>
              <w:t>0.009***</w:t>
            </w:r>
          </w:p>
        </w:tc>
        <w:tc>
          <w:tcPr>
            <w:tcW w:w="0" w:type="auto"/>
            <w:tcBorders>
              <w:top w:val="nil"/>
              <w:left w:val="nil"/>
              <w:bottom w:val="nil"/>
              <w:right w:val="nil"/>
            </w:tcBorders>
          </w:tcPr>
          <w:p w14:paraId="02322609" w14:textId="784C7378" w:rsidR="00165583" w:rsidRPr="00154B9B" w:rsidRDefault="00165583" w:rsidP="00165583">
            <w:pPr>
              <w:widowControl w:val="0"/>
              <w:autoSpaceDE w:val="0"/>
              <w:autoSpaceDN w:val="0"/>
              <w:adjustRightInd w:val="0"/>
              <w:jc w:val="center"/>
              <w:rPr>
                <w:sz w:val="22"/>
                <w:szCs w:val="22"/>
              </w:rPr>
            </w:pPr>
            <w:r w:rsidRPr="00CA03AC">
              <w:rPr>
                <w:sz w:val="22"/>
                <w:szCs w:val="22"/>
              </w:rPr>
              <w:t>0.007***</w:t>
            </w:r>
          </w:p>
        </w:tc>
      </w:tr>
      <w:tr w:rsidR="00165583" w:rsidRPr="00AD55AA" w14:paraId="7659B894" w14:textId="77777777" w:rsidTr="00FB100C">
        <w:trPr>
          <w:jc w:val="center"/>
        </w:trPr>
        <w:tc>
          <w:tcPr>
            <w:tcW w:w="0" w:type="auto"/>
            <w:tcBorders>
              <w:top w:val="nil"/>
              <w:left w:val="nil"/>
              <w:bottom w:val="nil"/>
              <w:right w:val="nil"/>
            </w:tcBorders>
          </w:tcPr>
          <w:p w14:paraId="1BF5C008"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3DD4BF55" w14:textId="69C0E020" w:rsidR="00165583" w:rsidRPr="00154B9B" w:rsidRDefault="00165583" w:rsidP="00165583">
            <w:pPr>
              <w:widowControl w:val="0"/>
              <w:autoSpaceDE w:val="0"/>
              <w:autoSpaceDN w:val="0"/>
              <w:adjustRightInd w:val="0"/>
              <w:jc w:val="center"/>
              <w:rPr>
                <w:sz w:val="22"/>
                <w:szCs w:val="22"/>
              </w:rPr>
            </w:pPr>
            <w:r w:rsidRPr="003F6FED">
              <w:rPr>
                <w:sz w:val="22"/>
                <w:szCs w:val="22"/>
              </w:rPr>
              <w:t>(4.40)</w:t>
            </w:r>
          </w:p>
        </w:tc>
        <w:tc>
          <w:tcPr>
            <w:tcW w:w="0" w:type="auto"/>
            <w:tcBorders>
              <w:top w:val="nil"/>
              <w:left w:val="nil"/>
              <w:bottom w:val="nil"/>
              <w:right w:val="nil"/>
            </w:tcBorders>
          </w:tcPr>
          <w:p w14:paraId="25BD0436" w14:textId="5816E1D7" w:rsidR="00165583" w:rsidRPr="00154B9B" w:rsidRDefault="00165583" w:rsidP="00165583">
            <w:pPr>
              <w:widowControl w:val="0"/>
              <w:autoSpaceDE w:val="0"/>
              <w:autoSpaceDN w:val="0"/>
              <w:adjustRightInd w:val="0"/>
              <w:jc w:val="center"/>
              <w:rPr>
                <w:sz w:val="22"/>
                <w:szCs w:val="22"/>
              </w:rPr>
            </w:pPr>
            <w:r w:rsidRPr="00272C6C">
              <w:rPr>
                <w:sz w:val="22"/>
                <w:szCs w:val="22"/>
              </w:rPr>
              <w:t>(4.56)</w:t>
            </w:r>
          </w:p>
        </w:tc>
        <w:tc>
          <w:tcPr>
            <w:tcW w:w="0" w:type="auto"/>
            <w:tcBorders>
              <w:top w:val="nil"/>
              <w:left w:val="nil"/>
              <w:bottom w:val="nil"/>
              <w:right w:val="nil"/>
            </w:tcBorders>
          </w:tcPr>
          <w:p w14:paraId="5F574769" w14:textId="59B534F5" w:rsidR="00165583" w:rsidRPr="00154B9B" w:rsidRDefault="00165583" w:rsidP="00165583">
            <w:pPr>
              <w:widowControl w:val="0"/>
              <w:autoSpaceDE w:val="0"/>
              <w:autoSpaceDN w:val="0"/>
              <w:adjustRightInd w:val="0"/>
              <w:jc w:val="center"/>
              <w:rPr>
                <w:sz w:val="22"/>
                <w:szCs w:val="22"/>
              </w:rPr>
            </w:pPr>
            <w:r w:rsidRPr="002942DA">
              <w:rPr>
                <w:sz w:val="22"/>
                <w:szCs w:val="22"/>
              </w:rPr>
              <w:t>(4.11)</w:t>
            </w:r>
          </w:p>
        </w:tc>
        <w:tc>
          <w:tcPr>
            <w:tcW w:w="0" w:type="auto"/>
            <w:tcBorders>
              <w:top w:val="nil"/>
              <w:left w:val="nil"/>
              <w:bottom w:val="nil"/>
              <w:right w:val="nil"/>
            </w:tcBorders>
          </w:tcPr>
          <w:p w14:paraId="325B5F09" w14:textId="3ECFF28C" w:rsidR="00165583" w:rsidRPr="00154B9B" w:rsidRDefault="00165583" w:rsidP="00165583">
            <w:pPr>
              <w:widowControl w:val="0"/>
              <w:autoSpaceDE w:val="0"/>
              <w:autoSpaceDN w:val="0"/>
              <w:adjustRightInd w:val="0"/>
              <w:jc w:val="center"/>
              <w:rPr>
                <w:sz w:val="22"/>
                <w:szCs w:val="22"/>
              </w:rPr>
            </w:pPr>
            <w:r w:rsidRPr="00CA03AC">
              <w:rPr>
                <w:sz w:val="22"/>
                <w:szCs w:val="22"/>
              </w:rPr>
              <w:t>(6.31)</w:t>
            </w:r>
          </w:p>
        </w:tc>
      </w:tr>
      <w:tr w:rsidR="00165583" w:rsidRPr="00AD55AA" w14:paraId="72B27DA5" w14:textId="77777777" w:rsidTr="00FB100C">
        <w:trPr>
          <w:jc w:val="center"/>
        </w:trPr>
        <w:tc>
          <w:tcPr>
            <w:tcW w:w="0" w:type="auto"/>
            <w:tcBorders>
              <w:top w:val="nil"/>
              <w:left w:val="nil"/>
              <w:bottom w:val="nil"/>
              <w:right w:val="nil"/>
            </w:tcBorders>
          </w:tcPr>
          <w:p w14:paraId="6B0AFD93" w14:textId="77777777" w:rsidR="00165583" w:rsidRPr="00AD55AA" w:rsidRDefault="00165583" w:rsidP="00165583">
            <w:pPr>
              <w:widowControl w:val="0"/>
              <w:autoSpaceDE w:val="0"/>
              <w:autoSpaceDN w:val="0"/>
              <w:adjustRightInd w:val="0"/>
              <w:rPr>
                <w:sz w:val="22"/>
                <w:szCs w:val="22"/>
              </w:rPr>
            </w:pPr>
            <w:r w:rsidRPr="00AD55AA">
              <w:rPr>
                <w:sz w:val="22"/>
                <w:szCs w:val="22"/>
              </w:rPr>
              <w:t>Constant</w:t>
            </w:r>
          </w:p>
        </w:tc>
        <w:tc>
          <w:tcPr>
            <w:tcW w:w="0" w:type="auto"/>
            <w:tcBorders>
              <w:top w:val="nil"/>
              <w:left w:val="nil"/>
              <w:bottom w:val="nil"/>
              <w:right w:val="nil"/>
            </w:tcBorders>
          </w:tcPr>
          <w:p w14:paraId="1FAEDB54" w14:textId="2244B950" w:rsidR="00165583" w:rsidRPr="00154B9B" w:rsidRDefault="00165583" w:rsidP="00165583">
            <w:pPr>
              <w:widowControl w:val="0"/>
              <w:autoSpaceDE w:val="0"/>
              <w:autoSpaceDN w:val="0"/>
              <w:adjustRightInd w:val="0"/>
              <w:jc w:val="center"/>
              <w:rPr>
                <w:sz w:val="22"/>
                <w:szCs w:val="22"/>
              </w:rPr>
            </w:pPr>
            <w:r w:rsidRPr="003F6FED">
              <w:rPr>
                <w:sz w:val="22"/>
                <w:szCs w:val="22"/>
              </w:rPr>
              <w:t>1.071***</w:t>
            </w:r>
          </w:p>
        </w:tc>
        <w:tc>
          <w:tcPr>
            <w:tcW w:w="0" w:type="auto"/>
            <w:tcBorders>
              <w:top w:val="nil"/>
              <w:left w:val="nil"/>
              <w:bottom w:val="nil"/>
              <w:right w:val="nil"/>
            </w:tcBorders>
          </w:tcPr>
          <w:p w14:paraId="1220E0C9" w14:textId="189446CE" w:rsidR="00165583" w:rsidRPr="00154B9B" w:rsidRDefault="00165583" w:rsidP="00165583">
            <w:pPr>
              <w:widowControl w:val="0"/>
              <w:autoSpaceDE w:val="0"/>
              <w:autoSpaceDN w:val="0"/>
              <w:adjustRightInd w:val="0"/>
              <w:jc w:val="center"/>
              <w:rPr>
                <w:sz w:val="22"/>
                <w:szCs w:val="22"/>
              </w:rPr>
            </w:pPr>
            <w:r w:rsidRPr="00272C6C">
              <w:rPr>
                <w:sz w:val="22"/>
                <w:szCs w:val="22"/>
              </w:rPr>
              <w:t>1.100***</w:t>
            </w:r>
          </w:p>
        </w:tc>
        <w:tc>
          <w:tcPr>
            <w:tcW w:w="0" w:type="auto"/>
            <w:tcBorders>
              <w:top w:val="nil"/>
              <w:left w:val="nil"/>
              <w:bottom w:val="nil"/>
              <w:right w:val="nil"/>
            </w:tcBorders>
          </w:tcPr>
          <w:p w14:paraId="125C4C80" w14:textId="59D3B8AA" w:rsidR="00165583" w:rsidRPr="00154B9B" w:rsidRDefault="00165583" w:rsidP="00165583">
            <w:pPr>
              <w:widowControl w:val="0"/>
              <w:autoSpaceDE w:val="0"/>
              <w:autoSpaceDN w:val="0"/>
              <w:adjustRightInd w:val="0"/>
              <w:jc w:val="center"/>
              <w:rPr>
                <w:sz w:val="22"/>
                <w:szCs w:val="22"/>
              </w:rPr>
            </w:pPr>
            <w:r w:rsidRPr="002942DA">
              <w:rPr>
                <w:sz w:val="22"/>
                <w:szCs w:val="22"/>
              </w:rPr>
              <w:t>1.155***</w:t>
            </w:r>
          </w:p>
        </w:tc>
        <w:tc>
          <w:tcPr>
            <w:tcW w:w="0" w:type="auto"/>
            <w:tcBorders>
              <w:top w:val="nil"/>
              <w:left w:val="nil"/>
              <w:bottom w:val="nil"/>
              <w:right w:val="nil"/>
            </w:tcBorders>
          </w:tcPr>
          <w:p w14:paraId="79EF76EE" w14:textId="62E6B308" w:rsidR="00165583" w:rsidRPr="00154B9B" w:rsidRDefault="00165583" w:rsidP="00165583">
            <w:pPr>
              <w:widowControl w:val="0"/>
              <w:autoSpaceDE w:val="0"/>
              <w:autoSpaceDN w:val="0"/>
              <w:adjustRightInd w:val="0"/>
              <w:jc w:val="center"/>
              <w:rPr>
                <w:sz w:val="22"/>
                <w:szCs w:val="22"/>
              </w:rPr>
            </w:pPr>
            <w:r w:rsidRPr="00CA03AC">
              <w:rPr>
                <w:sz w:val="22"/>
                <w:szCs w:val="22"/>
              </w:rPr>
              <w:t>1.106***</w:t>
            </w:r>
          </w:p>
        </w:tc>
      </w:tr>
      <w:tr w:rsidR="00165583" w:rsidRPr="00AD55AA" w14:paraId="40550183" w14:textId="77777777" w:rsidTr="00FB100C">
        <w:trPr>
          <w:jc w:val="center"/>
        </w:trPr>
        <w:tc>
          <w:tcPr>
            <w:tcW w:w="0" w:type="auto"/>
            <w:tcBorders>
              <w:top w:val="nil"/>
              <w:left w:val="nil"/>
              <w:bottom w:val="nil"/>
              <w:right w:val="nil"/>
            </w:tcBorders>
          </w:tcPr>
          <w:p w14:paraId="448B2671"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294E8E80" w14:textId="48BDF110" w:rsidR="00165583" w:rsidRPr="00154B9B" w:rsidRDefault="00165583" w:rsidP="00165583">
            <w:pPr>
              <w:widowControl w:val="0"/>
              <w:autoSpaceDE w:val="0"/>
              <w:autoSpaceDN w:val="0"/>
              <w:adjustRightInd w:val="0"/>
              <w:jc w:val="center"/>
              <w:rPr>
                <w:sz w:val="22"/>
                <w:szCs w:val="22"/>
              </w:rPr>
            </w:pPr>
            <w:r w:rsidRPr="003F6FED">
              <w:rPr>
                <w:sz w:val="22"/>
                <w:szCs w:val="22"/>
              </w:rPr>
              <w:t>(9.98)</w:t>
            </w:r>
          </w:p>
        </w:tc>
        <w:tc>
          <w:tcPr>
            <w:tcW w:w="0" w:type="auto"/>
            <w:tcBorders>
              <w:top w:val="nil"/>
              <w:left w:val="nil"/>
              <w:bottom w:val="nil"/>
              <w:right w:val="nil"/>
            </w:tcBorders>
          </w:tcPr>
          <w:p w14:paraId="45BD88FC" w14:textId="6FC5F954" w:rsidR="00165583" w:rsidRPr="00154B9B" w:rsidRDefault="00165583" w:rsidP="00165583">
            <w:pPr>
              <w:widowControl w:val="0"/>
              <w:autoSpaceDE w:val="0"/>
              <w:autoSpaceDN w:val="0"/>
              <w:adjustRightInd w:val="0"/>
              <w:jc w:val="center"/>
              <w:rPr>
                <w:sz w:val="22"/>
                <w:szCs w:val="22"/>
              </w:rPr>
            </w:pPr>
            <w:r w:rsidRPr="00272C6C">
              <w:rPr>
                <w:sz w:val="22"/>
                <w:szCs w:val="22"/>
              </w:rPr>
              <w:t>(10.89)</w:t>
            </w:r>
          </w:p>
        </w:tc>
        <w:tc>
          <w:tcPr>
            <w:tcW w:w="0" w:type="auto"/>
            <w:tcBorders>
              <w:top w:val="nil"/>
              <w:left w:val="nil"/>
              <w:bottom w:val="nil"/>
              <w:right w:val="nil"/>
            </w:tcBorders>
          </w:tcPr>
          <w:p w14:paraId="133D0623" w14:textId="4AC24CB9" w:rsidR="00165583" w:rsidRPr="00154B9B" w:rsidRDefault="00165583" w:rsidP="00165583">
            <w:pPr>
              <w:widowControl w:val="0"/>
              <w:autoSpaceDE w:val="0"/>
              <w:autoSpaceDN w:val="0"/>
              <w:adjustRightInd w:val="0"/>
              <w:jc w:val="center"/>
              <w:rPr>
                <w:sz w:val="22"/>
                <w:szCs w:val="22"/>
              </w:rPr>
            </w:pPr>
            <w:r w:rsidRPr="002942DA">
              <w:rPr>
                <w:sz w:val="22"/>
                <w:szCs w:val="22"/>
              </w:rPr>
              <w:t>(8.64)</w:t>
            </w:r>
          </w:p>
        </w:tc>
        <w:tc>
          <w:tcPr>
            <w:tcW w:w="0" w:type="auto"/>
            <w:tcBorders>
              <w:top w:val="nil"/>
              <w:left w:val="nil"/>
              <w:bottom w:val="nil"/>
              <w:right w:val="nil"/>
            </w:tcBorders>
          </w:tcPr>
          <w:p w14:paraId="27213758" w14:textId="0D3B2235" w:rsidR="00165583" w:rsidRPr="00154B9B" w:rsidRDefault="00165583" w:rsidP="00165583">
            <w:pPr>
              <w:widowControl w:val="0"/>
              <w:autoSpaceDE w:val="0"/>
              <w:autoSpaceDN w:val="0"/>
              <w:adjustRightInd w:val="0"/>
              <w:jc w:val="center"/>
              <w:rPr>
                <w:sz w:val="22"/>
                <w:szCs w:val="22"/>
              </w:rPr>
            </w:pPr>
            <w:r w:rsidRPr="00CA03AC">
              <w:rPr>
                <w:sz w:val="22"/>
                <w:szCs w:val="22"/>
              </w:rPr>
              <w:t>(14.29)</w:t>
            </w:r>
          </w:p>
        </w:tc>
      </w:tr>
      <w:tr w:rsidR="00C837F7" w:rsidRPr="00AD55AA" w14:paraId="5402A9AA" w14:textId="77777777" w:rsidTr="00FB100C">
        <w:trPr>
          <w:jc w:val="center"/>
        </w:trPr>
        <w:tc>
          <w:tcPr>
            <w:tcW w:w="0" w:type="auto"/>
            <w:tcBorders>
              <w:top w:val="nil"/>
              <w:left w:val="nil"/>
              <w:bottom w:val="nil"/>
              <w:right w:val="nil"/>
            </w:tcBorders>
          </w:tcPr>
          <w:p w14:paraId="1827D090" w14:textId="77777777" w:rsidR="00C837F7" w:rsidRPr="00AD55AA" w:rsidRDefault="00C837F7" w:rsidP="00C837F7">
            <w:pPr>
              <w:widowControl w:val="0"/>
              <w:autoSpaceDE w:val="0"/>
              <w:autoSpaceDN w:val="0"/>
              <w:adjustRightInd w:val="0"/>
              <w:rPr>
                <w:sz w:val="22"/>
                <w:szCs w:val="22"/>
              </w:rPr>
            </w:pPr>
          </w:p>
        </w:tc>
        <w:tc>
          <w:tcPr>
            <w:tcW w:w="0" w:type="auto"/>
            <w:tcBorders>
              <w:top w:val="nil"/>
              <w:left w:val="nil"/>
              <w:bottom w:val="nil"/>
              <w:right w:val="nil"/>
            </w:tcBorders>
          </w:tcPr>
          <w:p w14:paraId="4A78F336" w14:textId="77777777" w:rsidR="00C837F7" w:rsidRPr="00AD55AA" w:rsidRDefault="00C837F7" w:rsidP="00C837F7">
            <w:pPr>
              <w:widowControl w:val="0"/>
              <w:autoSpaceDE w:val="0"/>
              <w:autoSpaceDN w:val="0"/>
              <w:adjustRightInd w:val="0"/>
              <w:jc w:val="center"/>
              <w:rPr>
                <w:sz w:val="22"/>
                <w:szCs w:val="22"/>
              </w:rPr>
            </w:pPr>
          </w:p>
        </w:tc>
        <w:tc>
          <w:tcPr>
            <w:tcW w:w="0" w:type="auto"/>
            <w:tcBorders>
              <w:top w:val="nil"/>
              <w:left w:val="nil"/>
              <w:bottom w:val="nil"/>
              <w:right w:val="nil"/>
            </w:tcBorders>
          </w:tcPr>
          <w:p w14:paraId="1D1742B9" w14:textId="77777777" w:rsidR="00C837F7" w:rsidRPr="00AD55AA" w:rsidRDefault="00C837F7" w:rsidP="00C837F7">
            <w:pPr>
              <w:widowControl w:val="0"/>
              <w:autoSpaceDE w:val="0"/>
              <w:autoSpaceDN w:val="0"/>
              <w:adjustRightInd w:val="0"/>
              <w:jc w:val="center"/>
              <w:rPr>
                <w:sz w:val="22"/>
                <w:szCs w:val="22"/>
              </w:rPr>
            </w:pPr>
          </w:p>
        </w:tc>
        <w:tc>
          <w:tcPr>
            <w:tcW w:w="0" w:type="auto"/>
            <w:tcBorders>
              <w:top w:val="nil"/>
              <w:left w:val="nil"/>
              <w:bottom w:val="nil"/>
              <w:right w:val="nil"/>
            </w:tcBorders>
          </w:tcPr>
          <w:p w14:paraId="20678076" w14:textId="77777777" w:rsidR="00C837F7" w:rsidRPr="00AD55AA" w:rsidRDefault="00C837F7" w:rsidP="00C837F7">
            <w:pPr>
              <w:widowControl w:val="0"/>
              <w:autoSpaceDE w:val="0"/>
              <w:autoSpaceDN w:val="0"/>
              <w:adjustRightInd w:val="0"/>
              <w:jc w:val="center"/>
              <w:rPr>
                <w:sz w:val="22"/>
                <w:szCs w:val="22"/>
              </w:rPr>
            </w:pPr>
          </w:p>
        </w:tc>
        <w:tc>
          <w:tcPr>
            <w:tcW w:w="0" w:type="auto"/>
            <w:tcBorders>
              <w:top w:val="nil"/>
              <w:left w:val="nil"/>
              <w:bottom w:val="nil"/>
              <w:right w:val="nil"/>
            </w:tcBorders>
          </w:tcPr>
          <w:p w14:paraId="3DB7ECC2" w14:textId="77777777" w:rsidR="00C837F7" w:rsidRPr="00AD55AA" w:rsidRDefault="00C837F7" w:rsidP="00C837F7">
            <w:pPr>
              <w:widowControl w:val="0"/>
              <w:autoSpaceDE w:val="0"/>
              <w:autoSpaceDN w:val="0"/>
              <w:adjustRightInd w:val="0"/>
              <w:jc w:val="center"/>
              <w:rPr>
                <w:sz w:val="22"/>
                <w:szCs w:val="22"/>
              </w:rPr>
            </w:pPr>
          </w:p>
        </w:tc>
      </w:tr>
      <w:tr w:rsidR="00C837F7" w:rsidRPr="00AD55AA" w14:paraId="2E61CAF0" w14:textId="77777777" w:rsidTr="00FB100C">
        <w:trPr>
          <w:jc w:val="center"/>
        </w:trPr>
        <w:tc>
          <w:tcPr>
            <w:tcW w:w="0" w:type="auto"/>
            <w:tcBorders>
              <w:top w:val="nil"/>
              <w:left w:val="nil"/>
              <w:bottom w:val="nil"/>
              <w:right w:val="nil"/>
            </w:tcBorders>
          </w:tcPr>
          <w:p w14:paraId="0533BAC6" w14:textId="77777777" w:rsidR="00C837F7" w:rsidRPr="00AD55AA" w:rsidRDefault="00C837F7" w:rsidP="00C837F7">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2C90F381" w14:textId="4B3FBAC5" w:rsidR="00C837F7" w:rsidRPr="00AD55AA" w:rsidRDefault="00C837F7" w:rsidP="00C837F7">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4FDA70D5" w14:textId="2E399409" w:rsidR="00C837F7" w:rsidRPr="00AD55AA" w:rsidRDefault="00C837F7" w:rsidP="00C837F7">
            <w:pPr>
              <w:widowControl w:val="0"/>
              <w:autoSpaceDE w:val="0"/>
              <w:autoSpaceDN w:val="0"/>
              <w:adjustRightInd w:val="0"/>
              <w:jc w:val="center"/>
              <w:rPr>
                <w:sz w:val="22"/>
                <w:szCs w:val="22"/>
              </w:rPr>
            </w:pPr>
            <w:r w:rsidRPr="00185AB8">
              <w:rPr>
                <w:sz w:val="22"/>
                <w:szCs w:val="22"/>
              </w:rPr>
              <w:t>Yes</w:t>
            </w:r>
          </w:p>
        </w:tc>
        <w:tc>
          <w:tcPr>
            <w:tcW w:w="0" w:type="auto"/>
            <w:tcBorders>
              <w:top w:val="nil"/>
              <w:left w:val="nil"/>
              <w:bottom w:val="nil"/>
              <w:right w:val="nil"/>
            </w:tcBorders>
          </w:tcPr>
          <w:p w14:paraId="0A277479" w14:textId="6E08F1BA" w:rsidR="00C837F7" w:rsidRPr="00AD55AA" w:rsidRDefault="00C837F7" w:rsidP="00C837F7">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26ABF850" w14:textId="52D84D6D" w:rsidR="00C837F7" w:rsidRPr="00AD55AA" w:rsidRDefault="00C837F7" w:rsidP="00C837F7">
            <w:pPr>
              <w:widowControl w:val="0"/>
              <w:autoSpaceDE w:val="0"/>
              <w:autoSpaceDN w:val="0"/>
              <w:adjustRightInd w:val="0"/>
              <w:jc w:val="center"/>
              <w:rPr>
                <w:sz w:val="22"/>
                <w:szCs w:val="22"/>
              </w:rPr>
            </w:pPr>
            <w:r w:rsidRPr="00AD55AA">
              <w:rPr>
                <w:sz w:val="22"/>
                <w:szCs w:val="22"/>
              </w:rPr>
              <w:t>Yes</w:t>
            </w:r>
          </w:p>
        </w:tc>
      </w:tr>
      <w:tr w:rsidR="00C837F7" w:rsidRPr="00AD55AA" w14:paraId="33E612F2" w14:textId="77777777" w:rsidTr="00FB100C">
        <w:trPr>
          <w:jc w:val="center"/>
        </w:trPr>
        <w:tc>
          <w:tcPr>
            <w:tcW w:w="0" w:type="auto"/>
            <w:tcBorders>
              <w:top w:val="nil"/>
              <w:left w:val="nil"/>
              <w:bottom w:val="nil"/>
              <w:right w:val="nil"/>
            </w:tcBorders>
          </w:tcPr>
          <w:p w14:paraId="78B323AA" w14:textId="77777777" w:rsidR="00C837F7" w:rsidRPr="00AD55AA" w:rsidRDefault="00C837F7" w:rsidP="00C837F7">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bottom w:val="nil"/>
              <w:right w:val="nil"/>
            </w:tcBorders>
          </w:tcPr>
          <w:p w14:paraId="0B6C1FBB" w14:textId="28BCCE10" w:rsidR="00C837F7" w:rsidRPr="00AD55AA" w:rsidRDefault="00C837F7" w:rsidP="00C837F7">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4E09FCDC" w14:textId="71F0F156" w:rsidR="00C837F7" w:rsidRPr="00AD55AA" w:rsidRDefault="00C837F7" w:rsidP="00C837F7">
            <w:pPr>
              <w:widowControl w:val="0"/>
              <w:autoSpaceDE w:val="0"/>
              <w:autoSpaceDN w:val="0"/>
              <w:adjustRightInd w:val="0"/>
              <w:jc w:val="center"/>
              <w:rPr>
                <w:sz w:val="22"/>
                <w:szCs w:val="22"/>
              </w:rPr>
            </w:pPr>
            <w:r w:rsidRPr="00185AB8">
              <w:rPr>
                <w:sz w:val="22"/>
                <w:szCs w:val="22"/>
              </w:rPr>
              <w:t>Yes</w:t>
            </w:r>
          </w:p>
        </w:tc>
        <w:tc>
          <w:tcPr>
            <w:tcW w:w="0" w:type="auto"/>
            <w:tcBorders>
              <w:top w:val="nil"/>
              <w:left w:val="nil"/>
              <w:bottom w:val="nil"/>
              <w:right w:val="nil"/>
            </w:tcBorders>
          </w:tcPr>
          <w:p w14:paraId="7036590A" w14:textId="682E61FB" w:rsidR="00C837F7" w:rsidRPr="00AD55AA" w:rsidRDefault="00C837F7" w:rsidP="00C837F7">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7002BBA8" w14:textId="4F1F2F84" w:rsidR="00C837F7" w:rsidRPr="00AD55AA" w:rsidRDefault="00C837F7" w:rsidP="00C837F7">
            <w:pPr>
              <w:widowControl w:val="0"/>
              <w:autoSpaceDE w:val="0"/>
              <w:autoSpaceDN w:val="0"/>
              <w:adjustRightInd w:val="0"/>
              <w:jc w:val="center"/>
              <w:rPr>
                <w:sz w:val="22"/>
                <w:szCs w:val="22"/>
              </w:rPr>
            </w:pPr>
            <w:r w:rsidRPr="00AD55AA">
              <w:rPr>
                <w:sz w:val="22"/>
                <w:szCs w:val="22"/>
              </w:rPr>
              <w:t>Yes</w:t>
            </w:r>
          </w:p>
        </w:tc>
      </w:tr>
      <w:tr w:rsidR="00C837F7" w:rsidRPr="00AD55AA" w14:paraId="59C1B9DC" w14:textId="77777777" w:rsidTr="00FB100C">
        <w:trPr>
          <w:jc w:val="center"/>
        </w:trPr>
        <w:tc>
          <w:tcPr>
            <w:tcW w:w="0" w:type="auto"/>
            <w:tcBorders>
              <w:top w:val="nil"/>
              <w:left w:val="nil"/>
              <w:right w:val="nil"/>
            </w:tcBorders>
          </w:tcPr>
          <w:p w14:paraId="1C718B95" w14:textId="77777777" w:rsidR="00C837F7" w:rsidRPr="00AD55AA" w:rsidRDefault="00C837F7" w:rsidP="00C837F7">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4B049969" w14:textId="4A420184" w:rsidR="00C837F7" w:rsidRPr="00154B9B" w:rsidRDefault="00C837F7" w:rsidP="00C837F7">
            <w:pPr>
              <w:widowControl w:val="0"/>
              <w:autoSpaceDE w:val="0"/>
              <w:autoSpaceDN w:val="0"/>
              <w:adjustRightInd w:val="0"/>
              <w:jc w:val="center"/>
              <w:rPr>
                <w:sz w:val="22"/>
                <w:szCs w:val="22"/>
              </w:rPr>
            </w:pPr>
            <w:r w:rsidRPr="00C837F7">
              <w:rPr>
                <w:sz w:val="22"/>
                <w:szCs w:val="22"/>
              </w:rPr>
              <w:t>29,401</w:t>
            </w:r>
          </w:p>
        </w:tc>
        <w:tc>
          <w:tcPr>
            <w:tcW w:w="0" w:type="auto"/>
            <w:tcBorders>
              <w:top w:val="nil"/>
              <w:left w:val="nil"/>
              <w:right w:val="nil"/>
            </w:tcBorders>
          </w:tcPr>
          <w:p w14:paraId="0A7E3986" w14:textId="126BFBF8" w:rsidR="00C837F7" w:rsidRPr="00154B9B" w:rsidRDefault="00C837F7" w:rsidP="00C837F7">
            <w:pPr>
              <w:widowControl w:val="0"/>
              <w:autoSpaceDE w:val="0"/>
              <w:autoSpaceDN w:val="0"/>
              <w:adjustRightInd w:val="0"/>
              <w:jc w:val="center"/>
              <w:rPr>
                <w:sz w:val="22"/>
                <w:szCs w:val="22"/>
              </w:rPr>
            </w:pPr>
            <w:r w:rsidRPr="00C837F7">
              <w:rPr>
                <w:sz w:val="22"/>
                <w:szCs w:val="22"/>
              </w:rPr>
              <w:t>35,278</w:t>
            </w:r>
          </w:p>
        </w:tc>
        <w:tc>
          <w:tcPr>
            <w:tcW w:w="0" w:type="auto"/>
            <w:tcBorders>
              <w:top w:val="nil"/>
              <w:left w:val="nil"/>
              <w:right w:val="nil"/>
            </w:tcBorders>
          </w:tcPr>
          <w:p w14:paraId="27717E22" w14:textId="5671CC4C" w:rsidR="00C837F7" w:rsidRPr="00154B9B" w:rsidRDefault="00C837F7" w:rsidP="00C837F7">
            <w:pPr>
              <w:widowControl w:val="0"/>
              <w:autoSpaceDE w:val="0"/>
              <w:autoSpaceDN w:val="0"/>
              <w:adjustRightInd w:val="0"/>
              <w:jc w:val="center"/>
              <w:rPr>
                <w:sz w:val="22"/>
                <w:szCs w:val="22"/>
              </w:rPr>
            </w:pPr>
            <w:r w:rsidRPr="00AD55AA">
              <w:rPr>
                <w:sz w:val="22"/>
                <w:szCs w:val="22"/>
              </w:rPr>
              <w:t>18,389</w:t>
            </w:r>
          </w:p>
        </w:tc>
        <w:tc>
          <w:tcPr>
            <w:tcW w:w="0" w:type="auto"/>
            <w:tcBorders>
              <w:top w:val="nil"/>
              <w:left w:val="nil"/>
              <w:right w:val="nil"/>
            </w:tcBorders>
          </w:tcPr>
          <w:p w14:paraId="48009786" w14:textId="7A6EC619" w:rsidR="00C837F7" w:rsidRPr="00154B9B" w:rsidRDefault="00C837F7" w:rsidP="00C837F7">
            <w:pPr>
              <w:widowControl w:val="0"/>
              <w:autoSpaceDE w:val="0"/>
              <w:autoSpaceDN w:val="0"/>
              <w:adjustRightInd w:val="0"/>
              <w:jc w:val="center"/>
              <w:rPr>
                <w:sz w:val="22"/>
                <w:szCs w:val="22"/>
              </w:rPr>
            </w:pPr>
            <w:r w:rsidRPr="00AD55AA">
              <w:rPr>
                <w:sz w:val="22"/>
                <w:szCs w:val="22"/>
              </w:rPr>
              <w:t>41,918</w:t>
            </w:r>
          </w:p>
        </w:tc>
      </w:tr>
      <w:tr w:rsidR="00C837F7" w:rsidRPr="00AD55AA" w14:paraId="15A3E5F5" w14:textId="77777777" w:rsidTr="00FB100C">
        <w:tblPrEx>
          <w:tblBorders>
            <w:bottom w:val="single" w:sz="6" w:space="0" w:color="auto"/>
          </w:tblBorders>
        </w:tblPrEx>
        <w:trPr>
          <w:jc w:val="center"/>
        </w:trPr>
        <w:tc>
          <w:tcPr>
            <w:tcW w:w="0" w:type="auto"/>
            <w:tcBorders>
              <w:top w:val="nil"/>
              <w:left w:val="nil"/>
              <w:bottom w:val="single" w:sz="4" w:space="0" w:color="auto"/>
              <w:right w:val="nil"/>
            </w:tcBorders>
          </w:tcPr>
          <w:p w14:paraId="78040004" w14:textId="77777777" w:rsidR="00C837F7" w:rsidRPr="00AD55AA" w:rsidRDefault="00C837F7" w:rsidP="00C837F7">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4C818427" w14:textId="6080B7C7" w:rsidR="00C837F7" w:rsidRPr="00154B9B" w:rsidRDefault="00C837F7" w:rsidP="00C837F7">
            <w:pPr>
              <w:widowControl w:val="0"/>
              <w:autoSpaceDE w:val="0"/>
              <w:autoSpaceDN w:val="0"/>
              <w:adjustRightInd w:val="0"/>
              <w:jc w:val="center"/>
              <w:rPr>
                <w:sz w:val="22"/>
                <w:szCs w:val="22"/>
              </w:rPr>
            </w:pPr>
            <w:r w:rsidRPr="003F6FED">
              <w:rPr>
                <w:sz w:val="22"/>
                <w:szCs w:val="22"/>
              </w:rPr>
              <w:t>0.1920</w:t>
            </w:r>
          </w:p>
        </w:tc>
        <w:tc>
          <w:tcPr>
            <w:tcW w:w="0" w:type="auto"/>
            <w:tcBorders>
              <w:top w:val="nil"/>
              <w:left w:val="nil"/>
              <w:bottom w:val="single" w:sz="4" w:space="0" w:color="auto"/>
              <w:right w:val="nil"/>
            </w:tcBorders>
          </w:tcPr>
          <w:p w14:paraId="1FB798D2" w14:textId="14655B56" w:rsidR="00C837F7" w:rsidRPr="00154B9B" w:rsidRDefault="00C837F7" w:rsidP="00C837F7">
            <w:pPr>
              <w:widowControl w:val="0"/>
              <w:autoSpaceDE w:val="0"/>
              <w:autoSpaceDN w:val="0"/>
              <w:adjustRightInd w:val="0"/>
              <w:jc w:val="center"/>
              <w:rPr>
                <w:sz w:val="22"/>
                <w:szCs w:val="22"/>
              </w:rPr>
            </w:pPr>
            <w:r w:rsidRPr="00272C6C">
              <w:rPr>
                <w:sz w:val="22"/>
                <w:szCs w:val="22"/>
              </w:rPr>
              <w:t>0.2318</w:t>
            </w:r>
          </w:p>
        </w:tc>
        <w:tc>
          <w:tcPr>
            <w:tcW w:w="0" w:type="auto"/>
            <w:tcBorders>
              <w:top w:val="nil"/>
              <w:left w:val="nil"/>
              <w:bottom w:val="single" w:sz="4" w:space="0" w:color="auto"/>
              <w:right w:val="nil"/>
            </w:tcBorders>
          </w:tcPr>
          <w:p w14:paraId="616E8328" w14:textId="5716BCDF" w:rsidR="00C837F7" w:rsidRPr="00154B9B" w:rsidRDefault="00165583" w:rsidP="00C837F7">
            <w:pPr>
              <w:widowControl w:val="0"/>
              <w:autoSpaceDE w:val="0"/>
              <w:autoSpaceDN w:val="0"/>
              <w:adjustRightInd w:val="0"/>
              <w:jc w:val="center"/>
              <w:rPr>
                <w:sz w:val="22"/>
                <w:szCs w:val="22"/>
              </w:rPr>
            </w:pPr>
            <w:r w:rsidRPr="002942DA">
              <w:rPr>
                <w:sz w:val="22"/>
                <w:szCs w:val="22"/>
              </w:rPr>
              <w:t>0.2170</w:t>
            </w:r>
          </w:p>
        </w:tc>
        <w:tc>
          <w:tcPr>
            <w:tcW w:w="0" w:type="auto"/>
            <w:tcBorders>
              <w:top w:val="nil"/>
              <w:left w:val="nil"/>
              <w:bottom w:val="single" w:sz="4" w:space="0" w:color="auto"/>
              <w:right w:val="nil"/>
            </w:tcBorders>
          </w:tcPr>
          <w:p w14:paraId="67AA91AF" w14:textId="1AC188E4" w:rsidR="00C837F7" w:rsidRPr="00154B9B" w:rsidRDefault="00165583" w:rsidP="00C837F7">
            <w:pPr>
              <w:widowControl w:val="0"/>
              <w:autoSpaceDE w:val="0"/>
              <w:autoSpaceDN w:val="0"/>
              <w:adjustRightInd w:val="0"/>
              <w:jc w:val="center"/>
              <w:rPr>
                <w:sz w:val="22"/>
                <w:szCs w:val="22"/>
              </w:rPr>
            </w:pPr>
            <w:r w:rsidRPr="00CA03AC">
              <w:rPr>
                <w:sz w:val="22"/>
                <w:szCs w:val="22"/>
              </w:rPr>
              <w:t>0.2100</w:t>
            </w:r>
          </w:p>
        </w:tc>
      </w:tr>
      <w:tr w:rsidR="00C837F7" w:rsidRPr="00AD55AA" w14:paraId="23D4FFFB" w14:textId="77777777" w:rsidTr="00FB100C">
        <w:tblPrEx>
          <w:tblBorders>
            <w:bottom w:val="single" w:sz="6" w:space="0" w:color="auto"/>
          </w:tblBorders>
        </w:tblPrEx>
        <w:trPr>
          <w:jc w:val="center"/>
        </w:trPr>
        <w:tc>
          <w:tcPr>
            <w:tcW w:w="0" w:type="auto"/>
            <w:tcBorders>
              <w:top w:val="single" w:sz="4" w:space="0" w:color="auto"/>
              <w:left w:val="nil"/>
              <w:bottom w:val="nil"/>
              <w:right w:val="nil"/>
            </w:tcBorders>
          </w:tcPr>
          <w:p w14:paraId="4BB99363" w14:textId="77777777" w:rsidR="00C837F7" w:rsidRPr="00AD55AA" w:rsidRDefault="00C837F7" w:rsidP="00C837F7">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29581D53" w14:textId="77777777" w:rsidR="00C837F7" w:rsidRPr="00AD55AA" w:rsidRDefault="00C837F7" w:rsidP="00C837F7">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3469C342" w14:textId="77777777" w:rsidR="00C837F7" w:rsidRPr="00AD55AA" w:rsidRDefault="00C837F7" w:rsidP="00C837F7">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5874871A" w14:textId="77777777" w:rsidR="00C837F7" w:rsidRPr="00AD55AA" w:rsidRDefault="00C837F7" w:rsidP="00C837F7">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096FDF45" w14:textId="77777777" w:rsidR="00C837F7" w:rsidRPr="00AD55AA" w:rsidRDefault="00C837F7" w:rsidP="00C837F7">
            <w:pPr>
              <w:widowControl w:val="0"/>
              <w:autoSpaceDE w:val="0"/>
              <w:autoSpaceDN w:val="0"/>
              <w:adjustRightInd w:val="0"/>
              <w:jc w:val="center"/>
              <w:rPr>
                <w:sz w:val="22"/>
                <w:szCs w:val="22"/>
              </w:rPr>
            </w:pPr>
          </w:p>
        </w:tc>
      </w:tr>
      <w:tr w:rsidR="00C837F7" w:rsidRPr="00AD55AA" w14:paraId="1D07EFCE" w14:textId="77777777" w:rsidTr="00FB100C">
        <w:tblPrEx>
          <w:tblBorders>
            <w:bottom w:val="single" w:sz="6" w:space="0" w:color="auto"/>
          </w:tblBorders>
        </w:tblPrEx>
        <w:trPr>
          <w:jc w:val="center"/>
        </w:trPr>
        <w:tc>
          <w:tcPr>
            <w:tcW w:w="0" w:type="auto"/>
            <w:gridSpan w:val="5"/>
            <w:tcBorders>
              <w:top w:val="nil"/>
              <w:left w:val="nil"/>
              <w:bottom w:val="nil"/>
              <w:right w:val="nil"/>
            </w:tcBorders>
          </w:tcPr>
          <w:p w14:paraId="3D6D1694" w14:textId="7C994B20" w:rsidR="00C837F7" w:rsidRPr="00AD55AA" w:rsidRDefault="00C837F7" w:rsidP="00C837F7">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 </w:t>
            </w:r>
            <w:r w:rsidRPr="00AD55AA">
              <w:rPr>
                <w:sz w:val="22"/>
                <w:szCs w:val="22"/>
              </w:rPr>
              <w:t>the results of the CFIUS review</w:t>
            </w:r>
            <w:r>
              <w:rPr>
                <w:sz w:val="22"/>
                <w:szCs w:val="22"/>
              </w:rPr>
              <w:t xml:space="preserve"> (column 1), </w:t>
            </w:r>
            <w:r w:rsidRPr="00185AB8">
              <w:rPr>
                <w:sz w:val="22"/>
                <w:szCs w:val="22"/>
              </w:rPr>
              <w:t>the heterogenous industry effects</w:t>
            </w:r>
            <w:r>
              <w:rPr>
                <w:sz w:val="22"/>
                <w:szCs w:val="22"/>
              </w:rPr>
              <w:t xml:space="preserve"> (column 2), </w:t>
            </w:r>
            <w:r w:rsidRPr="00AD55AA">
              <w:rPr>
                <w:sz w:val="22"/>
                <w:szCs w:val="22"/>
              </w:rPr>
              <w:t>the unique business segment</w:t>
            </w:r>
            <w:r>
              <w:rPr>
                <w:sz w:val="22"/>
                <w:szCs w:val="22"/>
              </w:rPr>
              <w:t xml:space="preserve"> (column 3), and the </w:t>
            </w:r>
            <w:r w:rsidRPr="00AD55AA">
              <w:rPr>
                <w:sz w:val="22"/>
                <w:szCs w:val="22"/>
              </w:rPr>
              <w:t xml:space="preserve">all deals </w:t>
            </w:r>
            <w:r>
              <w:rPr>
                <w:sz w:val="22"/>
                <w:szCs w:val="22"/>
              </w:rPr>
              <w:t>(column 4) analyse</w:t>
            </w:r>
            <w:r w:rsidRPr="00AD55AA">
              <w:rPr>
                <w:sz w:val="22"/>
                <w:szCs w:val="22"/>
              </w:rPr>
              <w:t>s.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bl>
    <w:p w14:paraId="433E250A" w14:textId="236A38FE" w:rsidR="005934FA" w:rsidRPr="00AD55AA" w:rsidRDefault="005934FA">
      <w:pPr>
        <w:spacing w:after="160" w:line="259" w:lineRule="auto"/>
        <w:rPr>
          <w:sz w:val="22"/>
          <w:szCs w:val="22"/>
        </w:rPr>
      </w:pPr>
    </w:p>
    <w:p w14:paraId="559C58AD" w14:textId="0FA74C22" w:rsidR="005934FA" w:rsidRPr="00AD55AA" w:rsidRDefault="005934FA">
      <w:pPr>
        <w:spacing w:after="160" w:line="259" w:lineRule="auto"/>
        <w:rPr>
          <w:sz w:val="22"/>
          <w:szCs w:val="22"/>
        </w:rPr>
      </w:pPr>
      <w:r w:rsidRPr="00AD55AA">
        <w:rPr>
          <w:sz w:val="22"/>
          <w:szCs w:val="22"/>
        </w:rPr>
        <w:br w:type="page"/>
      </w:r>
    </w:p>
    <w:p w14:paraId="43CD547B" w14:textId="16BE4811" w:rsidR="00EE1979" w:rsidRPr="00AD55AA" w:rsidRDefault="00EE1979" w:rsidP="0047446D">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2611"/>
        <w:gridCol w:w="232"/>
        <w:gridCol w:w="232"/>
        <w:gridCol w:w="1498"/>
        <w:gridCol w:w="1498"/>
        <w:gridCol w:w="1498"/>
        <w:gridCol w:w="1498"/>
      </w:tblGrid>
      <w:tr w:rsidR="00704829" w:rsidRPr="00AD55AA" w14:paraId="0552E710" w14:textId="77777777" w:rsidTr="00AB6C46">
        <w:trPr>
          <w:jc w:val="center"/>
        </w:trPr>
        <w:tc>
          <w:tcPr>
            <w:tcW w:w="0" w:type="auto"/>
            <w:gridSpan w:val="2"/>
            <w:tcBorders>
              <w:left w:val="nil"/>
              <w:right w:val="nil"/>
            </w:tcBorders>
          </w:tcPr>
          <w:p w14:paraId="0DFA2471" w14:textId="35A7F137" w:rsidR="00704829" w:rsidRPr="00AD55AA" w:rsidRDefault="001320CB" w:rsidP="00C82F24">
            <w:pPr>
              <w:widowControl w:val="0"/>
              <w:autoSpaceDE w:val="0"/>
              <w:autoSpaceDN w:val="0"/>
              <w:adjustRightInd w:val="0"/>
              <w:rPr>
                <w:sz w:val="22"/>
                <w:szCs w:val="22"/>
              </w:rPr>
            </w:pPr>
            <w:bookmarkStart w:id="13" w:name="_Hlk92981387"/>
            <w:r w:rsidRPr="00AD55AA">
              <w:rPr>
                <w:b/>
                <w:sz w:val="22"/>
                <w:szCs w:val="22"/>
              </w:rPr>
              <w:t xml:space="preserve">Table </w:t>
            </w:r>
            <w:r w:rsidR="00C82F24">
              <w:rPr>
                <w:b/>
                <w:sz w:val="22"/>
                <w:szCs w:val="22"/>
              </w:rPr>
              <w:t>15</w:t>
            </w:r>
          </w:p>
        </w:tc>
        <w:tc>
          <w:tcPr>
            <w:tcW w:w="0" w:type="auto"/>
            <w:gridSpan w:val="2"/>
            <w:tcBorders>
              <w:left w:val="nil"/>
              <w:right w:val="nil"/>
            </w:tcBorders>
          </w:tcPr>
          <w:p w14:paraId="5054B1A8" w14:textId="77777777" w:rsidR="00704829" w:rsidRPr="00AD55AA" w:rsidRDefault="00704829" w:rsidP="00AB6C46">
            <w:pPr>
              <w:widowControl w:val="0"/>
              <w:autoSpaceDE w:val="0"/>
              <w:autoSpaceDN w:val="0"/>
              <w:adjustRightInd w:val="0"/>
              <w:jc w:val="center"/>
              <w:rPr>
                <w:sz w:val="22"/>
                <w:szCs w:val="22"/>
              </w:rPr>
            </w:pPr>
          </w:p>
        </w:tc>
        <w:tc>
          <w:tcPr>
            <w:tcW w:w="0" w:type="auto"/>
            <w:gridSpan w:val="2"/>
            <w:tcBorders>
              <w:left w:val="nil"/>
              <w:right w:val="nil"/>
            </w:tcBorders>
          </w:tcPr>
          <w:p w14:paraId="5C30531F" w14:textId="77777777" w:rsidR="00704829" w:rsidRPr="00AD55AA" w:rsidRDefault="00704829" w:rsidP="00AB6C46">
            <w:pPr>
              <w:widowControl w:val="0"/>
              <w:autoSpaceDE w:val="0"/>
              <w:autoSpaceDN w:val="0"/>
              <w:adjustRightInd w:val="0"/>
              <w:jc w:val="center"/>
              <w:rPr>
                <w:sz w:val="22"/>
                <w:szCs w:val="22"/>
              </w:rPr>
            </w:pPr>
          </w:p>
        </w:tc>
        <w:tc>
          <w:tcPr>
            <w:tcW w:w="0" w:type="auto"/>
            <w:tcBorders>
              <w:left w:val="nil"/>
              <w:right w:val="nil"/>
            </w:tcBorders>
          </w:tcPr>
          <w:p w14:paraId="44F1A4FA" w14:textId="77777777" w:rsidR="00704829" w:rsidRPr="00AD55AA" w:rsidRDefault="00704829" w:rsidP="00AB6C46">
            <w:pPr>
              <w:widowControl w:val="0"/>
              <w:autoSpaceDE w:val="0"/>
              <w:autoSpaceDN w:val="0"/>
              <w:adjustRightInd w:val="0"/>
              <w:jc w:val="center"/>
              <w:rPr>
                <w:sz w:val="22"/>
                <w:szCs w:val="22"/>
              </w:rPr>
            </w:pPr>
          </w:p>
        </w:tc>
      </w:tr>
      <w:tr w:rsidR="00704829" w:rsidRPr="00AD55AA" w14:paraId="669F1710" w14:textId="77777777" w:rsidTr="00AB6C46">
        <w:trPr>
          <w:jc w:val="center"/>
        </w:trPr>
        <w:tc>
          <w:tcPr>
            <w:tcW w:w="0" w:type="auto"/>
            <w:gridSpan w:val="7"/>
            <w:tcBorders>
              <w:left w:val="nil"/>
              <w:right w:val="nil"/>
            </w:tcBorders>
          </w:tcPr>
          <w:p w14:paraId="5876F4ED" w14:textId="6AF227FD" w:rsidR="00704829" w:rsidRPr="00AD55AA" w:rsidRDefault="00704829" w:rsidP="00AB6C46">
            <w:pPr>
              <w:widowControl w:val="0"/>
              <w:autoSpaceDE w:val="0"/>
              <w:autoSpaceDN w:val="0"/>
              <w:adjustRightInd w:val="0"/>
              <w:rPr>
                <w:sz w:val="22"/>
                <w:szCs w:val="22"/>
              </w:rPr>
            </w:pPr>
            <w:r w:rsidRPr="00AD55AA">
              <w:rPr>
                <w:b/>
                <w:sz w:val="22"/>
                <w:szCs w:val="22"/>
              </w:rPr>
              <w:t xml:space="preserve">Length </w:t>
            </w:r>
            <w:r w:rsidR="003171AC" w:rsidRPr="00AD55AA">
              <w:rPr>
                <w:b/>
                <w:sz w:val="22"/>
                <w:szCs w:val="22"/>
              </w:rPr>
              <w:t xml:space="preserve">of </w:t>
            </w:r>
            <w:r w:rsidR="00DC04D0" w:rsidRPr="00AD55AA">
              <w:rPr>
                <w:b/>
                <w:sz w:val="22"/>
                <w:szCs w:val="22"/>
              </w:rPr>
              <w:t xml:space="preserve">the </w:t>
            </w:r>
            <w:r w:rsidR="00D819EE">
              <w:rPr>
                <w:b/>
                <w:sz w:val="22"/>
                <w:szCs w:val="22"/>
              </w:rPr>
              <w:t>t</w:t>
            </w:r>
            <w:r w:rsidRPr="00AD55AA">
              <w:rPr>
                <w:b/>
                <w:sz w:val="22"/>
                <w:szCs w:val="22"/>
              </w:rPr>
              <w:t xml:space="preserve">reatment </w:t>
            </w:r>
            <w:r w:rsidR="00D819EE">
              <w:rPr>
                <w:b/>
                <w:sz w:val="22"/>
                <w:szCs w:val="22"/>
              </w:rPr>
              <w:t>e</w:t>
            </w:r>
            <w:r w:rsidRPr="00AD55AA">
              <w:rPr>
                <w:b/>
                <w:sz w:val="22"/>
                <w:szCs w:val="22"/>
              </w:rPr>
              <w:t>ffect</w:t>
            </w:r>
          </w:p>
        </w:tc>
      </w:tr>
      <w:tr w:rsidR="00704829" w:rsidRPr="00AD55AA" w14:paraId="6519C014" w14:textId="77777777" w:rsidTr="00AB6C46">
        <w:trPr>
          <w:jc w:val="center"/>
        </w:trPr>
        <w:tc>
          <w:tcPr>
            <w:tcW w:w="0" w:type="auto"/>
            <w:gridSpan w:val="7"/>
            <w:tcBorders>
              <w:left w:val="nil"/>
              <w:right w:val="nil"/>
            </w:tcBorders>
          </w:tcPr>
          <w:p w14:paraId="0BAC1E79" w14:textId="77777777" w:rsidR="00704829" w:rsidRPr="00AD55AA" w:rsidRDefault="00704829" w:rsidP="00AB6C46">
            <w:pPr>
              <w:widowControl w:val="0"/>
              <w:autoSpaceDE w:val="0"/>
              <w:autoSpaceDN w:val="0"/>
              <w:adjustRightInd w:val="0"/>
              <w:jc w:val="both"/>
              <w:rPr>
                <w:sz w:val="22"/>
                <w:szCs w:val="22"/>
              </w:rPr>
            </w:pPr>
          </w:p>
        </w:tc>
      </w:tr>
      <w:tr w:rsidR="00704829" w:rsidRPr="00AD55AA" w14:paraId="790FF2B4" w14:textId="77777777" w:rsidTr="00AB6C46">
        <w:trPr>
          <w:jc w:val="center"/>
        </w:trPr>
        <w:tc>
          <w:tcPr>
            <w:tcW w:w="0" w:type="auto"/>
            <w:tcBorders>
              <w:top w:val="single" w:sz="4" w:space="0" w:color="auto"/>
              <w:left w:val="nil"/>
              <w:right w:val="nil"/>
            </w:tcBorders>
          </w:tcPr>
          <w:p w14:paraId="27EA9AFB" w14:textId="77777777" w:rsidR="00704829" w:rsidRPr="00AD55AA" w:rsidRDefault="00704829" w:rsidP="00AB6C46">
            <w:pPr>
              <w:widowControl w:val="0"/>
              <w:autoSpaceDE w:val="0"/>
              <w:autoSpaceDN w:val="0"/>
              <w:adjustRightInd w:val="0"/>
              <w:rPr>
                <w:sz w:val="22"/>
                <w:szCs w:val="22"/>
              </w:rPr>
            </w:pPr>
          </w:p>
        </w:tc>
        <w:tc>
          <w:tcPr>
            <w:tcW w:w="0" w:type="auto"/>
            <w:tcBorders>
              <w:top w:val="single" w:sz="4" w:space="0" w:color="auto"/>
              <w:left w:val="nil"/>
              <w:right w:val="nil"/>
            </w:tcBorders>
          </w:tcPr>
          <w:p w14:paraId="6E484F3F"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single" w:sz="4" w:space="0" w:color="auto"/>
              <w:left w:val="nil"/>
              <w:right w:val="nil"/>
            </w:tcBorders>
          </w:tcPr>
          <w:p w14:paraId="67150956" w14:textId="77777777" w:rsidR="00704829" w:rsidRPr="00AD55AA" w:rsidRDefault="00704829" w:rsidP="00AB6C46">
            <w:pPr>
              <w:widowControl w:val="0"/>
              <w:autoSpaceDE w:val="0"/>
              <w:autoSpaceDN w:val="0"/>
              <w:adjustRightInd w:val="0"/>
              <w:jc w:val="center"/>
              <w:rPr>
                <w:sz w:val="22"/>
                <w:szCs w:val="22"/>
              </w:rPr>
            </w:pPr>
          </w:p>
        </w:tc>
        <w:tc>
          <w:tcPr>
            <w:tcW w:w="0" w:type="auto"/>
            <w:gridSpan w:val="4"/>
            <w:tcBorders>
              <w:top w:val="single" w:sz="4" w:space="0" w:color="auto"/>
              <w:left w:val="nil"/>
              <w:right w:val="nil"/>
            </w:tcBorders>
          </w:tcPr>
          <w:p w14:paraId="2D142659"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Capex</w:t>
            </w:r>
          </w:p>
        </w:tc>
      </w:tr>
      <w:tr w:rsidR="00704829" w:rsidRPr="00AD55AA" w14:paraId="74D06A16" w14:textId="77777777" w:rsidTr="00AB6C46">
        <w:trPr>
          <w:jc w:val="center"/>
        </w:trPr>
        <w:tc>
          <w:tcPr>
            <w:tcW w:w="0" w:type="auto"/>
            <w:tcBorders>
              <w:left w:val="nil"/>
              <w:bottom w:val="single" w:sz="6" w:space="0" w:color="auto"/>
              <w:right w:val="nil"/>
            </w:tcBorders>
          </w:tcPr>
          <w:p w14:paraId="73DEE371" w14:textId="77777777" w:rsidR="00704829" w:rsidRPr="00AD55AA" w:rsidRDefault="00704829" w:rsidP="00AB6C46">
            <w:pPr>
              <w:widowControl w:val="0"/>
              <w:autoSpaceDE w:val="0"/>
              <w:autoSpaceDN w:val="0"/>
              <w:adjustRightInd w:val="0"/>
              <w:rPr>
                <w:sz w:val="22"/>
                <w:szCs w:val="22"/>
              </w:rPr>
            </w:pPr>
            <w:r w:rsidRPr="00AD55AA">
              <w:rPr>
                <w:sz w:val="22"/>
                <w:szCs w:val="22"/>
              </w:rPr>
              <w:t>Variable:</w:t>
            </w:r>
          </w:p>
        </w:tc>
        <w:tc>
          <w:tcPr>
            <w:tcW w:w="0" w:type="auto"/>
            <w:tcBorders>
              <w:left w:val="nil"/>
              <w:bottom w:val="single" w:sz="6" w:space="0" w:color="auto"/>
              <w:right w:val="nil"/>
            </w:tcBorders>
          </w:tcPr>
          <w:p w14:paraId="48C85039" w14:textId="77777777" w:rsidR="00704829" w:rsidRPr="00AD55AA" w:rsidRDefault="00704829" w:rsidP="00AB6C46">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47BA8362" w14:textId="77777777" w:rsidR="00704829" w:rsidRPr="00AD55AA" w:rsidRDefault="00704829" w:rsidP="00AB6C46">
            <w:pPr>
              <w:widowControl w:val="0"/>
              <w:autoSpaceDE w:val="0"/>
              <w:autoSpaceDN w:val="0"/>
              <w:adjustRightInd w:val="0"/>
              <w:jc w:val="center"/>
              <w:rPr>
                <w:sz w:val="22"/>
                <w:szCs w:val="22"/>
              </w:rPr>
            </w:pPr>
          </w:p>
        </w:tc>
        <w:tc>
          <w:tcPr>
            <w:tcW w:w="0" w:type="auto"/>
            <w:tcBorders>
              <w:left w:val="nil"/>
              <w:bottom w:val="single" w:sz="6" w:space="0" w:color="auto"/>
              <w:right w:val="nil"/>
            </w:tcBorders>
          </w:tcPr>
          <w:p w14:paraId="594F16EC"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(1)</w:t>
            </w:r>
          </w:p>
        </w:tc>
        <w:tc>
          <w:tcPr>
            <w:tcW w:w="0" w:type="auto"/>
            <w:tcBorders>
              <w:left w:val="nil"/>
              <w:bottom w:val="single" w:sz="6" w:space="0" w:color="auto"/>
              <w:right w:val="nil"/>
            </w:tcBorders>
          </w:tcPr>
          <w:p w14:paraId="4A2F5126"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(2)</w:t>
            </w:r>
          </w:p>
        </w:tc>
        <w:tc>
          <w:tcPr>
            <w:tcW w:w="0" w:type="auto"/>
            <w:tcBorders>
              <w:left w:val="nil"/>
              <w:bottom w:val="single" w:sz="6" w:space="0" w:color="auto"/>
              <w:right w:val="nil"/>
            </w:tcBorders>
          </w:tcPr>
          <w:p w14:paraId="1448EA7C"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(3)</w:t>
            </w:r>
          </w:p>
        </w:tc>
        <w:tc>
          <w:tcPr>
            <w:tcW w:w="0" w:type="auto"/>
            <w:tcBorders>
              <w:left w:val="nil"/>
              <w:bottom w:val="single" w:sz="6" w:space="0" w:color="auto"/>
              <w:right w:val="nil"/>
            </w:tcBorders>
          </w:tcPr>
          <w:p w14:paraId="4C585C0E"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(4)</w:t>
            </w:r>
          </w:p>
        </w:tc>
      </w:tr>
      <w:tr w:rsidR="00704829" w:rsidRPr="00AD55AA" w14:paraId="5A203269" w14:textId="77777777" w:rsidTr="00AB6C46">
        <w:trPr>
          <w:jc w:val="center"/>
        </w:trPr>
        <w:tc>
          <w:tcPr>
            <w:tcW w:w="0" w:type="auto"/>
            <w:tcBorders>
              <w:top w:val="nil"/>
              <w:left w:val="nil"/>
              <w:bottom w:val="nil"/>
              <w:right w:val="nil"/>
            </w:tcBorders>
          </w:tcPr>
          <w:p w14:paraId="7A82C87F" w14:textId="77777777" w:rsidR="00704829" w:rsidRPr="00AD55AA" w:rsidRDefault="00704829" w:rsidP="00AB6C46">
            <w:pPr>
              <w:widowControl w:val="0"/>
              <w:autoSpaceDE w:val="0"/>
              <w:autoSpaceDN w:val="0"/>
              <w:adjustRightInd w:val="0"/>
              <w:rPr>
                <w:sz w:val="22"/>
                <w:szCs w:val="22"/>
              </w:rPr>
            </w:pPr>
          </w:p>
        </w:tc>
        <w:tc>
          <w:tcPr>
            <w:tcW w:w="0" w:type="auto"/>
            <w:tcBorders>
              <w:top w:val="nil"/>
              <w:left w:val="nil"/>
              <w:bottom w:val="nil"/>
              <w:right w:val="nil"/>
            </w:tcBorders>
          </w:tcPr>
          <w:p w14:paraId="0652AFBE"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2D2CCC63" w14:textId="77777777" w:rsidR="00704829" w:rsidRPr="00AD55AA" w:rsidRDefault="00704829" w:rsidP="00AB6C46">
            <w:pPr>
              <w:widowControl w:val="0"/>
              <w:autoSpaceDE w:val="0"/>
              <w:autoSpaceDN w:val="0"/>
              <w:adjustRightInd w:val="0"/>
              <w:jc w:val="center"/>
              <w:rPr>
                <w:b/>
                <w:bCs/>
                <w:sz w:val="22"/>
                <w:szCs w:val="22"/>
              </w:rPr>
            </w:pPr>
          </w:p>
        </w:tc>
        <w:tc>
          <w:tcPr>
            <w:tcW w:w="0" w:type="auto"/>
            <w:tcBorders>
              <w:top w:val="nil"/>
              <w:left w:val="nil"/>
              <w:bottom w:val="nil"/>
              <w:right w:val="nil"/>
            </w:tcBorders>
          </w:tcPr>
          <w:p w14:paraId="2AA9CCEE"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4F278D91"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3B6EDBFA"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26F9D9AB" w14:textId="77777777" w:rsidR="00704829" w:rsidRPr="00AD55AA" w:rsidRDefault="00704829" w:rsidP="00AB6C46">
            <w:pPr>
              <w:widowControl w:val="0"/>
              <w:autoSpaceDE w:val="0"/>
              <w:autoSpaceDN w:val="0"/>
              <w:adjustRightInd w:val="0"/>
              <w:jc w:val="center"/>
              <w:rPr>
                <w:sz w:val="22"/>
                <w:szCs w:val="22"/>
              </w:rPr>
            </w:pPr>
          </w:p>
        </w:tc>
      </w:tr>
      <w:tr w:rsidR="00165583" w:rsidRPr="00AD55AA" w14:paraId="5A3FFC29" w14:textId="77777777" w:rsidTr="00AB6C46">
        <w:trPr>
          <w:jc w:val="center"/>
        </w:trPr>
        <w:tc>
          <w:tcPr>
            <w:tcW w:w="0" w:type="auto"/>
            <w:tcBorders>
              <w:top w:val="nil"/>
              <w:left w:val="nil"/>
              <w:bottom w:val="nil"/>
              <w:right w:val="nil"/>
            </w:tcBorders>
          </w:tcPr>
          <w:p w14:paraId="203AD650" w14:textId="69B1E254" w:rsidR="00165583" w:rsidRPr="00AD55AA" w:rsidRDefault="00165583" w:rsidP="00165583">
            <w:pPr>
              <w:widowControl w:val="0"/>
              <w:autoSpaceDE w:val="0"/>
              <w:autoSpaceDN w:val="0"/>
              <w:adjustRightInd w:val="0"/>
              <w:rPr>
                <w:rFonts w:ascii="Cambria Math" w:hAnsi="Cambria Math"/>
                <w:i/>
                <w:sz w:val="22"/>
                <w:szCs w:val="22"/>
              </w:rPr>
            </w:pPr>
            <w:r w:rsidRPr="00AD55AA">
              <w:rPr>
                <w:sz w:val="22"/>
                <w:szCs w:val="22"/>
              </w:rPr>
              <w:t>CFIUS Block one year</w:t>
            </w:r>
            <w:r>
              <w:rPr>
                <w:sz w:val="22"/>
                <w:szCs w:val="22"/>
              </w:rPr>
              <w:t xml:space="preserve"> </w:t>
            </w:r>
          </w:p>
        </w:tc>
        <w:tc>
          <w:tcPr>
            <w:tcW w:w="0" w:type="auto"/>
            <w:tcBorders>
              <w:top w:val="nil"/>
              <w:left w:val="nil"/>
              <w:bottom w:val="nil"/>
              <w:right w:val="nil"/>
            </w:tcBorders>
          </w:tcPr>
          <w:p w14:paraId="0C3C91AF"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AAD9928"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40D937F2" w14:textId="5CD379CE" w:rsidR="00165583" w:rsidRPr="00AD55AA" w:rsidRDefault="00165583" w:rsidP="00165583">
            <w:pPr>
              <w:widowControl w:val="0"/>
              <w:autoSpaceDE w:val="0"/>
              <w:autoSpaceDN w:val="0"/>
              <w:adjustRightInd w:val="0"/>
              <w:jc w:val="center"/>
              <w:rPr>
                <w:sz w:val="22"/>
                <w:szCs w:val="22"/>
              </w:rPr>
            </w:pPr>
            <w:r w:rsidRPr="0097490D">
              <w:rPr>
                <w:sz w:val="22"/>
                <w:szCs w:val="22"/>
              </w:rPr>
              <w:t>-0.045***</w:t>
            </w:r>
          </w:p>
        </w:tc>
        <w:tc>
          <w:tcPr>
            <w:tcW w:w="0" w:type="auto"/>
            <w:tcBorders>
              <w:top w:val="nil"/>
              <w:left w:val="nil"/>
              <w:bottom w:val="nil"/>
              <w:right w:val="nil"/>
            </w:tcBorders>
          </w:tcPr>
          <w:p w14:paraId="68442364"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190EA36C"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1A035E2" w14:textId="77777777" w:rsidR="00165583" w:rsidRPr="00AD55AA" w:rsidRDefault="00165583" w:rsidP="00165583">
            <w:pPr>
              <w:widowControl w:val="0"/>
              <w:autoSpaceDE w:val="0"/>
              <w:autoSpaceDN w:val="0"/>
              <w:adjustRightInd w:val="0"/>
              <w:jc w:val="center"/>
              <w:rPr>
                <w:sz w:val="22"/>
                <w:szCs w:val="22"/>
              </w:rPr>
            </w:pPr>
          </w:p>
        </w:tc>
      </w:tr>
      <w:tr w:rsidR="00165583" w:rsidRPr="00AD55AA" w14:paraId="7CB5454B" w14:textId="77777777" w:rsidTr="00AB6C46">
        <w:trPr>
          <w:jc w:val="center"/>
        </w:trPr>
        <w:tc>
          <w:tcPr>
            <w:tcW w:w="0" w:type="auto"/>
            <w:tcBorders>
              <w:top w:val="nil"/>
              <w:left w:val="nil"/>
              <w:bottom w:val="nil"/>
              <w:right w:val="nil"/>
            </w:tcBorders>
          </w:tcPr>
          <w:p w14:paraId="63B9A1A9"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637BB865"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1C5DD907"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575BAF51" w14:textId="43247B96" w:rsidR="00165583" w:rsidRPr="00AD55AA" w:rsidRDefault="00165583" w:rsidP="00165583">
            <w:pPr>
              <w:widowControl w:val="0"/>
              <w:autoSpaceDE w:val="0"/>
              <w:autoSpaceDN w:val="0"/>
              <w:adjustRightInd w:val="0"/>
              <w:jc w:val="center"/>
              <w:rPr>
                <w:sz w:val="22"/>
                <w:szCs w:val="22"/>
              </w:rPr>
            </w:pPr>
            <w:r w:rsidRPr="0097490D">
              <w:rPr>
                <w:sz w:val="22"/>
                <w:szCs w:val="22"/>
              </w:rPr>
              <w:t>(-2.61)</w:t>
            </w:r>
          </w:p>
        </w:tc>
        <w:tc>
          <w:tcPr>
            <w:tcW w:w="0" w:type="auto"/>
            <w:tcBorders>
              <w:top w:val="nil"/>
              <w:left w:val="nil"/>
              <w:bottom w:val="nil"/>
              <w:right w:val="nil"/>
            </w:tcBorders>
          </w:tcPr>
          <w:p w14:paraId="7361A518"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4076E6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C2403DF" w14:textId="77777777" w:rsidR="00165583" w:rsidRPr="00AD55AA" w:rsidRDefault="00165583" w:rsidP="00165583">
            <w:pPr>
              <w:widowControl w:val="0"/>
              <w:autoSpaceDE w:val="0"/>
              <w:autoSpaceDN w:val="0"/>
              <w:adjustRightInd w:val="0"/>
              <w:jc w:val="center"/>
              <w:rPr>
                <w:sz w:val="22"/>
                <w:szCs w:val="22"/>
              </w:rPr>
            </w:pPr>
          </w:p>
        </w:tc>
      </w:tr>
      <w:tr w:rsidR="00165583" w:rsidRPr="00AD55AA" w14:paraId="745350E1" w14:textId="77777777" w:rsidTr="00AB6C46">
        <w:trPr>
          <w:jc w:val="center"/>
        </w:trPr>
        <w:tc>
          <w:tcPr>
            <w:tcW w:w="0" w:type="auto"/>
            <w:tcBorders>
              <w:top w:val="nil"/>
              <w:left w:val="nil"/>
              <w:bottom w:val="nil"/>
              <w:right w:val="nil"/>
            </w:tcBorders>
          </w:tcPr>
          <w:p w14:paraId="513052CB" w14:textId="68449E35" w:rsidR="00165583" w:rsidRPr="00AD55AA" w:rsidRDefault="00165583" w:rsidP="00165583">
            <w:pPr>
              <w:widowControl w:val="0"/>
              <w:autoSpaceDE w:val="0"/>
              <w:autoSpaceDN w:val="0"/>
              <w:adjustRightInd w:val="0"/>
              <w:rPr>
                <w:sz w:val="22"/>
                <w:szCs w:val="22"/>
              </w:rPr>
            </w:pPr>
            <w:r w:rsidRPr="00AD55AA">
              <w:rPr>
                <w:sz w:val="22"/>
                <w:szCs w:val="22"/>
              </w:rPr>
              <w:t>CFIUS Block two years</w:t>
            </w:r>
            <w:r>
              <w:rPr>
                <w:sz w:val="22"/>
                <w:szCs w:val="22"/>
              </w:rPr>
              <w:t xml:space="preserve"> </w:t>
            </w:r>
          </w:p>
        </w:tc>
        <w:tc>
          <w:tcPr>
            <w:tcW w:w="0" w:type="auto"/>
            <w:tcBorders>
              <w:top w:val="nil"/>
              <w:left w:val="nil"/>
              <w:bottom w:val="nil"/>
              <w:right w:val="nil"/>
            </w:tcBorders>
          </w:tcPr>
          <w:p w14:paraId="45E51C06"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170E9B3"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3C2317F"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BF1BB31" w14:textId="1F9E73C7" w:rsidR="00165583" w:rsidRPr="00AD55AA" w:rsidRDefault="00165583" w:rsidP="00165583">
            <w:pPr>
              <w:widowControl w:val="0"/>
              <w:autoSpaceDE w:val="0"/>
              <w:autoSpaceDN w:val="0"/>
              <w:adjustRightInd w:val="0"/>
              <w:jc w:val="center"/>
              <w:rPr>
                <w:sz w:val="22"/>
                <w:szCs w:val="22"/>
              </w:rPr>
            </w:pPr>
            <w:r w:rsidRPr="0097490D">
              <w:rPr>
                <w:sz w:val="22"/>
                <w:szCs w:val="22"/>
              </w:rPr>
              <w:t>-0.088***</w:t>
            </w:r>
          </w:p>
        </w:tc>
        <w:tc>
          <w:tcPr>
            <w:tcW w:w="0" w:type="auto"/>
            <w:tcBorders>
              <w:top w:val="nil"/>
              <w:left w:val="nil"/>
              <w:bottom w:val="nil"/>
              <w:right w:val="nil"/>
            </w:tcBorders>
          </w:tcPr>
          <w:p w14:paraId="73A714E0"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BD8B98D" w14:textId="77777777" w:rsidR="00165583" w:rsidRPr="00AD55AA" w:rsidRDefault="00165583" w:rsidP="00165583">
            <w:pPr>
              <w:widowControl w:val="0"/>
              <w:autoSpaceDE w:val="0"/>
              <w:autoSpaceDN w:val="0"/>
              <w:adjustRightInd w:val="0"/>
              <w:jc w:val="center"/>
              <w:rPr>
                <w:sz w:val="22"/>
                <w:szCs w:val="22"/>
              </w:rPr>
            </w:pPr>
          </w:p>
        </w:tc>
      </w:tr>
      <w:tr w:rsidR="00165583" w:rsidRPr="00AD55AA" w14:paraId="618F1703" w14:textId="77777777" w:rsidTr="00AB6C46">
        <w:trPr>
          <w:jc w:val="center"/>
        </w:trPr>
        <w:tc>
          <w:tcPr>
            <w:tcW w:w="0" w:type="auto"/>
            <w:tcBorders>
              <w:top w:val="nil"/>
              <w:left w:val="nil"/>
              <w:bottom w:val="nil"/>
              <w:right w:val="nil"/>
            </w:tcBorders>
          </w:tcPr>
          <w:p w14:paraId="3B52AEEA"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6E0D257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9642E7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3583179"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496ED469" w14:textId="694A3DF4" w:rsidR="00165583" w:rsidRPr="00AD55AA" w:rsidRDefault="00165583" w:rsidP="00165583">
            <w:pPr>
              <w:widowControl w:val="0"/>
              <w:autoSpaceDE w:val="0"/>
              <w:autoSpaceDN w:val="0"/>
              <w:adjustRightInd w:val="0"/>
              <w:jc w:val="center"/>
              <w:rPr>
                <w:sz w:val="22"/>
                <w:szCs w:val="22"/>
              </w:rPr>
            </w:pPr>
            <w:r w:rsidRPr="0097490D">
              <w:rPr>
                <w:sz w:val="22"/>
                <w:szCs w:val="22"/>
              </w:rPr>
              <w:t>(-2.72)</w:t>
            </w:r>
          </w:p>
        </w:tc>
        <w:tc>
          <w:tcPr>
            <w:tcW w:w="0" w:type="auto"/>
            <w:tcBorders>
              <w:top w:val="nil"/>
              <w:left w:val="nil"/>
              <w:bottom w:val="nil"/>
              <w:right w:val="nil"/>
            </w:tcBorders>
          </w:tcPr>
          <w:p w14:paraId="3BD797BC"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58E4EE19" w14:textId="77777777" w:rsidR="00165583" w:rsidRPr="00AD55AA" w:rsidRDefault="00165583" w:rsidP="00165583">
            <w:pPr>
              <w:widowControl w:val="0"/>
              <w:autoSpaceDE w:val="0"/>
              <w:autoSpaceDN w:val="0"/>
              <w:adjustRightInd w:val="0"/>
              <w:jc w:val="center"/>
              <w:rPr>
                <w:sz w:val="22"/>
                <w:szCs w:val="22"/>
              </w:rPr>
            </w:pPr>
          </w:p>
        </w:tc>
      </w:tr>
      <w:tr w:rsidR="00165583" w:rsidRPr="00AD55AA" w14:paraId="08D73904" w14:textId="77777777" w:rsidTr="00AB6C46">
        <w:trPr>
          <w:jc w:val="center"/>
        </w:trPr>
        <w:tc>
          <w:tcPr>
            <w:tcW w:w="0" w:type="auto"/>
            <w:tcBorders>
              <w:top w:val="nil"/>
              <w:left w:val="nil"/>
              <w:bottom w:val="nil"/>
              <w:right w:val="nil"/>
            </w:tcBorders>
          </w:tcPr>
          <w:p w14:paraId="4972B770" w14:textId="2B765476" w:rsidR="00165583" w:rsidRPr="00AD55AA" w:rsidRDefault="00165583" w:rsidP="00165583">
            <w:pPr>
              <w:widowControl w:val="0"/>
              <w:autoSpaceDE w:val="0"/>
              <w:autoSpaceDN w:val="0"/>
              <w:adjustRightInd w:val="0"/>
              <w:rPr>
                <w:sz w:val="22"/>
                <w:szCs w:val="22"/>
              </w:rPr>
            </w:pPr>
            <w:r w:rsidRPr="00AD55AA">
              <w:rPr>
                <w:sz w:val="22"/>
                <w:szCs w:val="22"/>
              </w:rPr>
              <w:t>CFIUS Block three years</w:t>
            </w:r>
            <w:r>
              <w:rPr>
                <w:sz w:val="22"/>
                <w:szCs w:val="22"/>
              </w:rPr>
              <w:t xml:space="preserve"> </w:t>
            </w:r>
          </w:p>
        </w:tc>
        <w:tc>
          <w:tcPr>
            <w:tcW w:w="0" w:type="auto"/>
            <w:tcBorders>
              <w:top w:val="nil"/>
              <w:left w:val="nil"/>
              <w:bottom w:val="nil"/>
              <w:right w:val="nil"/>
            </w:tcBorders>
          </w:tcPr>
          <w:p w14:paraId="50F42C5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4256BC1C"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147B4D39"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594E4F62"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C484DFA" w14:textId="5354B6FD" w:rsidR="00165583" w:rsidRPr="00AD55AA" w:rsidRDefault="00165583" w:rsidP="00165583">
            <w:pPr>
              <w:widowControl w:val="0"/>
              <w:autoSpaceDE w:val="0"/>
              <w:autoSpaceDN w:val="0"/>
              <w:adjustRightInd w:val="0"/>
              <w:jc w:val="center"/>
              <w:rPr>
                <w:sz w:val="22"/>
                <w:szCs w:val="22"/>
              </w:rPr>
            </w:pPr>
            <w:r w:rsidRPr="0097490D">
              <w:rPr>
                <w:sz w:val="22"/>
                <w:szCs w:val="22"/>
              </w:rPr>
              <w:t>-0.076**</w:t>
            </w:r>
          </w:p>
        </w:tc>
        <w:tc>
          <w:tcPr>
            <w:tcW w:w="0" w:type="auto"/>
            <w:tcBorders>
              <w:top w:val="nil"/>
              <w:left w:val="nil"/>
              <w:bottom w:val="nil"/>
              <w:right w:val="nil"/>
            </w:tcBorders>
          </w:tcPr>
          <w:p w14:paraId="6CE42E75" w14:textId="77777777" w:rsidR="00165583" w:rsidRPr="00AD55AA" w:rsidRDefault="00165583" w:rsidP="00165583">
            <w:pPr>
              <w:widowControl w:val="0"/>
              <w:autoSpaceDE w:val="0"/>
              <w:autoSpaceDN w:val="0"/>
              <w:adjustRightInd w:val="0"/>
              <w:jc w:val="center"/>
              <w:rPr>
                <w:sz w:val="22"/>
                <w:szCs w:val="22"/>
              </w:rPr>
            </w:pPr>
          </w:p>
        </w:tc>
      </w:tr>
      <w:tr w:rsidR="00165583" w:rsidRPr="00AD55AA" w14:paraId="61BA609E" w14:textId="77777777" w:rsidTr="00AB6C46">
        <w:trPr>
          <w:jc w:val="center"/>
        </w:trPr>
        <w:tc>
          <w:tcPr>
            <w:tcW w:w="0" w:type="auto"/>
            <w:tcBorders>
              <w:top w:val="nil"/>
              <w:left w:val="nil"/>
              <w:bottom w:val="nil"/>
              <w:right w:val="nil"/>
            </w:tcBorders>
          </w:tcPr>
          <w:p w14:paraId="43B30154"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4546DA2B"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4A2C779E"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6F5B3A1"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3AF8E90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7A116F16" w14:textId="465960D6" w:rsidR="00165583" w:rsidRPr="00AD55AA" w:rsidRDefault="00165583" w:rsidP="00165583">
            <w:pPr>
              <w:widowControl w:val="0"/>
              <w:autoSpaceDE w:val="0"/>
              <w:autoSpaceDN w:val="0"/>
              <w:adjustRightInd w:val="0"/>
              <w:jc w:val="center"/>
              <w:rPr>
                <w:sz w:val="22"/>
                <w:szCs w:val="22"/>
              </w:rPr>
            </w:pPr>
            <w:r w:rsidRPr="0097490D">
              <w:rPr>
                <w:sz w:val="22"/>
                <w:szCs w:val="22"/>
              </w:rPr>
              <w:t>(-2.44)</w:t>
            </w:r>
          </w:p>
        </w:tc>
        <w:tc>
          <w:tcPr>
            <w:tcW w:w="0" w:type="auto"/>
            <w:tcBorders>
              <w:top w:val="nil"/>
              <w:left w:val="nil"/>
              <w:bottom w:val="nil"/>
              <w:right w:val="nil"/>
            </w:tcBorders>
          </w:tcPr>
          <w:p w14:paraId="09DF9741" w14:textId="77777777" w:rsidR="00165583" w:rsidRPr="00AD55AA" w:rsidRDefault="00165583" w:rsidP="00165583">
            <w:pPr>
              <w:widowControl w:val="0"/>
              <w:autoSpaceDE w:val="0"/>
              <w:autoSpaceDN w:val="0"/>
              <w:adjustRightInd w:val="0"/>
              <w:jc w:val="center"/>
              <w:rPr>
                <w:sz w:val="22"/>
                <w:szCs w:val="22"/>
              </w:rPr>
            </w:pPr>
          </w:p>
        </w:tc>
      </w:tr>
      <w:tr w:rsidR="00165583" w:rsidRPr="00AD55AA" w14:paraId="64D4FB7E" w14:textId="77777777" w:rsidTr="00AB6C46">
        <w:trPr>
          <w:jc w:val="center"/>
        </w:trPr>
        <w:tc>
          <w:tcPr>
            <w:tcW w:w="0" w:type="auto"/>
            <w:tcBorders>
              <w:top w:val="nil"/>
              <w:left w:val="nil"/>
              <w:bottom w:val="nil"/>
              <w:right w:val="nil"/>
            </w:tcBorders>
          </w:tcPr>
          <w:p w14:paraId="46197C98" w14:textId="7592FA59" w:rsidR="00165583" w:rsidRPr="00AD55AA" w:rsidRDefault="00165583" w:rsidP="00165583">
            <w:pPr>
              <w:widowControl w:val="0"/>
              <w:autoSpaceDE w:val="0"/>
              <w:autoSpaceDN w:val="0"/>
              <w:adjustRightInd w:val="0"/>
              <w:rPr>
                <w:sz w:val="22"/>
                <w:szCs w:val="22"/>
              </w:rPr>
            </w:pPr>
            <w:r w:rsidRPr="00AD55AA">
              <w:rPr>
                <w:sz w:val="22"/>
                <w:szCs w:val="22"/>
              </w:rPr>
              <w:t>CFIUS Block four years</w:t>
            </w:r>
            <w:r>
              <w:rPr>
                <w:sz w:val="22"/>
                <w:szCs w:val="22"/>
              </w:rPr>
              <w:t xml:space="preserve"> </w:t>
            </w:r>
          </w:p>
        </w:tc>
        <w:tc>
          <w:tcPr>
            <w:tcW w:w="0" w:type="auto"/>
            <w:tcBorders>
              <w:top w:val="nil"/>
              <w:left w:val="nil"/>
              <w:bottom w:val="nil"/>
              <w:right w:val="nil"/>
            </w:tcBorders>
          </w:tcPr>
          <w:p w14:paraId="5ACD9BF9"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1CE5879C"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C903195"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32CAE6AA"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CFFD0D0"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CFA9938" w14:textId="7F23509F" w:rsidR="00165583" w:rsidRPr="00AD55AA" w:rsidRDefault="00165583" w:rsidP="00165583">
            <w:pPr>
              <w:widowControl w:val="0"/>
              <w:autoSpaceDE w:val="0"/>
              <w:autoSpaceDN w:val="0"/>
              <w:adjustRightInd w:val="0"/>
              <w:jc w:val="center"/>
              <w:rPr>
                <w:sz w:val="22"/>
                <w:szCs w:val="22"/>
              </w:rPr>
            </w:pPr>
            <w:r w:rsidRPr="0097490D">
              <w:rPr>
                <w:sz w:val="22"/>
                <w:szCs w:val="22"/>
              </w:rPr>
              <w:t>-0.072**</w:t>
            </w:r>
          </w:p>
        </w:tc>
      </w:tr>
      <w:tr w:rsidR="00165583" w:rsidRPr="00AD55AA" w14:paraId="04B4D924" w14:textId="77777777" w:rsidTr="00AB6C46">
        <w:trPr>
          <w:jc w:val="center"/>
        </w:trPr>
        <w:tc>
          <w:tcPr>
            <w:tcW w:w="0" w:type="auto"/>
            <w:tcBorders>
              <w:top w:val="nil"/>
              <w:left w:val="nil"/>
              <w:bottom w:val="nil"/>
              <w:right w:val="nil"/>
            </w:tcBorders>
          </w:tcPr>
          <w:p w14:paraId="59C0FE3E"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5BE678D2"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33B60A80"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9BD8DCA"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7F56E8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D9EEDD8"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5172A0C" w14:textId="05073CF6" w:rsidR="00165583" w:rsidRPr="00AD55AA" w:rsidRDefault="00165583" w:rsidP="00165583">
            <w:pPr>
              <w:widowControl w:val="0"/>
              <w:autoSpaceDE w:val="0"/>
              <w:autoSpaceDN w:val="0"/>
              <w:adjustRightInd w:val="0"/>
              <w:jc w:val="center"/>
              <w:rPr>
                <w:sz w:val="22"/>
                <w:szCs w:val="22"/>
              </w:rPr>
            </w:pPr>
            <w:r w:rsidRPr="0097490D">
              <w:rPr>
                <w:sz w:val="22"/>
                <w:szCs w:val="22"/>
              </w:rPr>
              <w:t>(-2.43)</w:t>
            </w:r>
          </w:p>
        </w:tc>
      </w:tr>
      <w:tr w:rsidR="00165583" w:rsidRPr="00AD55AA" w14:paraId="42657CE5" w14:textId="77777777" w:rsidTr="00AB6C46">
        <w:trPr>
          <w:jc w:val="center"/>
        </w:trPr>
        <w:tc>
          <w:tcPr>
            <w:tcW w:w="0" w:type="auto"/>
            <w:tcBorders>
              <w:top w:val="nil"/>
              <w:left w:val="nil"/>
              <w:bottom w:val="nil"/>
              <w:right w:val="nil"/>
            </w:tcBorders>
          </w:tcPr>
          <w:p w14:paraId="28FAF832" w14:textId="0F4EBEC1" w:rsidR="00165583" w:rsidRPr="00AD55AA" w:rsidRDefault="00165583" w:rsidP="00165583">
            <w:pPr>
              <w:widowControl w:val="0"/>
              <w:autoSpaceDE w:val="0"/>
              <w:autoSpaceDN w:val="0"/>
              <w:adjustRightInd w:val="0"/>
              <w:rPr>
                <w:sz w:val="22"/>
                <w:szCs w:val="22"/>
              </w:rPr>
            </w:pPr>
            <w:r w:rsidRPr="00AD55AA">
              <w:rPr>
                <w:sz w:val="22"/>
                <w:szCs w:val="22"/>
              </w:rPr>
              <w:t>Cash flow</w:t>
            </w:r>
            <w:r>
              <w:rPr>
                <w:sz w:val="22"/>
                <w:szCs w:val="22"/>
              </w:rPr>
              <w:t xml:space="preserve"> </w:t>
            </w:r>
          </w:p>
        </w:tc>
        <w:tc>
          <w:tcPr>
            <w:tcW w:w="0" w:type="auto"/>
            <w:tcBorders>
              <w:top w:val="nil"/>
              <w:left w:val="nil"/>
              <w:bottom w:val="nil"/>
              <w:right w:val="nil"/>
            </w:tcBorders>
          </w:tcPr>
          <w:p w14:paraId="3F105FE5"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723BA3D6"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75094C2A" w14:textId="6723A9A5" w:rsidR="00165583" w:rsidRPr="00AD55AA" w:rsidRDefault="00165583" w:rsidP="00165583">
            <w:pPr>
              <w:widowControl w:val="0"/>
              <w:autoSpaceDE w:val="0"/>
              <w:autoSpaceDN w:val="0"/>
              <w:adjustRightInd w:val="0"/>
              <w:jc w:val="center"/>
              <w:rPr>
                <w:sz w:val="22"/>
                <w:szCs w:val="22"/>
              </w:rPr>
            </w:pPr>
            <w:r w:rsidRPr="0097490D">
              <w:rPr>
                <w:sz w:val="22"/>
                <w:szCs w:val="22"/>
              </w:rPr>
              <w:t>0.160***</w:t>
            </w:r>
          </w:p>
        </w:tc>
        <w:tc>
          <w:tcPr>
            <w:tcW w:w="0" w:type="auto"/>
            <w:tcBorders>
              <w:top w:val="nil"/>
              <w:left w:val="nil"/>
              <w:bottom w:val="nil"/>
              <w:right w:val="nil"/>
            </w:tcBorders>
          </w:tcPr>
          <w:p w14:paraId="00BBD82E" w14:textId="7502AFD1" w:rsidR="00165583" w:rsidRPr="00AD55AA" w:rsidRDefault="00165583" w:rsidP="00165583">
            <w:pPr>
              <w:widowControl w:val="0"/>
              <w:autoSpaceDE w:val="0"/>
              <w:autoSpaceDN w:val="0"/>
              <w:adjustRightInd w:val="0"/>
              <w:jc w:val="center"/>
              <w:rPr>
                <w:sz w:val="22"/>
                <w:szCs w:val="22"/>
              </w:rPr>
            </w:pPr>
            <w:r w:rsidRPr="0097490D">
              <w:rPr>
                <w:sz w:val="22"/>
                <w:szCs w:val="22"/>
              </w:rPr>
              <w:t>0.160***</w:t>
            </w:r>
          </w:p>
        </w:tc>
        <w:tc>
          <w:tcPr>
            <w:tcW w:w="0" w:type="auto"/>
            <w:tcBorders>
              <w:top w:val="nil"/>
              <w:left w:val="nil"/>
              <w:bottom w:val="nil"/>
              <w:right w:val="nil"/>
            </w:tcBorders>
          </w:tcPr>
          <w:p w14:paraId="416105FF" w14:textId="7572E51A" w:rsidR="00165583" w:rsidRPr="00AD55AA" w:rsidRDefault="00165583" w:rsidP="00165583">
            <w:pPr>
              <w:widowControl w:val="0"/>
              <w:autoSpaceDE w:val="0"/>
              <w:autoSpaceDN w:val="0"/>
              <w:adjustRightInd w:val="0"/>
              <w:jc w:val="center"/>
              <w:rPr>
                <w:sz w:val="22"/>
                <w:szCs w:val="22"/>
              </w:rPr>
            </w:pPr>
            <w:r w:rsidRPr="0097490D">
              <w:rPr>
                <w:sz w:val="22"/>
                <w:szCs w:val="22"/>
              </w:rPr>
              <w:t>0.160***</w:t>
            </w:r>
          </w:p>
        </w:tc>
        <w:tc>
          <w:tcPr>
            <w:tcW w:w="0" w:type="auto"/>
            <w:tcBorders>
              <w:top w:val="nil"/>
              <w:left w:val="nil"/>
              <w:bottom w:val="nil"/>
              <w:right w:val="nil"/>
            </w:tcBorders>
          </w:tcPr>
          <w:p w14:paraId="422FE4B3" w14:textId="53CAD261" w:rsidR="00165583" w:rsidRPr="00AD55AA" w:rsidRDefault="00165583" w:rsidP="00165583">
            <w:pPr>
              <w:widowControl w:val="0"/>
              <w:autoSpaceDE w:val="0"/>
              <w:autoSpaceDN w:val="0"/>
              <w:adjustRightInd w:val="0"/>
              <w:jc w:val="center"/>
              <w:rPr>
                <w:sz w:val="22"/>
                <w:szCs w:val="22"/>
              </w:rPr>
            </w:pPr>
            <w:r w:rsidRPr="0097490D">
              <w:rPr>
                <w:sz w:val="22"/>
                <w:szCs w:val="22"/>
              </w:rPr>
              <w:t>0.160***</w:t>
            </w:r>
          </w:p>
        </w:tc>
      </w:tr>
      <w:tr w:rsidR="00165583" w:rsidRPr="00AD55AA" w14:paraId="788E8CC1" w14:textId="77777777" w:rsidTr="00AB6C46">
        <w:trPr>
          <w:jc w:val="center"/>
        </w:trPr>
        <w:tc>
          <w:tcPr>
            <w:tcW w:w="0" w:type="auto"/>
            <w:tcBorders>
              <w:top w:val="nil"/>
              <w:left w:val="nil"/>
              <w:bottom w:val="nil"/>
              <w:right w:val="nil"/>
            </w:tcBorders>
          </w:tcPr>
          <w:p w14:paraId="4A753D2D"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0EB8B4FA"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5F039530"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77F3F63" w14:textId="3987CF3E" w:rsidR="00165583" w:rsidRPr="00AD55AA" w:rsidRDefault="00165583" w:rsidP="00165583">
            <w:pPr>
              <w:widowControl w:val="0"/>
              <w:autoSpaceDE w:val="0"/>
              <w:autoSpaceDN w:val="0"/>
              <w:adjustRightInd w:val="0"/>
              <w:jc w:val="center"/>
              <w:rPr>
                <w:sz w:val="22"/>
                <w:szCs w:val="22"/>
              </w:rPr>
            </w:pPr>
            <w:r w:rsidRPr="0097490D">
              <w:rPr>
                <w:sz w:val="22"/>
                <w:szCs w:val="22"/>
              </w:rPr>
              <w:t>(4.62)</w:t>
            </w:r>
          </w:p>
        </w:tc>
        <w:tc>
          <w:tcPr>
            <w:tcW w:w="0" w:type="auto"/>
            <w:tcBorders>
              <w:top w:val="nil"/>
              <w:left w:val="nil"/>
              <w:bottom w:val="nil"/>
              <w:right w:val="nil"/>
            </w:tcBorders>
          </w:tcPr>
          <w:p w14:paraId="57AF707C" w14:textId="187464AE" w:rsidR="00165583" w:rsidRPr="00AD55AA" w:rsidRDefault="00165583" w:rsidP="00165583">
            <w:pPr>
              <w:widowControl w:val="0"/>
              <w:autoSpaceDE w:val="0"/>
              <w:autoSpaceDN w:val="0"/>
              <w:adjustRightInd w:val="0"/>
              <w:jc w:val="center"/>
              <w:rPr>
                <w:sz w:val="22"/>
                <w:szCs w:val="22"/>
              </w:rPr>
            </w:pPr>
            <w:r w:rsidRPr="0097490D">
              <w:rPr>
                <w:sz w:val="22"/>
                <w:szCs w:val="22"/>
              </w:rPr>
              <w:t>(4.63)</w:t>
            </w:r>
          </w:p>
        </w:tc>
        <w:tc>
          <w:tcPr>
            <w:tcW w:w="0" w:type="auto"/>
            <w:tcBorders>
              <w:top w:val="nil"/>
              <w:left w:val="nil"/>
              <w:bottom w:val="nil"/>
              <w:right w:val="nil"/>
            </w:tcBorders>
          </w:tcPr>
          <w:p w14:paraId="007B35BE" w14:textId="791F295A" w:rsidR="00165583" w:rsidRPr="00AD55AA" w:rsidRDefault="00165583" w:rsidP="00165583">
            <w:pPr>
              <w:widowControl w:val="0"/>
              <w:autoSpaceDE w:val="0"/>
              <w:autoSpaceDN w:val="0"/>
              <w:adjustRightInd w:val="0"/>
              <w:jc w:val="center"/>
              <w:rPr>
                <w:sz w:val="22"/>
                <w:szCs w:val="22"/>
              </w:rPr>
            </w:pPr>
            <w:r w:rsidRPr="0097490D">
              <w:rPr>
                <w:sz w:val="22"/>
                <w:szCs w:val="22"/>
              </w:rPr>
              <w:t>(4.62)</w:t>
            </w:r>
          </w:p>
        </w:tc>
        <w:tc>
          <w:tcPr>
            <w:tcW w:w="0" w:type="auto"/>
            <w:tcBorders>
              <w:top w:val="nil"/>
              <w:left w:val="nil"/>
              <w:bottom w:val="nil"/>
              <w:right w:val="nil"/>
            </w:tcBorders>
          </w:tcPr>
          <w:p w14:paraId="11C974B2" w14:textId="14FDDA34" w:rsidR="00165583" w:rsidRPr="00AD55AA" w:rsidRDefault="00165583" w:rsidP="00165583">
            <w:pPr>
              <w:widowControl w:val="0"/>
              <w:autoSpaceDE w:val="0"/>
              <w:autoSpaceDN w:val="0"/>
              <w:adjustRightInd w:val="0"/>
              <w:jc w:val="center"/>
              <w:rPr>
                <w:sz w:val="22"/>
                <w:szCs w:val="22"/>
              </w:rPr>
            </w:pPr>
            <w:r w:rsidRPr="0097490D">
              <w:rPr>
                <w:sz w:val="22"/>
                <w:szCs w:val="22"/>
              </w:rPr>
              <w:t>(4.63)</w:t>
            </w:r>
          </w:p>
        </w:tc>
      </w:tr>
      <w:tr w:rsidR="00165583" w:rsidRPr="00AD55AA" w14:paraId="37EEC9BE" w14:textId="77777777" w:rsidTr="00AB6C46">
        <w:trPr>
          <w:jc w:val="center"/>
        </w:trPr>
        <w:tc>
          <w:tcPr>
            <w:tcW w:w="0" w:type="auto"/>
            <w:tcBorders>
              <w:top w:val="nil"/>
              <w:left w:val="nil"/>
              <w:bottom w:val="nil"/>
              <w:right w:val="nil"/>
            </w:tcBorders>
          </w:tcPr>
          <w:p w14:paraId="0FBAC762" w14:textId="0F152D9E" w:rsidR="00165583" w:rsidRPr="00AD55AA" w:rsidRDefault="00165583" w:rsidP="00165583">
            <w:pPr>
              <w:widowControl w:val="0"/>
              <w:autoSpaceDE w:val="0"/>
              <w:autoSpaceDN w:val="0"/>
              <w:adjustRightInd w:val="0"/>
              <w:rPr>
                <w:sz w:val="22"/>
                <w:szCs w:val="22"/>
              </w:rPr>
            </w:pPr>
            <w:r w:rsidRPr="00AD55AA">
              <w:rPr>
                <w:sz w:val="22"/>
                <w:szCs w:val="22"/>
              </w:rPr>
              <w:t>Leverage</w:t>
            </w:r>
            <w:r>
              <w:rPr>
                <w:sz w:val="22"/>
                <w:szCs w:val="22"/>
              </w:rPr>
              <w:t xml:space="preserve"> </w:t>
            </w:r>
          </w:p>
        </w:tc>
        <w:tc>
          <w:tcPr>
            <w:tcW w:w="0" w:type="auto"/>
            <w:tcBorders>
              <w:top w:val="nil"/>
              <w:left w:val="nil"/>
              <w:bottom w:val="nil"/>
              <w:right w:val="nil"/>
            </w:tcBorders>
          </w:tcPr>
          <w:p w14:paraId="0B7FAED5"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3C62C5A5"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3445217C" w14:textId="077FF7F4" w:rsidR="00165583" w:rsidRPr="00AD55AA" w:rsidRDefault="00165583" w:rsidP="00165583">
            <w:pPr>
              <w:widowControl w:val="0"/>
              <w:autoSpaceDE w:val="0"/>
              <w:autoSpaceDN w:val="0"/>
              <w:adjustRightInd w:val="0"/>
              <w:jc w:val="center"/>
              <w:rPr>
                <w:sz w:val="22"/>
                <w:szCs w:val="22"/>
              </w:rPr>
            </w:pPr>
            <w:r w:rsidRPr="0097490D">
              <w:rPr>
                <w:sz w:val="22"/>
                <w:szCs w:val="22"/>
              </w:rPr>
              <w:t>-0.066***</w:t>
            </w:r>
          </w:p>
        </w:tc>
        <w:tc>
          <w:tcPr>
            <w:tcW w:w="0" w:type="auto"/>
            <w:tcBorders>
              <w:top w:val="nil"/>
              <w:left w:val="nil"/>
              <w:bottom w:val="nil"/>
              <w:right w:val="nil"/>
            </w:tcBorders>
          </w:tcPr>
          <w:p w14:paraId="5B226404" w14:textId="726FCD3B" w:rsidR="00165583" w:rsidRPr="00AD55AA" w:rsidRDefault="00165583" w:rsidP="00165583">
            <w:pPr>
              <w:widowControl w:val="0"/>
              <w:autoSpaceDE w:val="0"/>
              <w:autoSpaceDN w:val="0"/>
              <w:adjustRightInd w:val="0"/>
              <w:jc w:val="center"/>
              <w:rPr>
                <w:sz w:val="22"/>
                <w:szCs w:val="22"/>
              </w:rPr>
            </w:pPr>
            <w:r w:rsidRPr="0097490D">
              <w:rPr>
                <w:sz w:val="22"/>
                <w:szCs w:val="22"/>
              </w:rPr>
              <w:t>-0.066***</w:t>
            </w:r>
          </w:p>
        </w:tc>
        <w:tc>
          <w:tcPr>
            <w:tcW w:w="0" w:type="auto"/>
            <w:tcBorders>
              <w:top w:val="nil"/>
              <w:left w:val="nil"/>
              <w:bottom w:val="nil"/>
              <w:right w:val="nil"/>
            </w:tcBorders>
          </w:tcPr>
          <w:p w14:paraId="5163E2B7" w14:textId="058A0146" w:rsidR="00165583" w:rsidRPr="00AD55AA" w:rsidRDefault="00165583" w:rsidP="00165583">
            <w:pPr>
              <w:widowControl w:val="0"/>
              <w:autoSpaceDE w:val="0"/>
              <w:autoSpaceDN w:val="0"/>
              <w:adjustRightInd w:val="0"/>
              <w:jc w:val="center"/>
              <w:rPr>
                <w:sz w:val="22"/>
                <w:szCs w:val="22"/>
              </w:rPr>
            </w:pPr>
            <w:r w:rsidRPr="0097490D">
              <w:rPr>
                <w:sz w:val="22"/>
                <w:szCs w:val="22"/>
              </w:rPr>
              <w:t>-0.066***</w:t>
            </w:r>
          </w:p>
        </w:tc>
        <w:tc>
          <w:tcPr>
            <w:tcW w:w="0" w:type="auto"/>
            <w:tcBorders>
              <w:top w:val="nil"/>
              <w:left w:val="nil"/>
              <w:bottom w:val="nil"/>
              <w:right w:val="nil"/>
            </w:tcBorders>
          </w:tcPr>
          <w:p w14:paraId="7FFD6A95" w14:textId="61B0CDF9" w:rsidR="00165583" w:rsidRPr="00AD55AA" w:rsidRDefault="00165583" w:rsidP="00165583">
            <w:pPr>
              <w:widowControl w:val="0"/>
              <w:autoSpaceDE w:val="0"/>
              <w:autoSpaceDN w:val="0"/>
              <w:adjustRightInd w:val="0"/>
              <w:jc w:val="center"/>
              <w:rPr>
                <w:sz w:val="22"/>
                <w:szCs w:val="22"/>
              </w:rPr>
            </w:pPr>
            <w:r w:rsidRPr="0097490D">
              <w:rPr>
                <w:sz w:val="22"/>
                <w:szCs w:val="22"/>
              </w:rPr>
              <w:t>-0.066***</w:t>
            </w:r>
          </w:p>
        </w:tc>
      </w:tr>
      <w:tr w:rsidR="00165583" w:rsidRPr="00AD55AA" w14:paraId="2B0390A9" w14:textId="77777777" w:rsidTr="00AB6C46">
        <w:trPr>
          <w:jc w:val="center"/>
        </w:trPr>
        <w:tc>
          <w:tcPr>
            <w:tcW w:w="0" w:type="auto"/>
            <w:tcBorders>
              <w:top w:val="nil"/>
              <w:left w:val="nil"/>
              <w:bottom w:val="nil"/>
              <w:right w:val="nil"/>
            </w:tcBorders>
          </w:tcPr>
          <w:p w14:paraId="5EBE625A"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48CFF8DA"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6D8A9B15"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796C774D" w14:textId="202424D7" w:rsidR="00165583" w:rsidRPr="00AD55AA" w:rsidRDefault="00165583" w:rsidP="00165583">
            <w:pPr>
              <w:widowControl w:val="0"/>
              <w:autoSpaceDE w:val="0"/>
              <w:autoSpaceDN w:val="0"/>
              <w:adjustRightInd w:val="0"/>
              <w:jc w:val="center"/>
              <w:rPr>
                <w:sz w:val="22"/>
                <w:szCs w:val="22"/>
              </w:rPr>
            </w:pPr>
            <w:r w:rsidRPr="0097490D">
              <w:rPr>
                <w:sz w:val="22"/>
                <w:szCs w:val="22"/>
              </w:rPr>
              <w:t>(-5.31)</w:t>
            </w:r>
          </w:p>
        </w:tc>
        <w:tc>
          <w:tcPr>
            <w:tcW w:w="0" w:type="auto"/>
            <w:tcBorders>
              <w:top w:val="nil"/>
              <w:left w:val="nil"/>
              <w:bottom w:val="nil"/>
              <w:right w:val="nil"/>
            </w:tcBorders>
          </w:tcPr>
          <w:p w14:paraId="5129BCC8" w14:textId="6D9559ED" w:rsidR="00165583" w:rsidRPr="00AD55AA" w:rsidRDefault="00165583" w:rsidP="00165583">
            <w:pPr>
              <w:widowControl w:val="0"/>
              <w:autoSpaceDE w:val="0"/>
              <w:autoSpaceDN w:val="0"/>
              <w:adjustRightInd w:val="0"/>
              <w:jc w:val="center"/>
              <w:rPr>
                <w:sz w:val="22"/>
                <w:szCs w:val="22"/>
              </w:rPr>
            </w:pPr>
            <w:r w:rsidRPr="0097490D">
              <w:rPr>
                <w:sz w:val="22"/>
                <w:szCs w:val="22"/>
              </w:rPr>
              <w:t>(-5.32)</w:t>
            </w:r>
          </w:p>
        </w:tc>
        <w:tc>
          <w:tcPr>
            <w:tcW w:w="0" w:type="auto"/>
            <w:tcBorders>
              <w:top w:val="nil"/>
              <w:left w:val="nil"/>
              <w:bottom w:val="nil"/>
              <w:right w:val="nil"/>
            </w:tcBorders>
          </w:tcPr>
          <w:p w14:paraId="493C2F94" w14:textId="612EA8D4" w:rsidR="00165583" w:rsidRPr="00AD55AA" w:rsidRDefault="00165583" w:rsidP="00165583">
            <w:pPr>
              <w:widowControl w:val="0"/>
              <w:autoSpaceDE w:val="0"/>
              <w:autoSpaceDN w:val="0"/>
              <w:adjustRightInd w:val="0"/>
              <w:jc w:val="center"/>
              <w:rPr>
                <w:sz w:val="22"/>
                <w:szCs w:val="22"/>
              </w:rPr>
            </w:pPr>
            <w:r w:rsidRPr="0097490D">
              <w:rPr>
                <w:sz w:val="22"/>
                <w:szCs w:val="22"/>
              </w:rPr>
              <w:t>(-5.32)</w:t>
            </w:r>
          </w:p>
        </w:tc>
        <w:tc>
          <w:tcPr>
            <w:tcW w:w="0" w:type="auto"/>
            <w:tcBorders>
              <w:top w:val="nil"/>
              <w:left w:val="nil"/>
              <w:bottom w:val="nil"/>
              <w:right w:val="nil"/>
            </w:tcBorders>
          </w:tcPr>
          <w:p w14:paraId="24FA2253" w14:textId="31F10C30" w:rsidR="00165583" w:rsidRPr="00AD55AA" w:rsidRDefault="00165583" w:rsidP="00165583">
            <w:pPr>
              <w:widowControl w:val="0"/>
              <w:autoSpaceDE w:val="0"/>
              <w:autoSpaceDN w:val="0"/>
              <w:adjustRightInd w:val="0"/>
              <w:jc w:val="center"/>
              <w:rPr>
                <w:sz w:val="22"/>
                <w:szCs w:val="22"/>
              </w:rPr>
            </w:pPr>
            <w:r w:rsidRPr="0097490D">
              <w:rPr>
                <w:sz w:val="22"/>
                <w:szCs w:val="22"/>
              </w:rPr>
              <w:t>(-5.31)</w:t>
            </w:r>
          </w:p>
        </w:tc>
      </w:tr>
      <w:tr w:rsidR="00165583" w:rsidRPr="00AD55AA" w14:paraId="52A34E10" w14:textId="77777777" w:rsidTr="00AB6C46">
        <w:trPr>
          <w:jc w:val="center"/>
        </w:trPr>
        <w:tc>
          <w:tcPr>
            <w:tcW w:w="0" w:type="auto"/>
            <w:tcBorders>
              <w:top w:val="nil"/>
              <w:left w:val="nil"/>
              <w:bottom w:val="nil"/>
              <w:right w:val="nil"/>
            </w:tcBorders>
          </w:tcPr>
          <w:p w14:paraId="42D17A50" w14:textId="6C9AFFBB" w:rsidR="00165583" w:rsidRPr="00AD55AA" w:rsidRDefault="00165583" w:rsidP="00165583">
            <w:pPr>
              <w:widowControl w:val="0"/>
              <w:autoSpaceDE w:val="0"/>
              <w:autoSpaceDN w:val="0"/>
              <w:adjustRightInd w:val="0"/>
              <w:rPr>
                <w:sz w:val="22"/>
                <w:szCs w:val="22"/>
              </w:rPr>
            </w:pPr>
            <w:r w:rsidRPr="00AD55AA">
              <w:rPr>
                <w:sz w:val="22"/>
                <w:szCs w:val="22"/>
              </w:rPr>
              <w:t>Size</w:t>
            </w:r>
            <w:r>
              <w:rPr>
                <w:sz w:val="22"/>
                <w:szCs w:val="22"/>
              </w:rPr>
              <w:t xml:space="preserve"> </w:t>
            </w:r>
          </w:p>
        </w:tc>
        <w:tc>
          <w:tcPr>
            <w:tcW w:w="0" w:type="auto"/>
            <w:tcBorders>
              <w:top w:val="nil"/>
              <w:left w:val="nil"/>
              <w:bottom w:val="nil"/>
              <w:right w:val="nil"/>
            </w:tcBorders>
          </w:tcPr>
          <w:p w14:paraId="794E1D82"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44CF0B3F"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55EF5603" w14:textId="09F7CDCA" w:rsidR="00165583" w:rsidRPr="00AD55AA" w:rsidRDefault="00165583" w:rsidP="00165583">
            <w:pPr>
              <w:widowControl w:val="0"/>
              <w:autoSpaceDE w:val="0"/>
              <w:autoSpaceDN w:val="0"/>
              <w:adjustRightInd w:val="0"/>
              <w:jc w:val="center"/>
              <w:rPr>
                <w:sz w:val="22"/>
                <w:szCs w:val="22"/>
              </w:rPr>
            </w:pPr>
            <w:r w:rsidRPr="0097490D">
              <w:rPr>
                <w:sz w:val="22"/>
                <w:szCs w:val="22"/>
              </w:rPr>
              <w:t>-0.130***</w:t>
            </w:r>
          </w:p>
        </w:tc>
        <w:tc>
          <w:tcPr>
            <w:tcW w:w="0" w:type="auto"/>
            <w:tcBorders>
              <w:top w:val="nil"/>
              <w:left w:val="nil"/>
              <w:bottom w:val="nil"/>
              <w:right w:val="nil"/>
            </w:tcBorders>
          </w:tcPr>
          <w:p w14:paraId="59C3A108" w14:textId="13D0731B" w:rsidR="00165583" w:rsidRPr="00AD55AA" w:rsidRDefault="00165583" w:rsidP="00165583">
            <w:pPr>
              <w:widowControl w:val="0"/>
              <w:autoSpaceDE w:val="0"/>
              <w:autoSpaceDN w:val="0"/>
              <w:adjustRightInd w:val="0"/>
              <w:jc w:val="center"/>
              <w:rPr>
                <w:sz w:val="22"/>
                <w:szCs w:val="22"/>
              </w:rPr>
            </w:pPr>
            <w:r w:rsidRPr="0097490D">
              <w:rPr>
                <w:sz w:val="22"/>
                <w:szCs w:val="22"/>
              </w:rPr>
              <w:t>-0.129***</w:t>
            </w:r>
          </w:p>
        </w:tc>
        <w:tc>
          <w:tcPr>
            <w:tcW w:w="0" w:type="auto"/>
            <w:tcBorders>
              <w:top w:val="nil"/>
              <w:left w:val="nil"/>
              <w:bottom w:val="nil"/>
              <w:right w:val="nil"/>
            </w:tcBorders>
          </w:tcPr>
          <w:p w14:paraId="410597FB" w14:textId="2D99E160" w:rsidR="00165583" w:rsidRPr="00AD55AA" w:rsidRDefault="00165583" w:rsidP="00165583">
            <w:pPr>
              <w:widowControl w:val="0"/>
              <w:autoSpaceDE w:val="0"/>
              <w:autoSpaceDN w:val="0"/>
              <w:adjustRightInd w:val="0"/>
              <w:jc w:val="center"/>
              <w:rPr>
                <w:sz w:val="22"/>
                <w:szCs w:val="22"/>
              </w:rPr>
            </w:pPr>
            <w:r w:rsidRPr="0097490D">
              <w:rPr>
                <w:sz w:val="22"/>
                <w:szCs w:val="22"/>
              </w:rPr>
              <w:t>-0.129***</w:t>
            </w:r>
          </w:p>
        </w:tc>
        <w:tc>
          <w:tcPr>
            <w:tcW w:w="0" w:type="auto"/>
            <w:tcBorders>
              <w:top w:val="nil"/>
              <w:left w:val="nil"/>
              <w:bottom w:val="nil"/>
              <w:right w:val="nil"/>
            </w:tcBorders>
          </w:tcPr>
          <w:p w14:paraId="0EA45D7D" w14:textId="466AF895" w:rsidR="00165583" w:rsidRPr="00AD55AA" w:rsidRDefault="00165583" w:rsidP="00165583">
            <w:pPr>
              <w:widowControl w:val="0"/>
              <w:autoSpaceDE w:val="0"/>
              <w:autoSpaceDN w:val="0"/>
              <w:adjustRightInd w:val="0"/>
              <w:jc w:val="center"/>
              <w:rPr>
                <w:sz w:val="22"/>
                <w:szCs w:val="22"/>
              </w:rPr>
            </w:pPr>
            <w:r w:rsidRPr="0097490D">
              <w:rPr>
                <w:sz w:val="22"/>
                <w:szCs w:val="22"/>
              </w:rPr>
              <w:t>-0.129***</w:t>
            </w:r>
          </w:p>
        </w:tc>
      </w:tr>
      <w:tr w:rsidR="00165583" w:rsidRPr="00AD55AA" w14:paraId="3779768C" w14:textId="77777777" w:rsidTr="00AB6C46">
        <w:trPr>
          <w:jc w:val="center"/>
        </w:trPr>
        <w:tc>
          <w:tcPr>
            <w:tcW w:w="0" w:type="auto"/>
            <w:tcBorders>
              <w:top w:val="nil"/>
              <w:left w:val="nil"/>
              <w:bottom w:val="nil"/>
              <w:right w:val="nil"/>
            </w:tcBorders>
          </w:tcPr>
          <w:p w14:paraId="5DF6AADB"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5B0574B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7B5C670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2EA493F" w14:textId="7D9BEBA8" w:rsidR="00165583" w:rsidRPr="00AD55AA" w:rsidRDefault="00165583" w:rsidP="00165583">
            <w:pPr>
              <w:widowControl w:val="0"/>
              <w:autoSpaceDE w:val="0"/>
              <w:autoSpaceDN w:val="0"/>
              <w:adjustRightInd w:val="0"/>
              <w:jc w:val="center"/>
              <w:rPr>
                <w:sz w:val="22"/>
                <w:szCs w:val="22"/>
              </w:rPr>
            </w:pPr>
            <w:r w:rsidRPr="0097490D">
              <w:rPr>
                <w:sz w:val="22"/>
                <w:szCs w:val="22"/>
              </w:rPr>
              <w:t>(-9.81)</w:t>
            </w:r>
          </w:p>
        </w:tc>
        <w:tc>
          <w:tcPr>
            <w:tcW w:w="0" w:type="auto"/>
            <w:tcBorders>
              <w:top w:val="nil"/>
              <w:left w:val="nil"/>
              <w:bottom w:val="nil"/>
              <w:right w:val="nil"/>
            </w:tcBorders>
          </w:tcPr>
          <w:p w14:paraId="1108C28B" w14:textId="309B8D6E" w:rsidR="00165583" w:rsidRPr="00AD55AA" w:rsidRDefault="00165583" w:rsidP="00165583">
            <w:pPr>
              <w:widowControl w:val="0"/>
              <w:autoSpaceDE w:val="0"/>
              <w:autoSpaceDN w:val="0"/>
              <w:adjustRightInd w:val="0"/>
              <w:jc w:val="center"/>
              <w:rPr>
                <w:sz w:val="22"/>
                <w:szCs w:val="22"/>
              </w:rPr>
            </w:pPr>
            <w:r w:rsidRPr="0097490D">
              <w:rPr>
                <w:sz w:val="22"/>
                <w:szCs w:val="22"/>
              </w:rPr>
              <w:t>(-9.73)</w:t>
            </w:r>
          </w:p>
        </w:tc>
        <w:tc>
          <w:tcPr>
            <w:tcW w:w="0" w:type="auto"/>
            <w:tcBorders>
              <w:top w:val="nil"/>
              <w:left w:val="nil"/>
              <w:bottom w:val="nil"/>
              <w:right w:val="nil"/>
            </w:tcBorders>
          </w:tcPr>
          <w:p w14:paraId="181BFB02" w14:textId="7FBB2D89" w:rsidR="00165583" w:rsidRPr="00AD55AA" w:rsidRDefault="00165583" w:rsidP="00165583">
            <w:pPr>
              <w:widowControl w:val="0"/>
              <w:autoSpaceDE w:val="0"/>
              <w:autoSpaceDN w:val="0"/>
              <w:adjustRightInd w:val="0"/>
              <w:jc w:val="center"/>
              <w:rPr>
                <w:sz w:val="22"/>
                <w:szCs w:val="22"/>
              </w:rPr>
            </w:pPr>
            <w:r w:rsidRPr="0097490D">
              <w:rPr>
                <w:sz w:val="22"/>
                <w:szCs w:val="22"/>
              </w:rPr>
              <w:t>(-9.75)</w:t>
            </w:r>
          </w:p>
        </w:tc>
        <w:tc>
          <w:tcPr>
            <w:tcW w:w="0" w:type="auto"/>
            <w:tcBorders>
              <w:top w:val="nil"/>
              <w:left w:val="nil"/>
              <w:bottom w:val="nil"/>
              <w:right w:val="nil"/>
            </w:tcBorders>
          </w:tcPr>
          <w:p w14:paraId="04792B29" w14:textId="7BD63694" w:rsidR="00165583" w:rsidRPr="00AD55AA" w:rsidRDefault="00165583" w:rsidP="00165583">
            <w:pPr>
              <w:widowControl w:val="0"/>
              <w:autoSpaceDE w:val="0"/>
              <w:autoSpaceDN w:val="0"/>
              <w:adjustRightInd w:val="0"/>
              <w:jc w:val="center"/>
              <w:rPr>
                <w:sz w:val="22"/>
                <w:szCs w:val="22"/>
              </w:rPr>
            </w:pPr>
            <w:r w:rsidRPr="0097490D">
              <w:rPr>
                <w:sz w:val="22"/>
                <w:szCs w:val="22"/>
              </w:rPr>
              <w:t>(-9.75)</w:t>
            </w:r>
          </w:p>
        </w:tc>
      </w:tr>
      <w:tr w:rsidR="00165583" w:rsidRPr="00AD55AA" w14:paraId="43301F65" w14:textId="77777777" w:rsidTr="00AB6C46">
        <w:trPr>
          <w:jc w:val="center"/>
        </w:trPr>
        <w:tc>
          <w:tcPr>
            <w:tcW w:w="0" w:type="auto"/>
            <w:tcBorders>
              <w:top w:val="nil"/>
              <w:left w:val="nil"/>
              <w:bottom w:val="nil"/>
              <w:right w:val="nil"/>
            </w:tcBorders>
          </w:tcPr>
          <w:p w14:paraId="49C5AA9B" w14:textId="03A1C32D" w:rsidR="00165583" w:rsidRPr="00AD55AA" w:rsidRDefault="00165583" w:rsidP="00165583">
            <w:pPr>
              <w:widowControl w:val="0"/>
              <w:autoSpaceDE w:val="0"/>
              <w:autoSpaceDN w:val="0"/>
              <w:adjustRightInd w:val="0"/>
              <w:rPr>
                <w:sz w:val="22"/>
                <w:szCs w:val="22"/>
              </w:rPr>
            </w:pPr>
            <w:r w:rsidRPr="00AD55AA">
              <w:rPr>
                <w:sz w:val="22"/>
                <w:szCs w:val="22"/>
              </w:rPr>
              <w:t>Tobin’s Q</w:t>
            </w:r>
            <w:r>
              <w:rPr>
                <w:sz w:val="22"/>
                <w:szCs w:val="22"/>
              </w:rPr>
              <w:t xml:space="preserve"> </w:t>
            </w:r>
          </w:p>
        </w:tc>
        <w:tc>
          <w:tcPr>
            <w:tcW w:w="0" w:type="auto"/>
            <w:tcBorders>
              <w:top w:val="nil"/>
              <w:left w:val="nil"/>
              <w:bottom w:val="nil"/>
              <w:right w:val="nil"/>
            </w:tcBorders>
          </w:tcPr>
          <w:p w14:paraId="3F2EDCAB"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3D4563B"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3FCBB34" w14:textId="5BF4CC8F" w:rsidR="00165583" w:rsidRPr="00AD55AA" w:rsidRDefault="00165583" w:rsidP="00165583">
            <w:pPr>
              <w:widowControl w:val="0"/>
              <w:autoSpaceDE w:val="0"/>
              <w:autoSpaceDN w:val="0"/>
              <w:adjustRightInd w:val="0"/>
              <w:jc w:val="center"/>
              <w:rPr>
                <w:sz w:val="22"/>
                <w:szCs w:val="22"/>
              </w:rPr>
            </w:pPr>
            <w:r w:rsidRPr="0097490D">
              <w:rPr>
                <w:sz w:val="22"/>
                <w:szCs w:val="22"/>
              </w:rPr>
              <w:t>0.007***</w:t>
            </w:r>
          </w:p>
        </w:tc>
        <w:tc>
          <w:tcPr>
            <w:tcW w:w="0" w:type="auto"/>
            <w:tcBorders>
              <w:top w:val="nil"/>
              <w:left w:val="nil"/>
              <w:bottom w:val="nil"/>
              <w:right w:val="nil"/>
            </w:tcBorders>
          </w:tcPr>
          <w:p w14:paraId="11A65BFC" w14:textId="316E91BC" w:rsidR="00165583" w:rsidRPr="00AD55AA" w:rsidRDefault="00165583" w:rsidP="00165583">
            <w:pPr>
              <w:widowControl w:val="0"/>
              <w:autoSpaceDE w:val="0"/>
              <w:autoSpaceDN w:val="0"/>
              <w:adjustRightInd w:val="0"/>
              <w:jc w:val="center"/>
              <w:rPr>
                <w:sz w:val="22"/>
                <w:szCs w:val="22"/>
              </w:rPr>
            </w:pPr>
            <w:r w:rsidRPr="0097490D">
              <w:rPr>
                <w:sz w:val="22"/>
                <w:szCs w:val="22"/>
              </w:rPr>
              <w:t>0.007***</w:t>
            </w:r>
          </w:p>
        </w:tc>
        <w:tc>
          <w:tcPr>
            <w:tcW w:w="0" w:type="auto"/>
            <w:tcBorders>
              <w:top w:val="nil"/>
              <w:left w:val="nil"/>
              <w:bottom w:val="nil"/>
              <w:right w:val="nil"/>
            </w:tcBorders>
          </w:tcPr>
          <w:p w14:paraId="36239ED3" w14:textId="2CA39AF4" w:rsidR="00165583" w:rsidRPr="00AD55AA" w:rsidRDefault="00165583" w:rsidP="00165583">
            <w:pPr>
              <w:widowControl w:val="0"/>
              <w:autoSpaceDE w:val="0"/>
              <w:autoSpaceDN w:val="0"/>
              <w:adjustRightInd w:val="0"/>
              <w:jc w:val="center"/>
              <w:rPr>
                <w:sz w:val="22"/>
                <w:szCs w:val="22"/>
              </w:rPr>
            </w:pPr>
            <w:r w:rsidRPr="0097490D">
              <w:rPr>
                <w:sz w:val="22"/>
                <w:szCs w:val="22"/>
              </w:rPr>
              <w:t>0.007***</w:t>
            </w:r>
          </w:p>
        </w:tc>
        <w:tc>
          <w:tcPr>
            <w:tcW w:w="0" w:type="auto"/>
            <w:tcBorders>
              <w:top w:val="nil"/>
              <w:left w:val="nil"/>
              <w:bottom w:val="nil"/>
              <w:right w:val="nil"/>
            </w:tcBorders>
          </w:tcPr>
          <w:p w14:paraId="0F90DB0C" w14:textId="0A42CB66" w:rsidR="00165583" w:rsidRPr="00AD55AA" w:rsidRDefault="00165583" w:rsidP="00165583">
            <w:pPr>
              <w:widowControl w:val="0"/>
              <w:autoSpaceDE w:val="0"/>
              <w:autoSpaceDN w:val="0"/>
              <w:adjustRightInd w:val="0"/>
              <w:jc w:val="center"/>
              <w:rPr>
                <w:sz w:val="22"/>
                <w:szCs w:val="22"/>
              </w:rPr>
            </w:pPr>
            <w:r w:rsidRPr="0097490D">
              <w:rPr>
                <w:sz w:val="22"/>
                <w:szCs w:val="22"/>
              </w:rPr>
              <w:t>0.007***</w:t>
            </w:r>
          </w:p>
        </w:tc>
      </w:tr>
      <w:tr w:rsidR="00165583" w:rsidRPr="00AD55AA" w14:paraId="56610A54" w14:textId="77777777" w:rsidTr="00AB6C46">
        <w:trPr>
          <w:jc w:val="center"/>
        </w:trPr>
        <w:tc>
          <w:tcPr>
            <w:tcW w:w="0" w:type="auto"/>
            <w:tcBorders>
              <w:top w:val="nil"/>
              <w:left w:val="nil"/>
              <w:bottom w:val="nil"/>
              <w:right w:val="nil"/>
            </w:tcBorders>
          </w:tcPr>
          <w:p w14:paraId="28313CD6"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03F79ABD"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4CF7F297"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5F2271F5" w14:textId="6DB0F156" w:rsidR="00165583" w:rsidRPr="00AD55AA" w:rsidRDefault="00165583" w:rsidP="00165583">
            <w:pPr>
              <w:widowControl w:val="0"/>
              <w:autoSpaceDE w:val="0"/>
              <w:autoSpaceDN w:val="0"/>
              <w:adjustRightInd w:val="0"/>
              <w:jc w:val="center"/>
              <w:rPr>
                <w:sz w:val="22"/>
                <w:szCs w:val="22"/>
              </w:rPr>
            </w:pPr>
            <w:r w:rsidRPr="0097490D">
              <w:rPr>
                <w:sz w:val="22"/>
                <w:szCs w:val="22"/>
              </w:rPr>
              <w:t>(6.30)</w:t>
            </w:r>
          </w:p>
        </w:tc>
        <w:tc>
          <w:tcPr>
            <w:tcW w:w="0" w:type="auto"/>
            <w:tcBorders>
              <w:top w:val="nil"/>
              <w:left w:val="nil"/>
              <w:bottom w:val="nil"/>
              <w:right w:val="nil"/>
            </w:tcBorders>
          </w:tcPr>
          <w:p w14:paraId="477A9B72" w14:textId="5A232D67" w:rsidR="00165583" w:rsidRPr="00AD55AA" w:rsidRDefault="00165583" w:rsidP="00165583">
            <w:pPr>
              <w:widowControl w:val="0"/>
              <w:autoSpaceDE w:val="0"/>
              <w:autoSpaceDN w:val="0"/>
              <w:adjustRightInd w:val="0"/>
              <w:jc w:val="center"/>
              <w:rPr>
                <w:sz w:val="22"/>
                <w:szCs w:val="22"/>
              </w:rPr>
            </w:pPr>
            <w:r w:rsidRPr="0097490D">
              <w:rPr>
                <w:sz w:val="22"/>
                <w:szCs w:val="22"/>
              </w:rPr>
              <w:t>(6.31)</w:t>
            </w:r>
          </w:p>
        </w:tc>
        <w:tc>
          <w:tcPr>
            <w:tcW w:w="0" w:type="auto"/>
            <w:tcBorders>
              <w:top w:val="nil"/>
              <w:left w:val="nil"/>
              <w:bottom w:val="nil"/>
              <w:right w:val="nil"/>
            </w:tcBorders>
          </w:tcPr>
          <w:p w14:paraId="45AA3D47" w14:textId="7BC204D7" w:rsidR="00165583" w:rsidRPr="00AD55AA" w:rsidRDefault="00165583" w:rsidP="00165583">
            <w:pPr>
              <w:widowControl w:val="0"/>
              <w:autoSpaceDE w:val="0"/>
              <w:autoSpaceDN w:val="0"/>
              <w:adjustRightInd w:val="0"/>
              <w:jc w:val="center"/>
              <w:rPr>
                <w:sz w:val="22"/>
                <w:szCs w:val="22"/>
              </w:rPr>
            </w:pPr>
            <w:r w:rsidRPr="0097490D">
              <w:rPr>
                <w:sz w:val="22"/>
                <w:szCs w:val="22"/>
              </w:rPr>
              <w:t>(6.31)</w:t>
            </w:r>
          </w:p>
        </w:tc>
        <w:tc>
          <w:tcPr>
            <w:tcW w:w="0" w:type="auto"/>
            <w:tcBorders>
              <w:top w:val="nil"/>
              <w:left w:val="nil"/>
              <w:bottom w:val="nil"/>
              <w:right w:val="nil"/>
            </w:tcBorders>
          </w:tcPr>
          <w:p w14:paraId="2EFDB6F8" w14:textId="11DAAA02" w:rsidR="00165583" w:rsidRPr="00AD55AA" w:rsidRDefault="00165583" w:rsidP="00165583">
            <w:pPr>
              <w:widowControl w:val="0"/>
              <w:autoSpaceDE w:val="0"/>
              <w:autoSpaceDN w:val="0"/>
              <w:adjustRightInd w:val="0"/>
              <w:jc w:val="center"/>
              <w:rPr>
                <w:sz w:val="22"/>
                <w:szCs w:val="22"/>
              </w:rPr>
            </w:pPr>
            <w:r w:rsidRPr="0097490D">
              <w:rPr>
                <w:sz w:val="22"/>
                <w:szCs w:val="22"/>
              </w:rPr>
              <w:t>(6.31)</w:t>
            </w:r>
          </w:p>
        </w:tc>
      </w:tr>
      <w:tr w:rsidR="00165583" w:rsidRPr="00AD55AA" w14:paraId="788B016A" w14:textId="77777777" w:rsidTr="00AB6C46">
        <w:trPr>
          <w:jc w:val="center"/>
        </w:trPr>
        <w:tc>
          <w:tcPr>
            <w:tcW w:w="0" w:type="auto"/>
            <w:tcBorders>
              <w:top w:val="nil"/>
              <w:left w:val="nil"/>
              <w:bottom w:val="nil"/>
              <w:right w:val="nil"/>
            </w:tcBorders>
          </w:tcPr>
          <w:p w14:paraId="63D6283B" w14:textId="77777777" w:rsidR="00165583" w:rsidRPr="00AD55AA" w:rsidRDefault="00165583" w:rsidP="00165583">
            <w:pPr>
              <w:widowControl w:val="0"/>
              <w:autoSpaceDE w:val="0"/>
              <w:autoSpaceDN w:val="0"/>
              <w:adjustRightInd w:val="0"/>
              <w:rPr>
                <w:sz w:val="22"/>
                <w:szCs w:val="22"/>
              </w:rPr>
            </w:pPr>
            <w:r w:rsidRPr="00AD55AA">
              <w:rPr>
                <w:sz w:val="22"/>
                <w:szCs w:val="22"/>
              </w:rPr>
              <w:t>Constant</w:t>
            </w:r>
          </w:p>
        </w:tc>
        <w:tc>
          <w:tcPr>
            <w:tcW w:w="0" w:type="auto"/>
            <w:tcBorders>
              <w:top w:val="nil"/>
              <w:left w:val="nil"/>
              <w:bottom w:val="nil"/>
              <w:right w:val="nil"/>
            </w:tcBorders>
          </w:tcPr>
          <w:p w14:paraId="29D258F8"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05ABED67"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FBF2A96" w14:textId="286C2624" w:rsidR="00165583" w:rsidRPr="00AD55AA" w:rsidRDefault="00165583" w:rsidP="00165583">
            <w:pPr>
              <w:widowControl w:val="0"/>
              <w:autoSpaceDE w:val="0"/>
              <w:autoSpaceDN w:val="0"/>
              <w:adjustRightInd w:val="0"/>
              <w:jc w:val="center"/>
              <w:rPr>
                <w:sz w:val="22"/>
                <w:szCs w:val="22"/>
              </w:rPr>
            </w:pPr>
            <w:r w:rsidRPr="0097490D">
              <w:rPr>
                <w:sz w:val="22"/>
                <w:szCs w:val="22"/>
              </w:rPr>
              <w:t>1.103***</w:t>
            </w:r>
          </w:p>
        </w:tc>
        <w:tc>
          <w:tcPr>
            <w:tcW w:w="0" w:type="auto"/>
            <w:tcBorders>
              <w:top w:val="nil"/>
              <w:left w:val="nil"/>
              <w:bottom w:val="nil"/>
              <w:right w:val="nil"/>
            </w:tcBorders>
          </w:tcPr>
          <w:p w14:paraId="53D18FBD" w14:textId="1139705F" w:rsidR="00165583" w:rsidRPr="00AD55AA" w:rsidRDefault="00165583" w:rsidP="00165583">
            <w:pPr>
              <w:widowControl w:val="0"/>
              <w:autoSpaceDE w:val="0"/>
              <w:autoSpaceDN w:val="0"/>
              <w:adjustRightInd w:val="0"/>
              <w:jc w:val="center"/>
              <w:rPr>
                <w:sz w:val="22"/>
                <w:szCs w:val="22"/>
              </w:rPr>
            </w:pPr>
            <w:r w:rsidRPr="0097490D">
              <w:rPr>
                <w:sz w:val="22"/>
                <w:szCs w:val="22"/>
              </w:rPr>
              <w:t>1.101***</w:t>
            </w:r>
          </w:p>
        </w:tc>
        <w:tc>
          <w:tcPr>
            <w:tcW w:w="0" w:type="auto"/>
            <w:tcBorders>
              <w:top w:val="nil"/>
              <w:left w:val="nil"/>
              <w:bottom w:val="nil"/>
              <w:right w:val="nil"/>
            </w:tcBorders>
          </w:tcPr>
          <w:p w14:paraId="298417EF" w14:textId="71192043" w:rsidR="00165583" w:rsidRPr="00AD55AA" w:rsidRDefault="00165583" w:rsidP="00165583">
            <w:pPr>
              <w:widowControl w:val="0"/>
              <w:autoSpaceDE w:val="0"/>
              <w:autoSpaceDN w:val="0"/>
              <w:adjustRightInd w:val="0"/>
              <w:jc w:val="center"/>
              <w:rPr>
                <w:sz w:val="22"/>
                <w:szCs w:val="22"/>
              </w:rPr>
            </w:pPr>
            <w:r w:rsidRPr="0097490D">
              <w:rPr>
                <w:sz w:val="22"/>
                <w:szCs w:val="22"/>
              </w:rPr>
              <w:t>1.103***</w:t>
            </w:r>
          </w:p>
        </w:tc>
        <w:tc>
          <w:tcPr>
            <w:tcW w:w="0" w:type="auto"/>
            <w:tcBorders>
              <w:top w:val="nil"/>
              <w:left w:val="nil"/>
              <w:bottom w:val="nil"/>
              <w:right w:val="nil"/>
            </w:tcBorders>
          </w:tcPr>
          <w:p w14:paraId="4B96F03C" w14:textId="13CCF0E9" w:rsidR="00165583" w:rsidRPr="00AD55AA" w:rsidRDefault="00165583" w:rsidP="00165583">
            <w:pPr>
              <w:widowControl w:val="0"/>
              <w:autoSpaceDE w:val="0"/>
              <w:autoSpaceDN w:val="0"/>
              <w:adjustRightInd w:val="0"/>
              <w:jc w:val="center"/>
              <w:rPr>
                <w:sz w:val="22"/>
                <w:szCs w:val="22"/>
              </w:rPr>
            </w:pPr>
            <w:r w:rsidRPr="0097490D">
              <w:rPr>
                <w:sz w:val="22"/>
                <w:szCs w:val="22"/>
              </w:rPr>
              <w:t>1.103***</w:t>
            </w:r>
          </w:p>
        </w:tc>
      </w:tr>
      <w:tr w:rsidR="00165583" w:rsidRPr="00AD55AA" w14:paraId="058D58E0" w14:textId="77777777" w:rsidTr="00AB6C46">
        <w:trPr>
          <w:jc w:val="center"/>
        </w:trPr>
        <w:tc>
          <w:tcPr>
            <w:tcW w:w="0" w:type="auto"/>
            <w:tcBorders>
              <w:top w:val="nil"/>
              <w:left w:val="nil"/>
              <w:bottom w:val="nil"/>
              <w:right w:val="nil"/>
            </w:tcBorders>
          </w:tcPr>
          <w:p w14:paraId="07C234A0" w14:textId="77777777" w:rsidR="00165583" w:rsidRPr="00AD55AA" w:rsidRDefault="00165583" w:rsidP="00165583">
            <w:pPr>
              <w:widowControl w:val="0"/>
              <w:autoSpaceDE w:val="0"/>
              <w:autoSpaceDN w:val="0"/>
              <w:adjustRightInd w:val="0"/>
              <w:rPr>
                <w:sz w:val="22"/>
                <w:szCs w:val="22"/>
              </w:rPr>
            </w:pPr>
          </w:p>
        </w:tc>
        <w:tc>
          <w:tcPr>
            <w:tcW w:w="0" w:type="auto"/>
            <w:tcBorders>
              <w:top w:val="nil"/>
              <w:left w:val="nil"/>
              <w:bottom w:val="nil"/>
              <w:right w:val="nil"/>
            </w:tcBorders>
          </w:tcPr>
          <w:p w14:paraId="40698E01"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2C7998D4"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nil"/>
              <w:right w:val="nil"/>
            </w:tcBorders>
          </w:tcPr>
          <w:p w14:paraId="4FE8B609" w14:textId="74ED5850" w:rsidR="00165583" w:rsidRPr="00AD55AA" w:rsidRDefault="00165583" w:rsidP="00165583">
            <w:pPr>
              <w:widowControl w:val="0"/>
              <w:autoSpaceDE w:val="0"/>
              <w:autoSpaceDN w:val="0"/>
              <w:adjustRightInd w:val="0"/>
              <w:jc w:val="center"/>
              <w:rPr>
                <w:sz w:val="22"/>
                <w:szCs w:val="22"/>
              </w:rPr>
            </w:pPr>
            <w:r w:rsidRPr="0097490D">
              <w:rPr>
                <w:sz w:val="22"/>
                <w:szCs w:val="22"/>
              </w:rPr>
              <w:t>(14.39)</w:t>
            </w:r>
          </w:p>
        </w:tc>
        <w:tc>
          <w:tcPr>
            <w:tcW w:w="0" w:type="auto"/>
            <w:tcBorders>
              <w:top w:val="nil"/>
              <w:left w:val="nil"/>
              <w:bottom w:val="nil"/>
              <w:right w:val="nil"/>
            </w:tcBorders>
          </w:tcPr>
          <w:p w14:paraId="2D9C59E0" w14:textId="55D4E870" w:rsidR="00165583" w:rsidRPr="00AD55AA" w:rsidRDefault="00165583" w:rsidP="00165583">
            <w:pPr>
              <w:widowControl w:val="0"/>
              <w:autoSpaceDE w:val="0"/>
              <w:autoSpaceDN w:val="0"/>
              <w:adjustRightInd w:val="0"/>
              <w:jc w:val="center"/>
              <w:rPr>
                <w:sz w:val="22"/>
                <w:szCs w:val="22"/>
              </w:rPr>
            </w:pPr>
            <w:r w:rsidRPr="0097490D">
              <w:rPr>
                <w:sz w:val="22"/>
                <w:szCs w:val="22"/>
              </w:rPr>
              <w:t>(14.35)</w:t>
            </w:r>
          </w:p>
        </w:tc>
        <w:tc>
          <w:tcPr>
            <w:tcW w:w="0" w:type="auto"/>
            <w:tcBorders>
              <w:top w:val="nil"/>
              <w:left w:val="nil"/>
              <w:bottom w:val="nil"/>
              <w:right w:val="nil"/>
            </w:tcBorders>
          </w:tcPr>
          <w:p w14:paraId="6230C1B6" w14:textId="05C4F5D5" w:rsidR="00165583" w:rsidRPr="00AD55AA" w:rsidRDefault="00165583" w:rsidP="00165583">
            <w:pPr>
              <w:widowControl w:val="0"/>
              <w:autoSpaceDE w:val="0"/>
              <w:autoSpaceDN w:val="0"/>
              <w:adjustRightInd w:val="0"/>
              <w:jc w:val="center"/>
              <w:rPr>
                <w:sz w:val="22"/>
                <w:szCs w:val="22"/>
              </w:rPr>
            </w:pPr>
            <w:r w:rsidRPr="0097490D">
              <w:rPr>
                <w:sz w:val="22"/>
                <w:szCs w:val="22"/>
              </w:rPr>
              <w:t>(14.34)</w:t>
            </w:r>
          </w:p>
        </w:tc>
        <w:tc>
          <w:tcPr>
            <w:tcW w:w="0" w:type="auto"/>
            <w:tcBorders>
              <w:top w:val="nil"/>
              <w:left w:val="nil"/>
              <w:bottom w:val="nil"/>
              <w:right w:val="nil"/>
            </w:tcBorders>
          </w:tcPr>
          <w:p w14:paraId="03844D12" w14:textId="54C40D15" w:rsidR="00165583" w:rsidRPr="00AD55AA" w:rsidRDefault="00165583" w:rsidP="00165583">
            <w:pPr>
              <w:widowControl w:val="0"/>
              <w:autoSpaceDE w:val="0"/>
              <w:autoSpaceDN w:val="0"/>
              <w:adjustRightInd w:val="0"/>
              <w:jc w:val="center"/>
              <w:rPr>
                <w:sz w:val="22"/>
                <w:szCs w:val="22"/>
              </w:rPr>
            </w:pPr>
            <w:r w:rsidRPr="0097490D">
              <w:rPr>
                <w:sz w:val="22"/>
                <w:szCs w:val="22"/>
              </w:rPr>
              <w:t>(14.33)</w:t>
            </w:r>
          </w:p>
        </w:tc>
      </w:tr>
      <w:tr w:rsidR="00704829" w:rsidRPr="00AD55AA" w14:paraId="6AC14A84" w14:textId="77777777" w:rsidTr="00AB6C46">
        <w:trPr>
          <w:jc w:val="center"/>
        </w:trPr>
        <w:tc>
          <w:tcPr>
            <w:tcW w:w="0" w:type="auto"/>
            <w:tcBorders>
              <w:top w:val="nil"/>
              <w:left w:val="nil"/>
              <w:bottom w:val="nil"/>
              <w:right w:val="nil"/>
            </w:tcBorders>
          </w:tcPr>
          <w:p w14:paraId="1A9738BB" w14:textId="77777777" w:rsidR="00704829" w:rsidRPr="00AD55AA" w:rsidRDefault="00704829" w:rsidP="00AB6C46">
            <w:pPr>
              <w:widowControl w:val="0"/>
              <w:autoSpaceDE w:val="0"/>
              <w:autoSpaceDN w:val="0"/>
              <w:adjustRightInd w:val="0"/>
              <w:rPr>
                <w:sz w:val="22"/>
                <w:szCs w:val="22"/>
              </w:rPr>
            </w:pPr>
          </w:p>
        </w:tc>
        <w:tc>
          <w:tcPr>
            <w:tcW w:w="0" w:type="auto"/>
            <w:tcBorders>
              <w:top w:val="nil"/>
              <w:left w:val="nil"/>
              <w:bottom w:val="nil"/>
              <w:right w:val="nil"/>
            </w:tcBorders>
          </w:tcPr>
          <w:p w14:paraId="36682FFB"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5605860D"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2CF480B5"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3AFA6D61"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344302F9"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09D5D10B" w14:textId="77777777" w:rsidR="00704829" w:rsidRPr="00AD55AA" w:rsidRDefault="00704829" w:rsidP="00AB6C46">
            <w:pPr>
              <w:widowControl w:val="0"/>
              <w:autoSpaceDE w:val="0"/>
              <w:autoSpaceDN w:val="0"/>
              <w:adjustRightInd w:val="0"/>
              <w:jc w:val="center"/>
              <w:rPr>
                <w:sz w:val="22"/>
                <w:szCs w:val="22"/>
              </w:rPr>
            </w:pPr>
          </w:p>
        </w:tc>
      </w:tr>
      <w:tr w:rsidR="00704829" w:rsidRPr="00AD55AA" w14:paraId="6FB7A79A" w14:textId="77777777" w:rsidTr="00AB6C46">
        <w:trPr>
          <w:jc w:val="center"/>
        </w:trPr>
        <w:tc>
          <w:tcPr>
            <w:tcW w:w="0" w:type="auto"/>
            <w:tcBorders>
              <w:top w:val="nil"/>
              <w:left w:val="nil"/>
              <w:bottom w:val="nil"/>
              <w:right w:val="nil"/>
            </w:tcBorders>
          </w:tcPr>
          <w:p w14:paraId="14549AA6" w14:textId="77777777" w:rsidR="00704829" w:rsidRPr="00AD55AA" w:rsidRDefault="00704829" w:rsidP="00AB6C46">
            <w:pPr>
              <w:widowControl w:val="0"/>
              <w:autoSpaceDE w:val="0"/>
              <w:autoSpaceDN w:val="0"/>
              <w:adjustRightInd w:val="0"/>
              <w:rPr>
                <w:sz w:val="22"/>
                <w:szCs w:val="22"/>
              </w:rPr>
            </w:pPr>
            <w:r w:rsidRPr="00AD55AA">
              <w:rPr>
                <w:sz w:val="22"/>
                <w:szCs w:val="22"/>
              </w:rPr>
              <w:t>Firm fixed effects</w:t>
            </w:r>
          </w:p>
        </w:tc>
        <w:tc>
          <w:tcPr>
            <w:tcW w:w="0" w:type="auto"/>
            <w:tcBorders>
              <w:top w:val="nil"/>
              <w:left w:val="nil"/>
              <w:bottom w:val="nil"/>
              <w:right w:val="nil"/>
            </w:tcBorders>
          </w:tcPr>
          <w:p w14:paraId="0CBD8CFA"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5ED60EE9"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5506F468"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06DB2BFA"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2132C268"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3358C62E"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r>
      <w:tr w:rsidR="00704829" w:rsidRPr="00AD55AA" w14:paraId="4135E5C1" w14:textId="77777777" w:rsidTr="00AB6C46">
        <w:trPr>
          <w:jc w:val="center"/>
        </w:trPr>
        <w:tc>
          <w:tcPr>
            <w:tcW w:w="0" w:type="auto"/>
            <w:tcBorders>
              <w:top w:val="nil"/>
              <w:left w:val="nil"/>
              <w:bottom w:val="nil"/>
              <w:right w:val="nil"/>
            </w:tcBorders>
          </w:tcPr>
          <w:p w14:paraId="73A5B76D" w14:textId="77777777" w:rsidR="00704829" w:rsidRPr="00AD55AA" w:rsidRDefault="00704829" w:rsidP="00AB6C46">
            <w:pPr>
              <w:widowControl w:val="0"/>
              <w:autoSpaceDE w:val="0"/>
              <w:autoSpaceDN w:val="0"/>
              <w:adjustRightInd w:val="0"/>
              <w:rPr>
                <w:sz w:val="22"/>
                <w:szCs w:val="22"/>
              </w:rPr>
            </w:pPr>
            <w:r w:rsidRPr="00AD55AA">
              <w:rPr>
                <w:sz w:val="22"/>
                <w:szCs w:val="22"/>
              </w:rPr>
              <w:t>Year fixed effects</w:t>
            </w:r>
          </w:p>
        </w:tc>
        <w:tc>
          <w:tcPr>
            <w:tcW w:w="0" w:type="auto"/>
            <w:tcBorders>
              <w:top w:val="nil"/>
              <w:left w:val="nil"/>
              <w:bottom w:val="nil"/>
              <w:right w:val="nil"/>
            </w:tcBorders>
          </w:tcPr>
          <w:p w14:paraId="377AD3CC"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7E1C150B"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bottom w:val="nil"/>
              <w:right w:val="nil"/>
            </w:tcBorders>
          </w:tcPr>
          <w:p w14:paraId="16604255"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05DD69C2"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1A2EF7C5"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c>
          <w:tcPr>
            <w:tcW w:w="0" w:type="auto"/>
            <w:tcBorders>
              <w:top w:val="nil"/>
              <w:left w:val="nil"/>
              <w:bottom w:val="nil"/>
              <w:right w:val="nil"/>
            </w:tcBorders>
          </w:tcPr>
          <w:p w14:paraId="16E3EE33"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Yes</w:t>
            </w:r>
          </w:p>
        </w:tc>
      </w:tr>
      <w:tr w:rsidR="00704829" w:rsidRPr="00AD55AA" w14:paraId="3F13B90A" w14:textId="77777777" w:rsidTr="00AB6C46">
        <w:trPr>
          <w:jc w:val="center"/>
        </w:trPr>
        <w:tc>
          <w:tcPr>
            <w:tcW w:w="0" w:type="auto"/>
            <w:tcBorders>
              <w:top w:val="nil"/>
              <w:left w:val="nil"/>
              <w:right w:val="nil"/>
            </w:tcBorders>
          </w:tcPr>
          <w:p w14:paraId="4BBC050A" w14:textId="77777777" w:rsidR="00704829" w:rsidRPr="00AD55AA" w:rsidRDefault="00704829" w:rsidP="00AB6C46">
            <w:pPr>
              <w:widowControl w:val="0"/>
              <w:autoSpaceDE w:val="0"/>
              <w:autoSpaceDN w:val="0"/>
              <w:adjustRightInd w:val="0"/>
              <w:rPr>
                <w:sz w:val="22"/>
                <w:szCs w:val="22"/>
              </w:rPr>
            </w:pPr>
            <w:r w:rsidRPr="00AD55AA">
              <w:rPr>
                <w:sz w:val="22"/>
                <w:szCs w:val="22"/>
              </w:rPr>
              <w:t>Observations</w:t>
            </w:r>
          </w:p>
        </w:tc>
        <w:tc>
          <w:tcPr>
            <w:tcW w:w="0" w:type="auto"/>
            <w:tcBorders>
              <w:top w:val="nil"/>
              <w:left w:val="nil"/>
              <w:right w:val="nil"/>
            </w:tcBorders>
          </w:tcPr>
          <w:p w14:paraId="071A2801"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right w:val="nil"/>
            </w:tcBorders>
          </w:tcPr>
          <w:p w14:paraId="117D59E6"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nil"/>
              <w:left w:val="nil"/>
              <w:right w:val="nil"/>
            </w:tcBorders>
          </w:tcPr>
          <w:p w14:paraId="10EE947D"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2BC34146"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7CABE74E"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41,918</w:t>
            </w:r>
          </w:p>
        </w:tc>
        <w:tc>
          <w:tcPr>
            <w:tcW w:w="0" w:type="auto"/>
            <w:tcBorders>
              <w:top w:val="nil"/>
              <w:left w:val="nil"/>
              <w:right w:val="nil"/>
            </w:tcBorders>
          </w:tcPr>
          <w:p w14:paraId="69D5831C" w14:textId="77777777" w:rsidR="00704829" w:rsidRPr="00AD55AA" w:rsidRDefault="00704829" w:rsidP="00AB6C46">
            <w:pPr>
              <w:widowControl w:val="0"/>
              <w:autoSpaceDE w:val="0"/>
              <w:autoSpaceDN w:val="0"/>
              <w:adjustRightInd w:val="0"/>
              <w:jc w:val="center"/>
              <w:rPr>
                <w:sz w:val="22"/>
                <w:szCs w:val="22"/>
              </w:rPr>
            </w:pPr>
            <w:r w:rsidRPr="00AD55AA">
              <w:rPr>
                <w:sz w:val="22"/>
                <w:szCs w:val="22"/>
              </w:rPr>
              <w:t>41,918</w:t>
            </w:r>
          </w:p>
        </w:tc>
      </w:tr>
      <w:tr w:rsidR="00165583" w:rsidRPr="00AD55AA" w14:paraId="770FFCC7" w14:textId="77777777" w:rsidTr="00AB6C46">
        <w:tblPrEx>
          <w:tblBorders>
            <w:bottom w:val="single" w:sz="6" w:space="0" w:color="auto"/>
          </w:tblBorders>
        </w:tblPrEx>
        <w:trPr>
          <w:jc w:val="center"/>
        </w:trPr>
        <w:tc>
          <w:tcPr>
            <w:tcW w:w="0" w:type="auto"/>
            <w:tcBorders>
              <w:top w:val="nil"/>
              <w:left w:val="nil"/>
              <w:bottom w:val="single" w:sz="4" w:space="0" w:color="auto"/>
              <w:right w:val="nil"/>
            </w:tcBorders>
          </w:tcPr>
          <w:p w14:paraId="72AE95BD" w14:textId="77777777" w:rsidR="00165583" w:rsidRPr="00AD55AA" w:rsidRDefault="00165583" w:rsidP="00165583">
            <w:pPr>
              <w:widowControl w:val="0"/>
              <w:autoSpaceDE w:val="0"/>
              <w:autoSpaceDN w:val="0"/>
              <w:adjustRightInd w:val="0"/>
              <w:rPr>
                <w:sz w:val="22"/>
                <w:szCs w:val="22"/>
              </w:rPr>
            </w:pPr>
            <w:r w:rsidRPr="00AD55AA">
              <w:rPr>
                <w:sz w:val="22"/>
                <w:szCs w:val="22"/>
              </w:rPr>
              <w:t>Adjusted R-squared</w:t>
            </w:r>
          </w:p>
        </w:tc>
        <w:tc>
          <w:tcPr>
            <w:tcW w:w="0" w:type="auto"/>
            <w:tcBorders>
              <w:top w:val="nil"/>
              <w:left w:val="nil"/>
              <w:bottom w:val="single" w:sz="4" w:space="0" w:color="auto"/>
              <w:right w:val="nil"/>
            </w:tcBorders>
          </w:tcPr>
          <w:p w14:paraId="2EB35D16"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3206DE59" w14:textId="77777777" w:rsidR="00165583" w:rsidRPr="00AD55AA" w:rsidRDefault="00165583" w:rsidP="00165583">
            <w:pPr>
              <w:widowControl w:val="0"/>
              <w:autoSpaceDE w:val="0"/>
              <w:autoSpaceDN w:val="0"/>
              <w:adjustRightInd w:val="0"/>
              <w:jc w:val="center"/>
              <w:rPr>
                <w:sz w:val="22"/>
                <w:szCs w:val="22"/>
              </w:rPr>
            </w:pPr>
          </w:p>
        </w:tc>
        <w:tc>
          <w:tcPr>
            <w:tcW w:w="0" w:type="auto"/>
            <w:tcBorders>
              <w:top w:val="nil"/>
              <w:left w:val="nil"/>
              <w:bottom w:val="single" w:sz="4" w:space="0" w:color="auto"/>
              <w:right w:val="nil"/>
            </w:tcBorders>
          </w:tcPr>
          <w:p w14:paraId="4C8CCF81" w14:textId="1FF0DFA1" w:rsidR="00165583" w:rsidRPr="00AD55AA" w:rsidRDefault="00165583" w:rsidP="00165583">
            <w:pPr>
              <w:widowControl w:val="0"/>
              <w:autoSpaceDE w:val="0"/>
              <w:autoSpaceDN w:val="0"/>
              <w:adjustRightInd w:val="0"/>
              <w:jc w:val="center"/>
              <w:rPr>
                <w:sz w:val="22"/>
                <w:szCs w:val="22"/>
              </w:rPr>
            </w:pPr>
            <w:r w:rsidRPr="0097490D">
              <w:rPr>
                <w:sz w:val="22"/>
                <w:szCs w:val="22"/>
              </w:rPr>
              <w:t>0.2098</w:t>
            </w:r>
          </w:p>
        </w:tc>
        <w:tc>
          <w:tcPr>
            <w:tcW w:w="0" w:type="auto"/>
            <w:tcBorders>
              <w:top w:val="nil"/>
              <w:left w:val="nil"/>
              <w:bottom w:val="single" w:sz="4" w:space="0" w:color="auto"/>
              <w:right w:val="nil"/>
            </w:tcBorders>
          </w:tcPr>
          <w:p w14:paraId="5101532A" w14:textId="3B21D6D2" w:rsidR="00165583" w:rsidRPr="00AD55AA" w:rsidRDefault="00165583" w:rsidP="00165583">
            <w:pPr>
              <w:widowControl w:val="0"/>
              <w:autoSpaceDE w:val="0"/>
              <w:autoSpaceDN w:val="0"/>
              <w:adjustRightInd w:val="0"/>
              <w:jc w:val="center"/>
              <w:rPr>
                <w:sz w:val="22"/>
                <w:szCs w:val="22"/>
              </w:rPr>
            </w:pPr>
            <w:r w:rsidRPr="0097490D">
              <w:rPr>
                <w:sz w:val="22"/>
                <w:szCs w:val="22"/>
              </w:rPr>
              <w:t>0.2102</w:t>
            </w:r>
          </w:p>
        </w:tc>
        <w:tc>
          <w:tcPr>
            <w:tcW w:w="0" w:type="auto"/>
            <w:tcBorders>
              <w:top w:val="nil"/>
              <w:left w:val="nil"/>
              <w:bottom w:val="single" w:sz="4" w:space="0" w:color="auto"/>
              <w:right w:val="nil"/>
            </w:tcBorders>
          </w:tcPr>
          <w:p w14:paraId="3AE06127" w14:textId="2256831C" w:rsidR="00165583" w:rsidRPr="00AD55AA" w:rsidRDefault="00165583" w:rsidP="00165583">
            <w:pPr>
              <w:widowControl w:val="0"/>
              <w:autoSpaceDE w:val="0"/>
              <w:autoSpaceDN w:val="0"/>
              <w:adjustRightInd w:val="0"/>
              <w:jc w:val="center"/>
              <w:rPr>
                <w:sz w:val="22"/>
                <w:szCs w:val="22"/>
              </w:rPr>
            </w:pPr>
            <w:r w:rsidRPr="0097490D">
              <w:rPr>
                <w:sz w:val="22"/>
                <w:szCs w:val="22"/>
              </w:rPr>
              <w:t>0.2101</w:t>
            </w:r>
          </w:p>
        </w:tc>
        <w:tc>
          <w:tcPr>
            <w:tcW w:w="0" w:type="auto"/>
            <w:tcBorders>
              <w:top w:val="nil"/>
              <w:left w:val="nil"/>
              <w:bottom w:val="single" w:sz="4" w:space="0" w:color="auto"/>
              <w:right w:val="nil"/>
            </w:tcBorders>
          </w:tcPr>
          <w:p w14:paraId="4CFBE86A" w14:textId="05496E34" w:rsidR="00165583" w:rsidRPr="00AD55AA" w:rsidRDefault="00165583" w:rsidP="00165583">
            <w:pPr>
              <w:widowControl w:val="0"/>
              <w:autoSpaceDE w:val="0"/>
              <w:autoSpaceDN w:val="0"/>
              <w:adjustRightInd w:val="0"/>
              <w:jc w:val="center"/>
              <w:rPr>
                <w:sz w:val="22"/>
                <w:szCs w:val="22"/>
              </w:rPr>
            </w:pPr>
            <w:r w:rsidRPr="0097490D">
              <w:rPr>
                <w:sz w:val="22"/>
                <w:szCs w:val="22"/>
              </w:rPr>
              <w:t>0.2101</w:t>
            </w:r>
          </w:p>
        </w:tc>
      </w:tr>
      <w:tr w:rsidR="00704829" w:rsidRPr="00AD55AA" w14:paraId="7B27AEF8" w14:textId="77777777" w:rsidTr="001975D7">
        <w:tblPrEx>
          <w:tblBorders>
            <w:bottom w:val="single" w:sz="6" w:space="0" w:color="auto"/>
          </w:tblBorders>
        </w:tblPrEx>
        <w:trPr>
          <w:jc w:val="center"/>
        </w:trPr>
        <w:tc>
          <w:tcPr>
            <w:tcW w:w="0" w:type="auto"/>
            <w:tcBorders>
              <w:top w:val="single" w:sz="4" w:space="0" w:color="auto"/>
              <w:left w:val="nil"/>
              <w:bottom w:val="nil"/>
              <w:right w:val="nil"/>
            </w:tcBorders>
          </w:tcPr>
          <w:p w14:paraId="3B614911" w14:textId="77777777" w:rsidR="00704829" w:rsidRPr="00AD55AA" w:rsidRDefault="00704829" w:rsidP="00AB6C46">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1E3CE4E0"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212514BB"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26991BFB"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5AD3420D"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7599CCB4" w14:textId="77777777" w:rsidR="00704829" w:rsidRPr="00AD55AA" w:rsidRDefault="00704829" w:rsidP="00AB6C46">
            <w:pPr>
              <w:widowControl w:val="0"/>
              <w:autoSpaceDE w:val="0"/>
              <w:autoSpaceDN w:val="0"/>
              <w:adjustRightInd w:val="0"/>
              <w:jc w:val="center"/>
              <w:rPr>
                <w:sz w:val="22"/>
                <w:szCs w:val="22"/>
              </w:rPr>
            </w:pPr>
          </w:p>
        </w:tc>
        <w:tc>
          <w:tcPr>
            <w:tcW w:w="0" w:type="auto"/>
            <w:tcBorders>
              <w:top w:val="single" w:sz="4" w:space="0" w:color="auto"/>
              <w:left w:val="nil"/>
              <w:bottom w:val="nil"/>
              <w:right w:val="nil"/>
            </w:tcBorders>
          </w:tcPr>
          <w:p w14:paraId="284F0962" w14:textId="77777777" w:rsidR="00704829" w:rsidRPr="00AD55AA" w:rsidRDefault="00704829" w:rsidP="00AB6C46">
            <w:pPr>
              <w:widowControl w:val="0"/>
              <w:autoSpaceDE w:val="0"/>
              <w:autoSpaceDN w:val="0"/>
              <w:adjustRightInd w:val="0"/>
              <w:jc w:val="center"/>
              <w:rPr>
                <w:sz w:val="22"/>
                <w:szCs w:val="22"/>
              </w:rPr>
            </w:pPr>
          </w:p>
        </w:tc>
      </w:tr>
      <w:tr w:rsidR="001975D7" w:rsidRPr="00AD55AA" w14:paraId="6DEC57E6" w14:textId="77777777" w:rsidTr="001975D7">
        <w:tblPrEx>
          <w:tblBorders>
            <w:bottom w:val="single" w:sz="6" w:space="0" w:color="auto"/>
          </w:tblBorders>
        </w:tblPrEx>
        <w:trPr>
          <w:jc w:val="center"/>
        </w:trPr>
        <w:tc>
          <w:tcPr>
            <w:tcW w:w="0" w:type="auto"/>
            <w:gridSpan w:val="7"/>
            <w:tcBorders>
              <w:top w:val="nil"/>
              <w:left w:val="nil"/>
              <w:bottom w:val="nil"/>
              <w:right w:val="nil"/>
            </w:tcBorders>
          </w:tcPr>
          <w:p w14:paraId="2162FF64" w14:textId="29466CBA" w:rsidR="001975D7" w:rsidRPr="00AD55AA" w:rsidRDefault="001975D7" w:rsidP="001975D7">
            <w:pPr>
              <w:widowControl w:val="0"/>
              <w:autoSpaceDE w:val="0"/>
              <w:autoSpaceDN w:val="0"/>
              <w:adjustRightInd w:val="0"/>
              <w:jc w:val="both"/>
              <w:rPr>
                <w:sz w:val="22"/>
                <w:szCs w:val="22"/>
              </w:rPr>
            </w:pPr>
            <w:r>
              <w:rPr>
                <w:bCs/>
                <w:sz w:val="22"/>
                <w:szCs w:val="22"/>
              </w:rPr>
              <w:t>This</w:t>
            </w:r>
            <w:r w:rsidRPr="003D41AE">
              <w:rPr>
                <w:bCs/>
                <w:sz w:val="22"/>
                <w:szCs w:val="22"/>
              </w:rPr>
              <w:t xml:space="preserve"> table presents </w:t>
            </w:r>
            <w:r w:rsidRPr="00AD55AA">
              <w:rPr>
                <w:sz w:val="22"/>
                <w:szCs w:val="22"/>
              </w:rPr>
              <w:t xml:space="preserve">the results of the length of the treatment effect analysis. The length of the treatment effect </w:t>
            </w:r>
            <w:r w:rsidR="00A665A3">
              <w:rPr>
                <w:sz w:val="22"/>
                <w:szCs w:val="22"/>
              </w:rPr>
              <w:t>ranges from one to four years (c</w:t>
            </w:r>
            <w:r w:rsidRPr="00AD55AA">
              <w:rPr>
                <w:sz w:val="22"/>
                <w:szCs w:val="22"/>
              </w:rPr>
              <w:t>olumns 1</w:t>
            </w:r>
            <w:r w:rsidRPr="00D15D74">
              <w:rPr>
                <w:sz w:val="22"/>
              </w:rPr>
              <w:t>–</w:t>
            </w:r>
            <w:r w:rsidRPr="00AD55AA">
              <w:rPr>
                <w:sz w:val="22"/>
                <w:szCs w:val="22"/>
              </w:rPr>
              <w:t>4).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bookmarkEnd w:id="13"/>
    </w:tbl>
    <w:p w14:paraId="0279B85B" w14:textId="77777777" w:rsidR="00704829" w:rsidRPr="00AD55AA" w:rsidRDefault="00704829" w:rsidP="0047446D">
      <w:pPr>
        <w:spacing w:after="160" w:line="259" w:lineRule="auto"/>
        <w:rPr>
          <w:sz w:val="22"/>
          <w:szCs w:val="22"/>
        </w:rPr>
      </w:pPr>
    </w:p>
    <w:p w14:paraId="46940C63" w14:textId="013EA3F6" w:rsidR="0076530D" w:rsidRDefault="0076530D">
      <w:pPr>
        <w:spacing w:after="160" w:line="259" w:lineRule="auto"/>
        <w:rPr>
          <w:sz w:val="22"/>
          <w:szCs w:val="22"/>
        </w:rPr>
      </w:pPr>
      <w:r w:rsidRPr="00AD55AA">
        <w:rPr>
          <w:sz w:val="22"/>
          <w:szCs w:val="22"/>
        </w:rPr>
        <w:br w:type="page"/>
      </w:r>
    </w:p>
    <w:p w14:paraId="5B24C931" w14:textId="0FA2D34E" w:rsidR="00A50F60" w:rsidRDefault="00A50F60">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1491"/>
        <w:gridCol w:w="190"/>
        <w:gridCol w:w="190"/>
        <w:gridCol w:w="1028"/>
        <w:gridCol w:w="1028"/>
        <w:gridCol w:w="1028"/>
        <w:gridCol w:w="1028"/>
        <w:gridCol w:w="1028"/>
        <w:gridCol w:w="1028"/>
        <w:gridCol w:w="1028"/>
      </w:tblGrid>
      <w:tr w:rsidR="00306C2B" w:rsidRPr="00306C2B" w14:paraId="1FD44297" w14:textId="77777777" w:rsidTr="00306C2B">
        <w:trPr>
          <w:jc w:val="center"/>
        </w:trPr>
        <w:tc>
          <w:tcPr>
            <w:tcW w:w="0" w:type="auto"/>
            <w:gridSpan w:val="10"/>
            <w:tcBorders>
              <w:left w:val="nil"/>
              <w:right w:val="nil"/>
            </w:tcBorders>
          </w:tcPr>
          <w:p w14:paraId="22C94E79" w14:textId="4CB444ED" w:rsidR="00306C2B" w:rsidRPr="00306C2B" w:rsidRDefault="00306C2B" w:rsidP="00306C2B">
            <w:pPr>
              <w:widowControl w:val="0"/>
              <w:autoSpaceDE w:val="0"/>
              <w:autoSpaceDN w:val="0"/>
              <w:adjustRightInd w:val="0"/>
              <w:rPr>
                <w:sz w:val="18"/>
                <w:szCs w:val="18"/>
              </w:rPr>
            </w:pPr>
            <w:r w:rsidRPr="00306C2B">
              <w:rPr>
                <w:b/>
                <w:sz w:val="18"/>
                <w:szCs w:val="18"/>
              </w:rPr>
              <w:t>Table ADDITIONAL</w:t>
            </w:r>
          </w:p>
        </w:tc>
      </w:tr>
      <w:tr w:rsidR="00306C2B" w:rsidRPr="00306C2B" w14:paraId="254A6A3E" w14:textId="77777777" w:rsidTr="00830C24">
        <w:trPr>
          <w:jc w:val="center"/>
        </w:trPr>
        <w:tc>
          <w:tcPr>
            <w:tcW w:w="0" w:type="auto"/>
            <w:gridSpan w:val="10"/>
            <w:tcBorders>
              <w:left w:val="nil"/>
              <w:right w:val="nil"/>
            </w:tcBorders>
          </w:tcPr>
          <w:p w14:paraId="2D0B4B09" w14:textId="621784F8" w:rsidR="00306C2B" w:rsidRPr="00306C2B" w:rsidRDefault="00306C2B" w:rsidP="00830C24">
            <w:pPr>
              <w:widowControl w:val="0"/>
              <w:autoSpaceDE w:val="0"/>
              <w:autoSpaceDN w:val="0"/>
              <w:adjustRightInd w:val="0"/>
              <w:rPr>
                <w:sz w:val="18"/>
                <w:szCs w:val="18"/>
              </w:rPr>
            </w:pPr>
            <w:r w:rsidRPr="00306C2B">
              <w:rPr>
                <w:b/>
                <w:sz w:val="18"/>
                <w:szCs w:val="18"/>
              </w:rPr>
              <w:t xml:space="preserve">CFIUS </w:t>
            </w:r>
            <w:r w:rsidRPr="00306C2B">
              <w:rPr>
                <w:b/>
                <w:bCs/>
                <w:sz w:val="18"/>
                <w:szCs w:val="18"/>
              </w:rPr>
              <w:t xml:space="preserve">interventions </w:t>
            </w:r>
            <w:r w:rsidRPr="00306C2B">
              <w:rPr>
                <w:b/>
                <w:sz w:val="18"/>
                <w:szCs w:val="18"/>
              </w:rPr>
              <w:t>and corporate investment</w:t>
            </w:r>
          </w:p>
        </w:tc>
      </w:tr>
      <w:tr w:rsidR="00306C2B" w:rsidRPr="00306C2B" w14:paraId="3F8C65D0" w14:textId="77777777" w:rsidTr="00306C2B">
        <w:trPr>
          <w:jc w:val="center"/>
        </w:trPr>
        <w:tc>
          <w:tcPr>
            <w:tcW w:w="0" w:type="auto"/>
            <w:gridSpan w:val="10"/>
            <w:tcBorders>
              <w:left w:val="nil"/>
              <w:right w:val="nil"/>
            </w:tcBorders>
          </w:tcPr>
          <w:p w14:paraId="3C8E70DB" w14:textId="49D46E2A" w:rsidR="00306C2B" w:rsidRPr="00306C2B" w:rsidRDefault="00306C2B" w:rsidP="00306C2B">
            <w:pPr>
              <w:widowControl w:val="0"/>
              <w:autoSpaceDE w:val="0"/>
              <w:autoSpaceDN w:val="0"/>
              <w:adjustRightInd w:val="0"/>
              <w:rPr>
                <w:sz w:val="18"/>
                <w:szCs w:val="18"/>
              </w:rPr>
            </w:pPr>
          </w:p>
        </w:tc>
      </w:tr>
      <w:tr w:rsidR="00306C2B" w:rsidRPr="00306C2B" w14:paraId="43C5E743" w14:textId="77777777" w:rsidTr="00830C24">
        <w:trPr>
          <w:jc w:val="center"/>
        </w:trPr>
        <w:tc>
          <w:tcPr>
            <w:tcW w:w="0" w:type="auto"/>
            <w:tcBorders>
              <w:top w:val="single" w:sz="4" w:space="0" w:color="auto"/>
              <w:left w:val="nil"/>
              <w:right w:val="nil"/>
            </w:tcBorders>
          </w:tcPr>
          <w:p w14:paraId="082AB7C1" w14:textId="602F4925" w:rsidR="00306C2B" w:rsidRPr="00306C2B" w:rsidRDefault="00306C2B" w:rsidP="00830C24">
            <w:pPr>
              <w:widowControl w:val="0"/>
              <w:autoSpaceDE w:val="0"/>
              <w:autoSpaceDN w:val="0"/>
              <w:adjustRightInd w:val="0"/>
              <w:rPr>
                <w:sz w:val="18"/>
                <w:szCs w:val="18"/>
              </w:rPr>
            </w:pPr>
          </w:p>
        </w:tc>
        <w:tc>
          <w:tcPr>
            <w:tcW w:w="0" w:type="auto"/>
            <w:gridSpan w:val="9"/>
            <w:tcBorders>
              <w:top w:val="single" w:sz="4" w:space="0" w:color="auto"/>
              <w:left w:val="nil"/>
              <w:right w:val="nil"/>
            </w:tcBorders>
          </w:tcPr>
          <w:p w14:paraId="22D440C7" w14:textId="25A0757C" w:rsidR="00306C2B" w:rsidRPr="00306C2B" w:rsidRDefault="00306C2B" w:rsidP="00830C24">
            <w:pPr>
              <w:widowControl w:val="0"/>
              <w:autoSpaceDE w:val="0"/>
              <w:autoSpaceDN w:val="0"/>
              <w:adjustRightInd w:val="0"/>
              <w:jc w:val="center"/>
              <w:rPr>
                <w:sz w:val="18"/>
                <w:szCs w:val="18"/>
              </w:rPr>
            </w:pPr>
            <w:r w:rsidRPr="00306C2B">
              <w:rPr>
                <w:sz w:val="18"/>
                <w:szCs w:val="18"/>
              </w:rPr>
              <w:t>Capex</w:t>
            </w:r>
          </w:p>
        </w:tc>
      </w:tr>
      <w:tr w:rsidR="00306C2B" w:rsidRPr="00306C2B" w14:paraId="22DA65D3" w14:textId="77777777" w:rsidTr="00306C2B">
        <w:trPr>
          <w:jc w:val="center"/>
        </w:trPr>
        <w:tc>
          <w:tcPr>
            <w:tcW w:w="0" w:type="auto"/>
            <w:tcBorders>
              <w:left w:val="nil"/>
              <w:bottom w:val="single" w:sz="6" w:space="0" w:color="auto"/>
              <w:right w:val="nil"/>
            </w:tcBorders>
          </w:tcPr>
          <w:p w14:paraId="1A45CE6F" w14:textId="77777777" w:rsidR="00306C2B" w:rsidRPr="00306C2B" w:rsidRDefault="00306C2B" w:rsidP="00306C2B">
            <w:pPr>
              <w:widowControl w:val="0"/>
              <w:autoSpaceDE w:val="0"/>
              <w:autoSpaceDN w:val="0"/>
              <w:adjustRightInd w:val="0"/>
              <w:rPr>
                <w:sz w:val="18"/>
                <w:szCs w:val="18"/>
              </w:rPr>
            </w:pPr>
            <w:r w:rsidRPr="00306C2B">
              <w:rPr>
                <w:sz w:val="18"/>
                <w:szCs w:val="18"/>
              </w:rPr>
              <w:t>Variable:</w:t>
            </w:r>
          </w:p>
        </w:tc>
        <w:tc>
          <w:tcPr>
            <w:tcW w:w="0" w:type="auto"/>
            <w:tcBorders>
              <w:left w:val="nil"/>
              <w:bottom w:val="single" w:sz="6" w:space="0" w:color="auto"/>
              <w:right w:val="nil"/>
            </w:tcBorders>
          </w:tcPr>
          <w:p w14:paraId="030D2AAE" w14:textId="152E4173" w:rsidR="00306C2B" w:rsidRPr="00306C2B" w:rsidRDefault="00306C2B" w:rsidP="00306C2B">
            <w:pPr>
              <w:widowControl w:val="0"/>
              <w:autoSpaceDE w:val="0"/>
              <w:autoSpaceDN w:val="0"/>
              <w:adjustRightInd w:val="0"/>
              <w:jc w:val="center"/>
              <w:rPr>
                <w:sz w:val="18"/>
                <w:szCs w:val="18"/>
              </w:rPr>
            </w:pPr>
          </w:p>
        </w:tc>
        <w:tc>
          <w:tcPr>
            <w:tcW w:w="0" w:type="auto"/>
            <w:tcBorders>
              <w:left w:val="nil"/>
              <w:bottom w:val="single" w:sz="6" w:space="0" w:color="auto"/>
              <w:right w:val="nil"/>
            </w:tcBorders>
          </w:tcPr>
          <w:p w14:paraId="2B2B0B16" w14:textId="0E0FF4C7" w:rsidR="00306C2B" w:rsidRPr="00306C2B" w:rsidRDefault="00306C2B" w:rsidP="00306C2B">
            <w:pPr>
              <w:widowControl w:val="0"/>
              <w:autoSpaceDE w:val="0"/>
              <w:autoSpaceDN w:val="0"/>
              <w:adjustRightInd w:val="0"/>
              <w:jc w:val="center"/>
              <w:rPr>
                <w:sz w:val="18"/>
                <w:szCs w:val="18"/>
              </w:rPr>
            </w:pPr>
          </w:p>
        </w:tc>
        <w:tc>
          <w:tcPr>
            <w:tcW w:w="0" w:type="auto"/>
            <w:tcBorders>
              <w:left w:val="nil"/>
              <w:bottom w:val="single" w:sz="6" w:space="0" w:color="auto"/>
              <w:right w:val="nil"/>
            </w:tcBorders>
          </w:tcPr>
          <w:p w14:paraId="0F4F02C5" w14:textId="18CD5ABF" w:rsidR="00306C2B" w:rsidRPr="00306C2B" w:rsidRDefault="00306C2B" w:rsidP="00306C2B">
            <w:pPr>
              <w:widowControl w:val="0"/>
              <w:autoSpaceDE w:val="0"/>
              <w:autoSpaceDN w:val="0"/>
              <w:adjustRightInd w:val="0"/>
              <w:jc w:val="center"/>
              <w:rPr>
                <w:sz w:val="18"/>
                <w:szCs w:val="18"/>
              </w:rPr>
            </w:pPr>
            <w:r w:rsidRPr="00306C2B">
              <w:rPr>
                <w:sz w:val="18"/>
                <w:szCs w:val="18"/>
              </w:rPr>
              <w:t>(1)</w:t>
            </w:r>
          </w:p>
        </w:tc>
        <w:tc>
          <w:tcPr>
            <w:tcW w:w="0" w:type="auto"/>
            <w:tcBorders>
              <w:left w:val="nil"/>
              <w:bottom w:val="single" w:sz="6" w:space="0" w:color="auto"/>
              <w:right w:val="nil"/>
            </w:tcBorders>
          </w:tcPr>
          <w:p w14:paraId="3447CC45" w14:textId="191F034B" w:rsidR="00306C2B" w:rsidRPr="00306C2B" w:rsidRDefault="00306C2B" w:rsidP="00306C2B">
            <w:pPr>
              <w:widowControl w:val="0"/>
              <w:autoSpaceDE w:val="0"/>
              <w:autoSpaceDN w:val="0"/>
              <w:adjustRightInd w:val="0"/>
              <w:jc w:val="center"/>
              <w:rPr>
                <w:sz w:val="18"/>
                <w:szCs w:val="18"/>
              </w:rPr>
            </w:pPr>
            <w:r w:rsidRPr="00306C2B">
              <w:rPr>
                <w:sz w:val="18"/>
                <w:szCs w:val="18"/>
              </w:rPr>
              <w:t>(2)</w:t>
            </w:r>
          </w:p>
        </w:tc>
        <w:tc>
          <w:tcPr>
            <w:tcW w:w="0" w:type="auto"/>
            <w:tcBorders>
              <w:left w:val="nil"/>
              <w:bottom w:val="single" w:sz="6" w:space="0" w:color="auto"/>
              <w:right w:val="nil"/>
            </w:tcBorders>
          </w:tcPr>
          <w:p w14:paraId="44CCDF85" w14:textId="55CE06AC" w:rsidR="00306C2B" w:rsidRPr="00306C2B" w:rsidRDefault="00306C2B" w:rsidP="00306C2B">
            <w:pPr>
              <w:widowControl w:val="0"/>
              <w:autoSpaceDE w:val="0"/>
              <w:autoSpaceDN w:val="0"/>
              <w:adjustRightInd w:val="0"/>
              <w:jc w:val="center"/>
              <w:rPr>
                <w:sz w:val="18"/>
                <w:szCs w:val="18"/>
              </w:rPr>
            </w:pPr>
            <w:r w:rsidRPr="00306C2B">
              <w:rPr>
                <w:sz w:val="18"/>
                <w:szCs w:val="18"/>
              </w:rPr>
              <w:t>(3)</w:t>
            </w:r>
          </w:p>
        </w:tc>
        <w:tc>
          <w:tcPr>
            <w:tcW w:w="0" w:type="auto"/>
            <w:tcBorders>
              <w:left w:val="nil"/>
              <w:bottom w:val="single" w:sz="6" w:space="0" w:color="auto"/>
              <w:right w:val="nil"/>
            </w:tcBorders>
          </w:tcPr>
          <w:p w14:paraId="17F3FAE7" w14:textId="5BE2D7B0" w:rsidR="00306C2B" w:rsidRPr="00306C2B" w:rsidRDefault="00306C2B" w:rsidP="00306C2B">
            <w:pPr>
              <w:widowControl w:val="0"/>
              <w:autoSpaceDE w:val="0"/>
              <w:autoSpaceDN w:val="0"/>
              <w:adjustRightInd w:val="0"/>
              <w:jc w:val="center"/>
              <w:rPr>
                <w:sz w:val="18"/>
                <w:szCs w:val="18"/>
              </w:rPr>
            </w:pPr>
            <w:r w:rsidRPr="00306C2B">
              <w:rPr>
                <w:sz w:val="18"/>
                <w:szCs w:val="18"/>
              </w:rPr>
              <w:t>(4)</w:t>
            </w:r>
          </w:p>
        </w:tc>
        <w:tc>
          <w:tcPr>
            <w:tcW w:w="0" w:type="auto"/>
            <w:tcBorders>
              <w:left w:val="nil"/>
              <w:bottom w:val="single" w:sz="6" w:space="0" w:color="auto"/>
              <w:right w:val="nil"/>
            </w:tcBorders>
          </w:tcPr>
          <w:p w14:paraId="6496083B" w14:textId="287967A9" w:rsidR="00306C2B" w:rsidRPr="00306C2B" w:rsidRDefault="00306C2B" w:rsidP="00306C2B">
            <w:pPr>
              <w:widowControl w:val="0"/>
              <w:autoSpaceDE w:val="0"/>
              <w:autoSpaceDN w:val="0"/>
              <w:adjustRightInd w:val="0"/>
              <w:jc w:val="center"/>
              <w:rPr>
                <w:sz w:val="18"/>
                <w:szCs w:val="18"/>
              </w:rPr>
            </w:pPr>
            <w:r w:rsidRPr="00306C2B">
              <w:rPr>
                <w:sz w:val="18"/>
                <w:szCs w:val="18"/>
              </w:rPr>
              <w:t>(5)</w:t>
            </w:r>
          </w:p>
        </w:tc>
        <w:tc>
          <w:tcPr>
            <w:tcW w:w="0" w:type="auto"/>
            <w:tcBorders>
              <w:left w:val="nil"/>
              <w:bottom w:val="single" w:sz="6" w:space="0" w:color="auto"/>
              <w:right w:val="nil"/>
            </w:tcBorders>
          </w:tcPr>
          <w:p w14:paraId="2D55157A" w14:textId="61784491" w:rsidR="00306C2B" w:rsidRPr="00306C2B" w:rsidRDefault="00306C2B" w:rsidP="00306C2B">
            <w:pPr>
              <w:widowControl w:val="0"/>
              <w:autoSpaceDE w:val="0"/>
              <w:autoSpaceDN w:val="0"/>
              <w:adjustRightInd w:val="0"/>
              <w:jc w:val="center"/>
              <w:rPr>
                <w:sz w:val="18"/>
                <w:szCs w:val="18"/>
              </w:rPr>
            </w:pPr>
            <w:r w:rsidRPr="00306C2B">
              <w:rPr>
                <w:sz w:val="18"/>
                <w:szCs w:val="18"/>
              </w:rPr>
              <w:t>(6)</w:t>
            </w:r>
          </w:p>
        </w:tc>
        <w:tc>
          <w:tcPr>
            <w:tcW w:w="0" w:type="auto"/>
            <w:tcBorders>
              <w:left w:val="nil"/>
              <w:bottom w:val="single" w:sz="6" w:space="0" w:color="auto"/>
              <w:right w:val="nil"/>
            </w:tcBorders>
          </w:tcPr>
          <w:p w14:paraId="3425A291" w14:textId="27329727" w:rsidR="00306C2B" w:rsidRPr="00306C2B" w:rsidRDefault="00306C2B" w:rsidP="00306C2B">
            <w:pPr>
              <w:widowControl w:val="0"/>
              <w:autoSpaceDE w:val="0"/>
              <w:autoSpaceDN w:val="0"/>
              <w:adjustRightInd w:val="0"/>
              <w:jc w:val="center"/>
              <w:rPr>
                <w:sz w:val="18"/>
                <w:szCs w:val="18"/>
              </w:rPr>
            </w:pPr>
            <w:r w:rsidRPr="00306C2B">
              <w:rPr>
                <w:sz w:val="18"/>
                <w:szCs w:val="18"/>
              </w:rPr>
              <w:t>(7)</w:t>
            </w:r>
          </w:p>
        </w:tc>
      </w:tr>
      <w:tr w:rsidR="00306C2B" w:rsidRPr="00306C2B" w14:paraId="6222E117" w14:textId="77777777" w:rsidTr="00306C2B">
        <w:trPr>
          <w:jc w:val="center"/>
        </w:trPr>
        <w:tc>
          <w:tcPr>
            <w:tcW w:w="0" w:type="auto"/>
            <w:tcBorders>
              <w:top w:val="nil"/>
              <w:left w:val="nil"/>
              <w:bottom w:val="nil"/>
              <w:right w:val="nil"/>
            </w:tcBorders>
          </w:tcPr>
          <w:p w14:paraId="2F811EA1"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0780CB34"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73002CA8"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16FBAC0C"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6132DD1"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79D912D2"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74D59279"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18DF19B" w14:textId="05ED1F4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8BE0DA8" w14:textId="6AC6A3FC"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5E1EE422" w14:textId="77777777" w:rsidR="00306C2B" w:rsidRPr="00306C2B" w:rsidRDefault="00306C2B" w:rsidP="00306C2B">
            <w:pPr>
              <w:widowControl w:val="0"/>
              <w:autoSpaceDE w:val="0"/>
              <w:autoSpaceDN w:val="0"/>
              <w:adjustRightInd w:val="0"/>
              <w:jc w:val="center"/>
              <w:rPr>
                <w:sz w:val="18"/>
                <w:szCs w:val="18"/>
              </w:rPr>
            </w:pPr>
          </w:p>
        </w:tc>
      </w:tr>
      <w:tr w:rsidR="00306C2B" w:rsidRPr="00306C2B" w14:paraId="1FCEAA8F" w14:textId="77777777" w:rsidTr="00306C2B">
        <w:trPr>
          <w:jc w:val="center"/>
        </w:trPr>
        <w:tc>
          <w:tcPr>
            <w:tcW w:w="0" w:type="auto"/>
            <w:tcBorders>
              <w:top w:val="nil"/>
              <w:left w:val="nil"/>
              <w:bottom w:val="nil"/>
              <w:right w:val="nil"/>
            </w:tcBorders>
          </w:tcPr>
          <w:p w14:paraId="6F22090B" w14:textId="77777777" w:rsidR="00306C2B" w:rsidRPr="00306C2B" w:rsidRDefault="00306C2B" w:rsidP="00306C2B">
            <w:pPr>
              <w:widowControl w:val="0"/>
              <w:autoSpaceDE w:val="0"/>
              <w:autoSpaceDN w:val="0"/>
              <w:adjustRightInd w:val="0"/>
              <w:rPr>
                <w:sz w:val="18"/>
                <w:szCs w:val="18"/>
              </w:rPr>
            </w:pPr>
            <w:r w:rsidRPr="00306C2B">
              <w:rPr>
                <w:sz w:val="18"/>
                <w:szCs w:val="18"/>
              </w:rPr>
              <w:t xml:space="preserve">CFIUS Block </w:t>
            </w:r>
            <m:oMath>
              <m:r>
                <w:rPr>
                  <w:rFonts w:ascii="Cambria Math" w:eastAsiaTheme="minorHAnsi" w:hAnsi="Cambria Math"/>
                  <w:sz w:val="18"/>
                  <w:szCs w:val="18"/>
                  <w:lang w:eastAsia="en-US"/>
                </w:rPr>
                <m:t>i, t</m:t>
              </m:r>
            </m:oMath>
            <w:r w:rsidRPr="00306C2B">
              <w:rPr>
                <w:sz w:val="18"/>
                <w:szCs w:val="18"/>
                <w:lang w:eastAsia="en-US"/>
              </w:rPr>
              <w:t xml:space="preserve"> </w:t>
            </w:r>
          </w:p>
        </w:tc>
        <w:tc>
          <w:tcPr>
            <w:tcW w:w="0" w:type="auto"/>
            <w:tcBorders>
              <w:top w:val="nil"/>
              <w:left w:val="nil"/>
              <w:bottom w:val="nil"/>
              <w:right w:val="nil"/>
            </w:tcBorders>
          </w:tcPr>
          <w:p w14:paraId="07C1D519"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3218DB5A"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46DDB003" w14:textId="16FE902E" w:rsidR="00306C2B" w:rsidRPr="00306C2B" w:rsidRDefault="00306C2B" w:rsidP="00306C2B">
            <w:pPr>
              <w:widowControl w:val="0"/>
              <w:autoSpaceDE w:val="0"/>
              <w:autoSpaceDN w:val="0"/>
              <w:adjustRightInd w:val="0"/>
              <w:jc w:val="center"/>
              <w:rPr>
                <w:sz w:val="18"/>
                <w:szCs w:val="18"/>
              </w:rPr>
            </w:pPr>
            <w:r w:rsidRPr="00306C2B">
              <w:rPr>
                <w:sz w:val="18"/>
                <w:szCs w:val="18"/>
              </w:rPr>
              <w:t>-0.076**</w:t>
            </w:r>
          </w:p>
        </w:tc>
        <w:tc>
          <w:tcPr>
            <w:tcW w:w="0" w:type="auto"/>
            <w:tcBorders>
              <w:top w:val="nil"/>
              <w:left w:val="nil"/>
              <w:bottom w:val="nil"/>
              <w:right w:val="nil"/>
            </w:tcBorders>
          </w:tcPr>
          <w:p w14:paraId="264A029F" w14:textId="3EEDF094" w:rsidR="00306C2B" w:rsidRPr="00306C2B" w:rsidRDefault="00306C2B" w:rsidP="00306C2B">
            <w:pPr>
              <w:widowControl w:val="0"/>
              <w:autoSpaceDE w:val="0"/>
              <w:autoSpaceDN w:val="0"/>
              <w:adjustRightInd w:val="0"/>
              <w:jc w:val="center"/>
              <w:rPr>
                <w:sz w:val="18"/>
                <w:szCs w:val="18"/>
              </w:rPr>
            </w:pPr>
            <w:r w:rsidRPr="00306C2B">
              <w:rPr>
                <w:sz w:val="18"/>
                <w:szCs w:val="18"/>
              </w:rPr>
              <w:t>-0.079**</w:t>
            </w:r>
          </w:p>
        </w:tc>
        <w:tc>
          <w:tcPr>
            <w:tcW w:w="0" w:type="auto"/>
            <w:tcBorders>
              <w:top w:val="nil"/>
              <w:left w:val="nil"/>
              <w:bottom w:val="nil"/>
              <w:right w:val="nil"/>
            </w:tcBorders>
          </w:tcPr>
          <w:p w14:paraId="6FCAC4B4" w14:textId="49333CA0" w:rsidR="00306C2B" w:rsidRPr="00306C2B" w:rsidRDefault="00306C2B" w:rsidP="00306C2B">
            <w:pPr>
              <w:widowControl w:val="0"/>
              <w:autoSpaceDE w:val="0"/>
              <w:autoSpaceDN w:val="0"/>
              <w:adjustRightInd w:val="0"/>
              <w:jc w:val="center"/>
              <w:rPr>
                <w:sz w:val="18"/>
                <w:szCs w:val="18"/>
              </w:rPr>
            </w:pPr>
            <w:r w:rsidRPr="00306C2B">
              <w:rPr>
                <w:sz w:val="18"/>
                <w:szCs w:val="18"/>
              </w:rPr>
              <w:t>-0.063***</w:t>
            </w:r>
          </w:p>
        </w:tc>
        <w:tc>
          <w:tcPr>
            <w:tcW w:w="0" w:type="auto"/>
            <w:tcBorders>
              <w:top w:val="nil"/>
              <w:left w:val="nil"/>
              <w:bottom w:val="nil"/>
              <w:right w:val="nil"/>
            </w:tcBorders>
          </w:tcPr>
          <w:p w14:paraId="6A4F9991" w14:textId="4DA99E51" w:rsidR="00306C2B" w:rsidRPr="00306C2B" w:rsidRDefault="00306C2B" w:rsidP="00306C2B">
            <w:pPr>
              <w:widowControl w:val="0"/>
              <w:autoSpaceDE w:val="0"/>
              <w:autoSpaceDN w:val="0"/>
              <w:adjustRightInd w:val="0"/>
              <w:jc w:val="center"/>
              <w:rPr>
                <w:sz w:val="18"/>
                <w:szCs w:val="18"/>
              </w:rPr>
            </w:pPr>
            <w:r w:rsidRPr="00306C2B">
              <w:rPr>
                <w:sz w:val="18"/>
                <w:szCs w:val="18"/>
              </w:rPr>
              <w:t>-0.081**</w:t>
            </w:r>
          </w:p>
        </w:tc>
        <w:tc>
          <w:tcPr>
            <w:tcW w:w="0" w:type="auto"/>
            <w:tcBorders>
              <w:top w:val="nil"/>
              <w:left w:val="nil"/>
              <w:bottom w:val="nil"/>
              <w:right w:val="nil"/>
            </w:tcBorders>
          </w:tcPr>
          <w:p w14:paraId="082296D6" w14:textId="7F2B5B3E" w:rsidR="00306C2B" w:rsidRPr="00306C2B" w:rsidRDefault="00306C2B" w:rsidP="00306C2B">
            <w:pPr>
              <w:widowControl w:val="0"/>
              <w:autoSpaceDE w:val="0"/>
              <w:autoSpaceDN w:val="0"/>
              <w:adjustRightInd w:val="0"/>
              <w:jc w:val="center"/>
              <w:rPr>
                <w:sz w:val="18"/>
                <w:szCs w:val="18"/>
              </w:rPr>
            </w:pPr>
            <w:r w:rsidRPr="00306C2B">
              <w:rPr>
                <w:sz w:val="18"/>
                <w:szCs w:val="18"/>
              </w:rPr>
              <w:t>-0.079**</w:t>
            </w:r>
          </w:p>
        </w:tc>
        <w:tc>
          <w:tcPr>
            <w:tcW w:w="0" w:type="auto"/>
            <w:tcBorders>
              <w:top w:val="nil"/>
              <w:left w:val="nil"/>
              <w:bottom w:val="nil"/>
              <w:right w:val="nil"/>
            </w:tcBorders>
          </w:tcPr>
          <w:p w14:paraId="7EA3D92B" w14:textId="3D586737" w:rsidR="00306C2B" w:rsidRPr="00306C2B" w:rsidRDefault="00306C2B" w:rsidP="00306C2B">
            <w:pPr>
              <w:widowControl w:val="0"/>
              <w:autoSpaceDE w:val="0"/>
              <w:autoSpaceDN w:val="0"/>
              <w:adjustRightInd w:val="0"/>
              <w:jc w:val="center"/>
              <w:rPr>
                <w:sz w:val="18"/>
                <w:szCs w:val="18"/>
              </w:rPr>
            </w:pPr>
            <w:r w:rsidRPr="00306C2B">
              <w:rPr>
                <w:sz w:val="18"/>
                <w:szCs w:val="18"/>
              </w:rPr>
              <w:t>-0.079**</w:t>
            </w:r>
          </w:p>
        </w:tc>
        <w:tc>
          <w:tcPr>
            <w:tcW w:w="0" w:type="auto"/>
            <w:tcBorders>
              <w:top w:val="nil"/>
              <w:left w:val="nil"/>
              <w:bottom w:val="nil"/>
              <w:right w:val="nil"/>
            </w:tcBorders>
          </w:tcPr>
          <w:p w14:paraId="6ECF3FC7" w14:textId="57BCA61A" w:rsidR="00306C2B" w:rsidRPr="00306C2B" w:rsidRDefault="00306C2B" w:rsidP="00306C2B">
            <w:pPr>
              <w:widowControl w:val="0"/>
              <w:autoSpaceDE w:val="0"/>
              <w:autoSpaceDN w:val="0"/>
              <w:adjustRightInd w:val="0"/>
              <w:jc w:val="center"/>
              <w:rPr>
                <w:sz w:val="18"/>
                <w:szCs w:val="18"/>
              </w:rPr>
            </w:pPr>
            <w:r w:rsidRPr="00306C2B">
              <w:rPr>
                <w:sz w:val="18"/>
                <w:szCs w:val="18"/>
              </w:rPr>
              <w:t>-0.079**</w:t>
            </w:r>
          </w:p>
        </w:tc>
      </w:tr>
      <w:tr w:rsidR="00306C2B" w:rsidRPr="00306C2B" w14:paraId="3E4C07E5" w14:textId="77777777" w:rsidTr="00306C2B">
        <w:trPr>
          <w:jc w:val="center"/>
        </w:trPr>
        <w:tc>
          <w:tcPr>
            <w:tcW w:w="0" w:type="auto"/>
            <w:tcBorders>
              <w:top w:val="nil"/>
              <w:left w:val="nil"/>
              <w:bottom w:val="nil"/>
              <w:right w:val="nil"/>
            </w:tcBorders>
          </w:tcPr>
          <w:p w14:paraId="5671EDC4"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6BBB4C6C"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B6FAB5F"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9ADACB8" w14:textId="7B3D1A9E" w:rsidR="00306C2B" w:rsidRPr="00306C2B" w:rsidRDefault="00306C2B" w:rsidP="00306C2B">
            <w:pPr>
              <w:widowControl w:val="0"/>
              <w:autoSpaceDE w:val="0"/>
              <w:autoSpaceDN w:val="0"/>
              <w:adjustRightInd w:val="0"/>
              <w:jc w:val="center"/>
              <w:rPr>
                <w:sz w:val="18"/>
                <w:szCs w:val="18"/>
              </w:rPr>
            </w:pPr>
            <w:r w:rsidRPr="00306C2B">
              <w:rPr>
                <w:sz w:val="18"/>
                <w:szCs w:val="18"/>
              </w:rPr>
              <w:t>(-2.44)</w:t>
            </w:r>
          </w:p>
        </w:tc>
        <w:tc>
          <w:tcPr>
            <w:tcW w:w="0" w:type="auto"/>
            <w:tcBorders>
              <w:top w:val="nil"/>
              <w:left w:val="nil"/>
              <w:bottom w:val="nil"/>
              <w:right w:val="nil"/>
            </w:tcBorders>
          </w:tcPr>
          <w:p w14:paraId="18F9E4CB" w14:textId="7233242B" w:rsidR="00306C2B" w:rsidRPr="00306C2B" w:rsidRDefault="00306C2B" w:rsidP="00306C2B">
            <w:pPr>
              <w:widowControl w:val="0"/>
              <w:autoSpaceDE w:val="0"/>
              <w:autoSpaceDN w:val="0"/>
              <w:adjustRightInd w:val="0"/>
              <w:jc w:val="center"/>
              <w:rPr>
                <w:sz w:val="18"/>
                <w:szCs w:val="18"/>
              </w:rPr>
            </w:pPr>
            <w:r w:rsidRPr="00306C2B">
              <w:rPr>
                <w:sz w:val="18"/>
                <w:szCs w:val="18"/>
              </w:rPr>
              <w:t>(-2.53)</w:t>
            </w:r>
          </w:p>
        </w:tc>
        <w:tc>
          <w:tcPr>
            <w:tcW w:w="0" w:type="auto"/>
            <w:tcBorders>
              <w:top w:val="nil"/>
              <w:left w:val="nil"/>
              <w:bottom w:val="nil"/>
              <w:right w:val="nil"/>
            </w:tcBorders>
          </w:tcPr>
          <w:p w14:paraId="1C56143E" w14:textId="2EFF80BB" w:rsidR="00306C2B" w:rsidRPr="00306C2B" w:rsidRDefault="00306C2B" w:rsidP="00306C2B">
            <w:pPr>
              <w:widowControl w:val="0"/>
              <w:autoSpaceDE w:val="0"/>
              <w:autoSpaceDN w:val="0"/>
              <w:adjustRightInd w:val="0"/>
              <w:jc w:val="center"/>
              <w:rPr>
                <w:sz w:val="18"/>
                <w:szCs w:val="18"/>
              </w:rPr>
            </w:pPr>
            <w:r w:rsidRPr="00306C2B">
              <w:rPr>
                <w:sz w:val="18"/>
                <w:szCs w:val="18"/>
              </w:rPr>
              <w:t>(-3.10)</w:t>
            </w:r>
          </w:p>
        </w:tc>
        <w:tc>
          <w:tcPr>
            <w:tcW w:w="0" w:type="auto"/>
            <w:tcBorders>
              <w:top w:val="nil"/>
              <w:left w:val="nil"/>
              <w:bottom w:val="nil"/>
              <w:right w:val="nil"/>
            </w:tcBorders>
          </w:tcPr>
          <w:p w14:paraId="021E5971" w14:textId="1AFA4A32" w:rsidR="00306C2B" w:rsidRPr="00306C2B" w:rsidRDefault="00306C2B" w:rsidP="00306C2B">
            <w:pPr>
              <w:widowControl w:val="0"/>
              <w:autoSpaceDE w:val="0"/>
              <w:autoSpaceDN w:val="0"/>
              <w:adjustRightInd w:val="0"/>
              <w:jc w:val="center"/>
              <w:rPr>
                <w:sz w:val="18"/>
                <w:szCs w:val="18"/>
              </w:rPr>
            </w:pPr>
            <w:r w:rsidRPr="00306C2B">
              <w:rPr>
                <w:sz w:val="18"/>
                <w:szCs w:val="18"/>
              </w:rPr>
              <w:t>(-2.50)</w:t>
            </w:r>
          </w:p>
        </w:tc>
        <w:tc>
          <w:tcPr>
            <w:tcW w:w="0" w:type="auto"/>
            <w:tcBorders>
              <w:top w:val="nil"/>
              <w:left w:val="nil"/>
              <w:bottom w:val="nil"/>
              <w:right w:val="nil"/>
            </w:tcBorders>
          </w:tcPr>
          <w:p w14:paraId="77C6F2A1" w14:textId="0EFD25DA" w:rsidR="00306C2B" w:rsidRPr="00306C2B" w:rsidRDefault="00306C2B" w:rsidP="00306C2B">
            <w:pPr>
              <w:widowControl w:val="0"/>
              <w:autoSpaceDE w:val="0"/>
              <w:autoSpaceDN w:val="0"/>
              <w:adjustRightInd w:val="0"/>
              <w:jc w:val="center"/>
              <w:rPr>
                <w:sz w:val="18"/>
                <w:szCs w:val="18"/>
              </w:rPr>
            </w:pPr>
            <w:r w:rsidRPr="00306C2B">
              <w:rPr>
                <w:sz w:val="18"/>
                <w:szCs w:val="18"/>
              </w:rPr>
              <w:t>(-2.47)</w:t>
            </w:r>
          </w:p>
        </w:tc>
        <w:tc>
          <w:tcPr>
            <w:tcW w:w="0" w:type="auto"/>
            <w:tcBorders>
              <w:top w:val="nil"/>
              <w:left w:val="nil"/>
              <w:bottom w:val="nil"/>
              <w:right w:val="nil"/>
            </w:tcBorders>
          </w:tcPr>
          <w:p w14:paraId="560E10C9" w14:textId="20A1CCD3" w:rsidR="00306C2B" w:rsidRPr="00306C2B" w:rsidRDefault="00306C2B" w:rsidP="00306C2B">
            <w:pPr>
              <w:widowControl w:val="0"/>
              <w:autoSpaceDE w:val="0"/>
              <w:autoSpaceDN w:val="0"/>
              <w:adjustRightInd w:val="0"/>
              <w:jc w:val="center"/>
              <w:rPr>
                <w:sz w:val="18"/>
                <w:szCs w:val="18"/>
              </w:rPr>
            </w:pPr>
            <w:r w:rsidRPr="00306C2B">
              <w:rPr>
                <w:sz w:val="18"/>
                <w:szCs w:val="18"/>
              </w:rPr>
              <w:t>(-2.48)</w:t>
            </w:r>
          </w:p>
        </w:tc>
        <w:tc>
          <w:tcPr>
            <w:tcW w:w="0" w:type="auto"/>
            <w:tcBorders>
              <w:top w:val="nil"/>
              <w:left w:val="nil"/>
              <w:bottom w:val="nil"/>
              <w:right w:val="nil"/>
            </w:tcBorders>
          </w:tcPr>
          <w:p w14:paraId="74A6CE7A" w14:textId="5A12DF13" w:rsidR="00306C2B" w:rsidRPr="00306C2B" w:rsidRDefault="00306C2B" w:rsidP="00306C2B">
            <w:pPr>
              <w:widowControl w:val="0"/>
              <w:autoSpaceDE w:val="0"/>
              <w:autoSpaceDN w:val="0"/>
              <w:adjustRightInd w:val="0"/>
              <w:jc w:val="center"/>
              <w:rPr>
                <w:sz w:val="18"/>
                <w:szCs w:val="18"/>
              </w:rPr>
            </w:pPr>
            <w:r w:rsidRPr="00306C2B">
              <w:rPr>
                <w:sz w:val="18"/>
                <w:szCs w:val="18"/>
              </w:rPr>
              <w:t>(-2.49)</w:t>
            </w:r>
          </w:p>
        </w:tc>
      </w:tr>
      <w:tr w:rsidR="00306C2B" w:rsidRPr="00306C2B" w14:paraId="5398860D" w14:textId="77777777" w:rsidTr="00306C2B">
        <w:trPr>
          <w:jc w:val="center"/>
        </w:trPr>
        <w:tc>
          <w:tcPr>
            <w:tcW w:w="0" w:type="auto"/>
            <w:tcBorders>
              <w:top w:val="nil"/>
              <w:left w:val="nil"/>
              <w:bottom w:val="nil"/>
              <w:right w:val="nil"/>
            </w:tcBorders>
          </w:tcPr>
          <w:p w14:paraId="05D7B37D" w14:textId="77777777" w:rsidR="00306C2B" w:rsidRPr="00306C2B" w:rsidRDefault="00306C2B" w:rsidP="00306C2B">
            <w:pPr>
              <w:widowControl w:val="0"/>
              <w:autoSpaceDE w:val="0"/>
              <w:autoSpaceDN w:val="0"/>
              <w:adjustRightInd w:val="0"/>
              <w:rPr>
                <w:sz w:val="18"/>
                <w:szCs w:val="18"/>
              </w:rPr>
            </w:pPr>
            <w:r w:rsidRPr="00306C2B">
              <w:rPr>
                <w:sz w:val="18"/>
                <w:szCs w:val="18"/>
              </w:rPr>
              <w:t xml:space="preserve">Cash flow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3F0D66FA" w14:textId="054D08FE"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03450E0" w14:textId="792B1838"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19B2C73D" w14:textId="2104C255" w:rsidR="00306C2B" w:rsidRPr="00306C2B" w:rsidRDefault="00306C2B" w:rsidP="00306C2B">
            <w:pPr>
              <w:widowControl w:val="0"/>
              <w:autoSpaceDE w:val="0"/>
              <w:autoSpaceDN w:val="0"/>
              <w:adjustRightInd w:val="0"/>
              <w:jc w:val="center"/>
              <w:rPr>
                <w:sz w:val="18"/>
                <w:szCs w:val="18"/>
              </w:rPr>
            </w:pPr>
            <w:r w:rsidRPr="00306C2B">
              <w:rPr>
                <w:sz w:val="18"/>
                <w:szCs w:val="18"/>
              </w:rPr>
              <w:t>0.160***</w:t>
            </w:r>
          </w:p>
        </w:tc>
        <w:tc>
          <w:tcPr>
            <w:tcW w:w="0" w:type="auto"/>
            <w:tcBorders>
              <w:top w:val="nil"/>
              <w:left w:val="nil"/>
              <w:bottom w:val="nil"/>
              <w:right w:val="nil"/>
            </w:tcBorders>
          </w:tcPr>
          <w:p w14:paraId="1A2BC059" w14:textId="4E9FF5F8" w:rsidR="00306C2B" w:rsidRPr="00306C2B" w:rsidRDefault="00306C2B" w:rsidP="00306C2B">
            <w:pPr>
              <w:widowControl w:val="0"/>
              <w:autoSpaceDE w:val="0"/>
              <w:autoSpaceDN w:val="0"/>
              <w:adjustRightInd w:val="0"/>
              <w:jc w:val="center"/>
              <w:rPr>
                <w:sz w:val="18"/>
                <w:szCs w:val="18"/>
              </w:rPr>
            </w:pPr>
            <w:r w:rsidRPr="00306C2B">
              <w:rPr>
                <w:sz w:val="18"/>
                <w:szCs w:val="18"/>
              </w:rPr>
              <w:t>0.159***</w:t>
            </w:r>
          </w:p>
        </w:tc>
        <w:tc>
          <w:tcPr>
            <w:tcW w:w="0" w:type="auto"/>
            <w:tcBorders>
              <w:top w:val="nil"/>
              <w:left w:val="nil"/>
              <w:bottom w:val="nil"/>
              <w:right w:val="nil"/>
            </w:tcBorders>
          </w:tcPr>
          <w:p w14:paraId="6F1D5FE7" w14:textId="69AC02AF" w:rsidR="00306C2B" w:rsidRPr="00306C2B" w:rsidRDefault="00306C2B" w:rsidP="00306C2B">
            <w:pPr>
              <w:widowControl w:val="0"/>
              <w:autoSpaceDE w:val="0"/>
              <w:autoSpaceDN w:val="0"/>
              <w:adjustRightInd w:val="0"/>
              <w:jc w:val="center"/>
              <w:rPr>
                <w:sz w:val="18"/>
                <w:szCs w:val="18"/>
              </w:rPr>
            </w:pPr>
            <w:r w:rsidRPr="00306C2B">
              <w:rPr>
                <w:sz w:val="18"/>
                <w:szCs w:val="18"/>
              </w:rPr>
              <w:t>0.155***</w:t>
            </w:r>
          </w:p>
        </w:tc>
        <w:tc>
          <w:tcPr>
            <w:tcW w:w="0" w:type="auto"/>
            <w:tcBorders>
              <w:top w:val="nil"/>
              <w:left w:val="nil"/>
              <w:bottom w:val="nil"/>
              <w:right w:val="nil"/>
            </w:tcBorders>
          </w:tcPr>
          <w:p w14:paraId="50B3C7A9" w14:textId="06EFDA61" w:rsidR="00306C2B" w:rsidRPr="00306C2B" w:rsidRDefault="00306C2B" w:rsidP="00306C2B">
            <w:pPr>
              <w:widowControl w:val="0"/>
              <w:autoSpaceDE w:val="0"/>
              <w:autoSpaceDN w:val="0"/>
              <w:adjustRightInd w:val="0"/>
              <w:jc w:val="center"/>
              <w:rPr>
                <w:sz w:val="18"/>
                <w:szCs w:val="18"/>
              </w:rPr>
            </w:pPr>
            <w:r w:rsidRPr="00306C2B">
              <w:rPr>
                <w:sz w:val="18"/>
                <w:szCs w:val="18"/>
              </w:rPr>
              <w:t>0.160***</w:t>
            </w:r>
          </w:p>
        </w:tc>
        <w:tc>
          <w:tcPr>
            <w:tcW w:w="0" w:type="auto"/>
            <w:tcBorders>
              <w:top w:val="nil"/>
              <w:left w:val="nil"/>
              <w:bottom w:val="nil"/>
              <w:right w:val="nil"/>
            </w:tcBorders>
          </w:tcPr>
          <w:p w14:paraId="74AF3521" w14:textId="3A9976CF" w:rsidR="00306C2B" w:rsidRPr="00306C2B" w:rsidRDefault="00306C2B" w:rsidP="00306C2B">
            <w:pPr>
              <w:widowControl w:val="0"/>
              <w:autoSpaceDE w:val="0"/>
              <w:autoSpaceDN w:val="0"/>
              <w:adjustRightInd w:val="0"/>
              <w:jc w:val="center"/>
              <w:rPr>
                <w:sz w:val="18"/>
                <w:szCs w:val="18"/>
              </w:rPr>
            </w:pPr>
            <w:r w:rsidRPr="00306C2B">
              <w:rPr>
                <w:sz w:val="18"/>
                <w:szCs w:val="18"/>
              </w:rPr>
              <w:t>0.160***</w:t>
            </w:r>
          </w:p>
        </w:tc>
        <w:tc>
          <w:tcPr>
            <w:tcW w:w="0" w:type="auto"/>
            <w:tcBorders>
              <w:top w:val="nil"/>
              <w:left w:val="nil"/>
              <w:bottom w:val="nil"/>
              <w:right w:val="nil"/>
            </w:tcBorders>
          </w:tcPr>
          <w:p w14:paraId="720F62DC" w14:textId="2C6FA630" w:rsidR="00306C2B" w:rsidRPr="00306C2B" w:rsidRDefault="00306C2B" w:rsidP="00306C2B">
            <w:pPr>
              <w:widowControl w:val="0"/>
              <w:autoSpaceDE w:val="0"/>
              <w:autoSpaceDN w:val="0"/>
              <w:adjustRightInd w:val="0"/>
              <w:jc w:val="center"/>
              <w:rPr>
                <w:sz w:val="18"/>
                <w:szCs w:val="18"/>
              </w:rPr>
            </w:pPr>
            <w:r w:rsidRPr="00306C2B">
              <w:rPr>
                <w:sz w:val="18"/>
                <w:szCs w:val="18"/>
              </w:rPr>
              <w:t>0.160***</w:t>
            </w:r>
          </w:p>
        </w:tc>
        <w:tc>
          <w:tcPr>
            <w:tcW w:w="0" w:type="auto"/>
            <w:tcBorders>
              <w:top w:val="nil"/>
              <w:left w:val="nil"/>
              <w:bottom w:val="nil"/>
              <w:right w:val="nil"/>
            </w:tcBorders>
          </w:tcPr>
          <w:p w14:paraId="535088AF" w14:textId="12B23314" w:rsidR="00306C2B" w:rsidRPr="00306C2B" w:rsidRDefault="00306C2B" w:rsidP="00306C2B">
            <w:pPr>
              <w:widowControl w:val="0"/>
              <w:autoSpaceDE w:val="0"/>
              <w:autoSpaceDN w:val="0"/>
              <w:adjustRightInd w:val="0"/>
              <w:jc w:val="center"/>
              <w:rPr>
                <w:sz w:val="18"/>
                <w:szCs w:val="18"/>
              </w:rPr>
            </w:pPr>
            <w:r w:rsidRPr="00306C2B">
              <w:rPr>
                <w:sz w:val="18"/>
                <w:szCs w:val="18"/>
              </w:rPr>
              <w:t>0.160***</w:t>
            </w:r>
          </w:p>
        </w:tc>
      </w:tr>
      <w:tr w:rsidR="00306C2B" w:rsidRPr="00306C2B" w14:paraId="1591CB88" w14:textId="77777777" w:rsidTr="00306C2B">
        <w:trPr>
          <w:jc w:val="center"/>
        </w:trPr>
        <w:tc>
          <w:tcPr>
            <w:tcW w:w="0" w:type="auto"/>
            <w:tcBorders>
              <w:top w:val="nil"/>
              <w:left w:val="nil"/>
              <w:bottom w:val="nil"/>
              <w:right w:val="nil"/>
            </w:tcBorders>
          </w:tcPr>
          <w:p w14:paraId="1D5B90D1"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5CCF7193" w14:textId="08231D14"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1D44F177" w14:textId="775EBA6F"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54448D81" w14:textId="595E2EF3" w:rsidR="00306C2B" w:rsidRPr="00306C2B" w:rsidRDefault="00306C2B" w:rsidP="00306C2B">
            <w:pPr>
              <w:widowControl w:val="0"/>
              <w:autoSpaceDE w:val="0"/>
              <w:autoSpaceDN w:val="0"/>
              <w:adjustRightInd w:val="0"/>
              <w:jc w:val="center"/>
              <w:rPr>
                <w:sz w:val="18"/>
                <w:szCs w:val="18"/>
              </w:rPr>
            </w:pPr>
            <w:r w:rsidRPr="00306C2B">
              <w:rPr>
                <w:sz w:val="18"/>
                <w:szCs w:val="18"/>
              </w:rPr>
              <w:t>(4.62)</w:t>
            </w:r>
          </w:p>
        </w:tc>
        <w:tc>
          <w:tcPr>
            <w:tcW w:w="0" w:type="auto"/>
            <w:tcBorders>
              <w:top w:val="nil"/>
              <w:left w:val="nil"/>
              <w:bottom w:val="nil"/>
              <w:right w:val="nil"/>
            </w:tcBorders>
          </w:tcPr>
          <w:p w14:paraId="6A41B9AC" w14:textId="0D3C1252" w:rsidR="00306C2B" w:rsidRPr="00306C2B" w:rsidRDefault="00306C2B" w:rsidP="00306C2B">
            <w:pPr>
              <w:widowControl w:val="0"/>
              <w:autoSpaceDE w:val="0"/>
              <w:autoSpaceDN w:val="0"/>
              <w:adjustRightInd w:val="0"/>
              <w:jc w:val="center"/>
              <w:rPr>
                <w:sz w:val="18"/>
                <w:szCs w:val="18"/>
              </w:rPr>
            </w:pPr>
            <w:r w:rsidRPr="00306C2B">
              <w:rPr>
                <w:sz w:val="18"/>
                <w:szCs w:val="18"/>
              </w:rPr>
              <w:t>(4.60)</w:t>
            </w:r>
          </w:p>
        </w:tc>
        <w:tc>
          <w:tcPr>
            <w:tcW w:w="0" w:type="auto"/>
            <w:tcBorders>
              <w:top w:val="nil"/>
              <w:left w:val="nil"/>
              <w:bottom w:val="nil"/>
              <w:right w:val="nil"/>
            </w:tcBorders>
          </w:tcPr>
          <w:p w14:paraId="567E080D" w14:textId="549798CC" w:rsidR="00306C2B" w:rsidRPr="00306C2B" w:rsidRDefault="00306C2B" w:rsidP="00306C2B">
            <w:pPr>
              <w:widowControl w:val="0"/>
              <w:autoSpaceDE w:val="0"/>
              <w:autoSpaceDN w:val="0"/>
              <w:adjustRightInd w:val="0"/>
              <w:jc w:val="center"/>
              <w:rPr>
                <w:sz w:val="18"/>
                <w:szCs w:val="18"/>
              </w:rPr>
            </w:pPr>
            <w:r w:rsidRPr="00306C2B">
              <w:rPr>
                <w:sz w:val="18"/>
                <w:szCs w:val="18"/>
              </w:rPr>
              <w:t>(4.80)</w:t>
            </w:r>
          </w:p>
        </w:tc>
        <w:tc>
          <w:tcPr>
            <w:tcW w:w="0" w:type="auto"/>
            <w:tcBorders>
              <w:top w:val="nil"/>
              <w:left w:val="nil"/>
              <w:bottom w:val="nil"/>
              <w:right w:val="nil"/>
            </w:tcBorders>
          </w:tcPr>
          <w:p w14:paraId="33669F74" w14:textId="56CDAF1D" w:rsidR="00306C2B" w:rsidRPr="00306C2B" w:rsidRDefault="00306C2B" w:rsidP="00306C2B">
            <w:pPr>
              <w:widowControl w:val="0"/>
              <w:autoSpaceDE w:val="0"/>
              <w:autoSpaceDN w:val="0"/>
              <w:adjustRightInd w:val="0"/>
              <w:jc w:val="center"/>
              <w:rPr>
                <w:sz w:val="18"/>
                <w:szCs w:val="18"/>
              </w:rPr>
            </w:pPr>
            <w:r w:rsidRPr="00306C2B">
              <w:rPr>
                <w:sz w:val="18"/>
                <w:szCs w:val="18"/>
              </w:rPr>
              <w:t>(4.61)</w:t>
            </w:r>
          </w:p>
        </w:tc>
        <w:tc>
          <w:tcPr>
            <w:tcW w:w="0" w:type="auto"/>
            <w:tcBorders>
              <w:top w:val="nil"/>
              <w:left w:val="nil"/>
              <w:bottom w:val="nil"/>
              <w:right w:val="nil"/>
            </w:tcBorders>
          </w:tcPr>
          <w:p w14:paraId="1DB80AA8" w14:textId="2BC3BFAE" w:rsidR="00306C2B" w:rsidRPr="00306C2B" w:rsidRDefault="00306C2B" w:rsidP="00306C2B">
            <w:pPr>
              <w:widowControl w:val="0"/>
              <w:autoSpaceDE w:val="0"/>
              <w:autoSpaceDN w:val="0"/>
              <w:adjustRightInd w:val="0"/>
              <w:jc w:val="center"/>
              <w:rPr>
                <w:sz w:val="18"/>
                <w:szCs w:val="18"/>
              </w:rPr>
            </w:pPr>
            <w:r w:rsidRPr="00306C2B">
              <w:rPr>
                <w:sz w:val="18"/>
                <w:szCs w:val="18"/>
              </w:rPr>
              <w:t>(4.62)</w:t>
            </w:r>
          </w:p>
        </w:tc>
        <w:tc>
          <w:tcPr>
            <w:tcW w:w="0" w:type="auto"/>
            <w:tcBorders>
              <w:top w:val="nil"/>
              <w:left w:val="nil"/>
              <w:bottom w:val="nil"/>
              <w:right w:val="nil"/>
            </w:tcBorders>
          </w:tcPr>
          <w:p w14:paraId="78F02CA2" w14:textId="0F9D4F61" w:rsidR="00306C2B" w:rsidRPr="00306C2B" w:rsidRDefault="00306C2B" w:rsidP="00306C2B">
            <w:pPr>
              <w:widowControl w:val="0"/>
              <w:autoSpaceDE w:val="0"/>
              <w:autoSpaceDN w:val="0"/>
              <w:adjustRightInd w:val="0"/>
              <w:jc w:val="center"/>
              <w:rPr>
                <w:sz w:val="18"/>
                <w:szCs w:val="18"/>
              </w:rPr>
            </w:pPr>
            <w:r w:rsidRPr="00306C2B">
              <w:rPr>
                <w:sz w:val="18"/>
                <w:szCs w:val="18"/>
              </w:rPr>
              <w:t>(4.61)</w:t>
            </w:r>
          </w:p>
        </w:tc>
        <w:tc>
          <w:tcPr>
            <w:tcW w:w="0" w:type="auto"/>
            <w:tcBorders>
              <w:top w:val="nil"/>
              <w:left w:val="nil"/>
              <w:bottom w:val="nil"/>
              <w:right w:val="nil"/>
            </w:tcBorders>
          </w:tcPr>
          <w:p w14:paraId="30ED2ADA" w14:textId="56AB4710" w:rsidR="00306C2B" w:rsidRPr="00306C2B" w:rsidRDefault="00306C2B" w:rsidP="00306C2B">
            <w:pPr>
              <w:widowControl w:val="0"/>
              <w:autoSpaceDE w:val="0"/>
              <w:autoSpaceDN w:val="0"/>
              <w:adjustRightInd w:val="0"/>
              <w:jc w:val="center"/>
              <w:rPr>
                <w:sz w:val="18"/>
                <w:szCs w:val="18"/>
              </w:rPr>
            </w:pPr>
            <w:r w:rsidRPr="00306C2B">
              <w:rPr>
                <w:sz w:val="18"/>
                <w:szCs w:val="18"/>
              </w:rPr>
              <w:t>(4.62)</w:t>
            </w:r>
          </w:p>
        </w:tc>
      </w:tr>
      <w:tr w:rsidR="00306C2B" w:rsidRPr="00306C2B" w14:paraId="2550D165" w14:textId="77777777" w:rsidTr="00306C2B">
        <w:trPr>
          <w:jc w:val="center"/>
        </w:trPr>
        <w:tc>
          <w:tcPr>
            <w:tcW w:w="0" w:type="auto"/>
            <w:tcBorders>
              <w:top w:val="nil"/>
              <w:left w:val="nil"/>
              <w:bottom w:val="nil"/>
              <w:right w:val="nil"/>
            </w:tcBorders>
          </w:tcPr>
          <w:p w14:paraId="1539EE2F" w14:textId="77777777" w:rsidR="00306C2B" w:rsidRPr="00306C2B" w:rsidRDefault="00306C2B" w:rsidP="00306C2B">
            <w:pPr>
              <w:widowControl w:val="0"/>
              <w:autoSpaceDE w:val="0"/>
              <w:autoSpaceDN w:val="0"/>
              <w:adjustRightInd w:val="0"/>
              <w:rPr>
                <w:sz w:val="18"/>
                <w:szCs w:val="18"/>
              </w:rPr>
            </w:pPr>
            <w:r w:rsidRPr="00306C2B">
              <w:rPr>
                <w:sz w:val="18"/>
                <w:szCs w:val="18"/>
              </w:rPr>
              <w:t xml:space="preserve">Leverage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6A734961" w14:textId="36E7BDD6"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3D2F2F1" w14:textId="461F3958"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38B1925F" w14:textId="03D22208" w:rsidR="00306C2B" w:rsidRPr="00306C2B" w:rsidRDefault="00306C2B" w:rsidP="00306C2B">
            <w:pPr>
              <w:widowControl w:val="0"/>
              <w:autoSpaceDE w:val="0"/>
              <w:autoSpaceDN w:val="0"/>
              <w:adjustRightInd w:val="0"/>
              <w:jc w:val="center"/>
              <w:rPr>
                <w:sz w:val="18"/>
                <w:szCs w:val="18"/>
              </w:rPr>
            </w:pPr>
            <w:r w:rsidRPr="00306C2B">
              <w:rPr>
                <w:sz w:val="18"/>
                <w:szCs w:val="18"/>
              </w:rPr>
              <w:t>-0.066***</w:t>
            </w:r>
          </w:p>
        </w:tc>
        <w:tc>
          <w:tcPr>
            <w:tcW w:w="0" w:type="auto"/>
            <w:tcBorders>
              <w:top w:val="nil"/>
              <w:left w:val="nil"/>
              <w:bottom w:val="nil"/>
              <w:right w:val="nil"/>
            </w:tcBorders>
          </w:tcPr>
          <w:p w14:paraId="2EFF3817" w14:textId="2F7051FE" w:rsidR="00306C2B" w:rsidRPr="00306C2B" w:rsidRDefault="00306C2B" w:rsidP="00306C2B">
            <w:pPr>
              <w:widowControl w:val="0"/>
              <w:autoSpaceDE w:val="0"/>
              <w:autoSpaceDN w:val="0"/>
              <w:adjustRightInd w:val="0"/>
              <w:jc w:val="center"/>
              <w:rPr>
                <w:sz w:val="18"/>
                <w:szCs w:val="18"/>
              </w:rPr>
            </w:pPr>
            <w:r w:rsidRPr="00306C2B">
              <w:rPr>
                <w:sz w:val="18"/>
                <w:szCs w:val="18"/>
              </w:rPr>
              <w:t>-0.066***</w:t>
            </w:r>
          </w:p>
        </w:tc>
        <w:tc>
          <w:tcPr>
            <w:tcW w:w="0" w:type="auto"/>
            <w:tcBorders>
              <w:top w:val="nil"/>
              <w:left w:val="nil"/>
              <w:bottom w:val="nil"/>
              <w:right w:val="nil"/>
            </w:tcBorders>
          </w:tcPr>
          <w:p w14:paraId="1041D77E" w14:textId="030642E3" w:rsidR="00306C2B" w:rsidRPr="00306C2B" w:rsidRDefault="00306C2B" w:rsidP="00306C2B">
            <w:pPr>
              <w:widowControl w:val="0"/>
              <w:autoSpaceDE w:val="0"/>
              <w:autoSpaceDN w:val="0"/>
              <w:adjustRightInd w:val="0"/>
              <w:jc w:val="center"/>
              <w:rPr>
                <w:sz w:val="18"/>
                <w:szCs w:val="18"/>
              </w:rPr>
            </w:pPr>
            <w:r w:rsidRPr="00306C2B">
              <w:rPr>
                <w:sz w:val="18"/>
                <w:szCs w:val="18"/>
              </w:rPr>
              <w:t>-0.067***</w:t>
            </w:r>
          </w:p>
        </w:tc>
        <w:tc>
          <w:tcPr>
            <w:tcW w:w="0" w:type="auto"/>
            <w:tcBorders>
              <w:top w:val="nil"/>
              <w:left w:val="nil"/>
              <w:bottom w:val="nil"/>
              <w:right w:val="nil"/>
            </w:tcBorders>
          </w:tcPr>
          <w:p w14:paraId="2E08E158" w14:textId="2240A821" w:rsidR="00306C2B" w:rsidRPr="00306C2B" w:rsidRDefault="00306C2B" w:rsidP="00306C2B">
            <w:pPr>
              <w:widowControl w:val="0"/>
              <w:autoSpaceDE w:val="0"/>
              <w:autoSpaceDN w:val="0"/>
              <w:adjustRightInd w:val="0"/>
              <w:jc w:val="center"/>
              <w:rPr>
                <w:sz w:val="18"/>
                <w:szCs w:val="18"/>
              </w:rPr>
            </w:pPr>
            <w:r w:rsidRPr="00306C2B">
              <w:rPr>
                <w:sz w:val="18"/>
                <w:szCs w:val="18"/>
              </w:rPr>
              <w:t>-0.066***</w:t>
            </w:r>
          </w:p>
        </w:tc>
        <w:tc>
          <w:tcPr>
            <w:tcW w:w="0" w:type="auto"/>
            <w:tcBorders>
              <w:top w:val="nil"/>
              <w:left w:val="nil"/>
              <w:bottom w:val="nil"/>
              <w:right w:val="nil"/>
            </w:tcBorders>
          </w:tcPr>
          <w:p w14:paraId="42E7A82F" w14:textId="257EAD2B" w:rsidR="00306C2B" w:rsidRPr="00306C2B" w:rsidRDefault="00306C2B" w:rsidP="00306C2B">
            <w:pPr>
              <w:widowControl w:val="0"/>
              <w:autoSpaceDE w:val="0"/>
              <w:autoSpaceDN w:val="0"/>
              <w:adjustRightInd w:val="0"/>
              <w:jc w:val="center"/>
              <w:rPr>
                <w:sz w:val="18"/>
                <w:szCs w:val="18"/>
              </w:rPr>
            </w:pPr>
            <w:r w:rsidRPr="00306C2B">
              <w:rPr>
                <w:sz w:val="18"/>
                <w:szCs w:val="18"/>
              </w:rPr>
              <w:t>-0.066***</w:t>
            </w:r>
          </w:p>
        </w:tc>
        <w:tc>
          <w:tcPr>
            <w:tcW w:w="0" w:type="auto"/>
            <w:tcBorders>
              <w:top w:val="nil"/>
              <w:left w:val="nil"/>
              <w:bottom w:val="nil"/>
              <w:right w:val="nil"/>
            </w:tcBorders>
          </w:tcPr>
          <w:p w14:paraId="2EBEE630" w14:textId="07C6176D" w:rsidR="00306C2B" w:rsidRPr="00306C2B" w:rsidRDefault="00306C2B" w:rsidP="00306C2B">
            <w:pPr>
              <w:widowControl w:val="0"/>
              <w:autoSpaceDE w:val="0"/>
              <w:autoSpaceDN w:val="0"/>
              <w:adjustRightInd w:val="0"/>
              <w:jc w:val="center"/>
              <w:rPr>
                <w:sz w:val="18"/>
                <w:szCs w:val="18"/>
              </w:rPr>
            </w:pPr>
            <w:r w:rsidRPr="00306C2B">
              <w:rPr>
                <w:sz w:val="18"/>
                <w:szCs w:val="18"/>
              </w:rPr>
              <w:t>-0.066***</w:t>
            </w:r>
          </w:p>
        </w:tc>
        <w:tc>
          <w:tcPr>
            <w:tcW w:w="0" w:type="auto"/>
            <w:tcBorders>
              <w:top w:val="nil"/>
              <w:left w:val="nil"/>
              <w:bottom w:val="nil"/>
              <w:right w:val="nil"/>
            </w:tcBorders>
          </w:tcPr>
          <w:p w14:paraId="6C9182B9" w14:textId="4780528C" w:rsidR="00306C2B" w:rsidRPr="00306C2B" w:rsidRDefault="00306C2B" w:rsidP="00306C2B">
            <w:pPr>
              <w:widowControl w:val="0"/>
              <w:autoSpaceDE w:val="0"/>
              <w:autoSpaceDN w:val="0"/>
              <w:adjustRightInd w:val="0"/>
              <w:jc w:val="center"/>
              <w:rPr>
                <w:sz w:val="18"/>
                <w:szCs w:val="18"/>
              </w:rPr>
            </w:pPr>
            <w:r w:rsidRPr="00306C2B">
              <w:rPr>
                <w:sz w:val="18"/>
                <w:szCs w:val="18"/>
              </w:rPr>
              <w:t>-0.066***</w:t>
            </w:r>
          </w:p>
        </w:tc>
      </w:tr>
      <w:tr w:rsidR="00306C2B" w:rsidRPr="00306C2B" w14:paraId="27EFE40C" w14:textId="77777777" w:rsidTr="00306C2B">
        <w:trPr>
          <w:jc w:val="center"/>
        </w:trPr>
        <w:tc>
          <w:tcPr>
            <w:tcW w:w="0" w:type="auto"/>
            <w:tcBorders>
              <w:top w:val="nil"/>
              <w:left w:val="nil"/>
              <w:bottom w:val="nil"/>
              <w:right w:val="nil"/>
            </w:tcBorders>
          </w:tcPr>
          <w:p w14:paraId="287DCF9B"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7D9244D2" w14:textId="5785CFD2"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F67327C" w14:textId="736A7E8D"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7F9F5A13" w14:textId="20EB9EA0" w:rsidR="00306C2B" w:rsidRPr="00306C2B" w:rsidRDefault="00306C2B" w:rsidP="00306C2B">
            <w:pPr>
              <w:widowControl w:val="0"/>
              <w:autoSpaceDE w:val="0"/>
              <w:autoSpaceDN w:val="0"/>
              <w:adjustRightInd w:val="0"/>
              <w:jc w:val="center"/>
              <w:rPr>
                <w:sz w:val="18"/>
                <w:szCs w:val="18"/>
              </w:rPr>
            </w:pPr>
            <w:r w:rsidRPr="00306C2B">
              <w:rPr>
                <w:sz w:val="18"/>
                <w:szCs w:val="18"/>
              </w:rPr>
              <w:t>(-5.32)</w:t>
            </w:r>
          </w:p>
        </w:tc>
        <w:tc>
          <w:tcPr>
            <w:tcW w:w="0" w:type="auto"/>
            <w:tcBorders>
              <w:top w:val="nil"/>
              <w:left w:val="nil"/>
              <w:bottom w:val="nil"/>
              <w:right w:val="nil"/>
            </w:tcBorders>
          </w:tcPr>
          <w:p w14:paraId="76701EEB" w14:textId="0A312AD5" w:rsidR="00306C2B" w:rsidRPr="00306C2B" w:rsidRDefault="00306C2B" w:rsidP="00306C2B">
            <w:pPr>
              <w:widowControl w:val="0"/>
              <w:autoSpaceDE w:val="0"/>
              <w:autoSpaceDN w:val="0"/>
              <w:adjustRightInd w:val="0"/>
              <w:jc w:val="center"/>
              <w:rPr>
                <w:sz w:val="18"/>
                <w:szCs w:val="18"/>
              </w:rPr>
            </w:pPr>
            <w:r w:rsidRPr="00306C2B">
              <w:rPr>
                <w:sz w:val="18"/>
                <w:szCs w:val="18"/>
              </w:rPr>
              <w:t>(-5.32)</w:t>
            </w:r>
          </w:p>
        </w:tc>
        <w:tc>
          <w:tcPr>
            <w:tcW w:w="0" w:type="auto"/>
            <w:tcBorders>
              <w:top w:val="nil"/>
              <w:left w:val="nil"/>
              <w:bottom w:val="nil"/>
              <w:right w:val="nil"/>
            </w:tcBorders>
          </w:tcPr>
          <w:p w14:paraId="71B50F68" w14:textId="1B44E487" w:rsidR="00306C2B" w:rsidRPr="00306C2B" w:rsidRDefault="00306C2B" w:rsidP="00306C2B">
            <w:pPr>
              <w:widowControl w:val="0"/>
              <w:autoSpaceDE w:val="0"/>
              <w:autoSpaceDN w:val="0"/>
              <w:adjustRightInd w:val="0"/>
              <w:jc w:val="center"/>
              <w:rPr>
                <w:sz w:val="18"/>
                <w:szCs w:val="18"/>
              </w:rPr>
            </w:pPr>
            <w:r w:rsidRPr="00306C2B">
              <w:rPr>
                <w:sz w:val="18"/>
                <w:szCs w:val="18"/>
              </w:rPr>
              <w:t>(-5.19)</w:t>
            </w:r>
          </w:p>
        </w:tc>
        <w:tc>
          <w:tcPr>
            <w:tcW w:w="0" w:type="auto"/>
            <w:tcBorders>
              <w:top w:val="nil"/>
              <w:left w:val="nil"/>
              <w:bottom w:val="nil"/>
              <w:right w:val="nil"/>
            </w:tcBorders>
          </w:tcPr>
          <w:p w14:paraId="62B69FC1" w14:textId="3CFFDCE5" w:rsidR="00306C2B" w:rsidRPr="00306C2B" w:rsidRDefault="00306C2B" w:rsidP="00306C2B">
            <w:pPr>
              <w:widowControl w:val="0"/>
              <w:autoSpaceDE w:val="0"/>
              <w:autoSpaceDN w:val="0"/>
              <w:adjustRightInd w:val="0"/>
              <w:jc w:val="center"/>
              <w:rPr>
                <w:sz w:val="18"/>
                <w:szCs w:val="18"/>
              </w:rPr>
            </w:pPr>
            <w:r w:rsidRPr="00306C2B">
              <w:rPr>
                <w:sz w:val="18"/>
                <w:szCs w:val="18"/>
              </w:rPr>
              <w:t>(-5.33)</w:t>
            </w:r>
          </w:p>
        </w:tc>
        <w:tc>
          <w:tcPr>
            <w:tcW w:w="0" w:type="auto"/>
            <w:tcBorders>
              <w:top w:val="nil"/>
              <w:left w:val="nil"/>
              <w:bottom w:val="nil"/>
              <w:right w:val="nil"/>
            </w:tcBorders>
          </w:tcPr>
          <w:p w14:paraId="4B83064F" w14:textId="3ECA0C77" w:rsidR="00306C2B" w:rsidRPr="00306C2B" w:rsidRDefault="00306C2B" w:rsidP="00306C2B">
            <w:pPr>
              <w:widowControl w:val="0"/>
              <w:autoSpaceDE w:val="0"/>
              <w:autoSpaceDN w:val="0"/>
              <w:adjustRightInd w:val="0"/>
              <w:jc w:val="center"/>
              <w:rPr>
                <w:sz w:val="18"/>
                <w:szCs w:val="18"/>
              </w:rPr>
            </w:pPr>
            <w:r w:rsidRPr="00306C2B">
              <w:rPr>
                <w:sz w:val="18"/>
                <w:szCs w:val="18"/>
              </w:rPr>
              <w:t>(-5.33)</w:t>
            </w:r>
          </w:p>
        </w:tc>
        <w:tc>
          <w:tcPr>
            <w:tcW w:w="0" w:type="auto"/>
            <w:tcBorders>
              <w:top w:val="nil"/>
              <w:left w:val="nil"/>
              <w:bottom w:val="nil"/>
              <w:right w:val="nil"/>
            </w:tcBorders>
          </w:tcPr>
          <w:p w14:paraId="6508A52C" w14:textId="684D11D0" w:rsidR="00306C2B" w:rsidRPr="00306C2B" w:rsidRDefault="00306C2B" w:rsidP="00306C2B">
            <w:pPr>
              <w:widowControl w:val="0"/>
              <w:autoSpaceDE w:val="0"/>
              <w:autoSpaceDN w:val="0"/>
              <w:adjustRightInd w:val="0"/>
              <w:jc w:val="center"/>
              <w:rPr>
                <w:sz w:val="18"/>
                <w:szCs w:val="18"/>
              </w:rPr>
            </w:pPr>
            <w:r w:rsidRPr="00306C2B">
              <w:rPr>
                <w:sz w:val="18"/>
                <w:szCs w:val="18"/>
              </w:rPr>
              <w:t>(-5.32)</w:t>
            </w:r>
          </w:p>
        </w:tc>
        <w:tc>
          <w:tcPr>
            <w:tcW w:w="0" w:type="auto"/>
            <w:tcBorders>
              <w:top w:val="nil"/>
              <w:left w:val="nil"/>
              <w:bottom w:val="nil"/>
              <w:right w:val="nil"/>
            </w:tcBorders>
          </w:tcPr>
          <w:p w14:paraId="17B57901" w14:textId="7CADC22A" w:rsidR="00306C2B" w:rsidRPr="00306C2B" w:rsidRDefault="00306C2B" w:rsidP="00306C2B">
            <w:pPr>
              <w:widowControl w:val="0"/>
              <w:autoSpaceDE w:val="0"/>
              <w:autoSpaceDN w:val="0"/>
              <w:adjustRightInd w:val="0"/>
              <w:jc w:val="center"/>
              <w:rPr>
                <w:sz w:val="18"/>
                <w:szCs w:val="18"/>
              </w:rPr>
            </w:pPr>
            <w:r w:rsidRPr="00306C2B">
              <w:rPr>
                <w:sz w:val="18"/>
                <w:szCs w:val="18"/>
              </w:rPr>
              <w:t>(-5.32)</w:t>
            </w:r>
          </w:p>
        </w:tc>
      </w:tr>
      <w:tr w:rsidR="00306C2B" w:rsidRPr="00306C2B" w14:paraId="43F05707" w14:textId="77777777" w:rsidTr="00306C2B">
        <w:trPr>
          <w:jc w:val="center"/>
        </w:trPr>
        <w:tc>
          <w:tcPr>
            <w:tcW w:w="0" w:type="auto"/>
            <w:tcBorders>
              <w:top w:val="nil"/>
              <w:left w:val="nil"/>
              <w:bottom w:val="nil"/>
              <w:right w:val="nil"/>
            </w:tcBorders>
          </w:tcPr>
          <w:p w14:paraId="390C5B2E" w14:textId="77777777" w:rsidR="00306C2B" w:rsidRPr="00306C2B" w:rsidRDefault="00306C2B" w:rsidP="00306C2B">
            <w:pPr>
              <w:widowControl w:val="0"/>
              <w:autoSpaceDE w:val="0"/>
              <w:autoSpaceDN w:val="0"/>
              <w:adjustRightInd w:val="0"/>
              <w:rPr>
                <w:sz w:val="18"/>
                <w:szCs w:val="18"/>
              </w:rPr>
            </w:pPr>
            <w:r w:rsidRPr="00306C2B">
              <w:rPr>
                <w:sz w:val="18"/>
                <w:szCs w:val="18"/>
              </w:rPr>
              <w:t xml:space="preserve">Size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2A12BDBE" w14:textId="04816EE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C05E72F" w14:textId="43829B02"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4B4D48E6" w14:textId="30FEB547" w:rsidR="00306C2B" w:rsidRPr="00306C2B" w:rsidRDefault="00306C2B" w:rsidP="00306C2B">
            <w:pPr>
              <w:widowControl w:val="0"/>
              <w:autoSpaceDE w:val="0"/>
              <w:autoSpaceDN w:val="0"/>
              <w:adjustRightInd w:val="0"/>
              <w:jc w:val="center"/>
              <w:rPr>
                <w:sz w:val="18"/>
                <w:szCs w:val="18"/>
              </w:rPr>
            </w:pPr>
            <w:r w:rsidRPr="00306C2B">
              <w:rPr>
                <w:sz w:val="18"/>
                <w:szCs w:val="18"/>
              </w:rPr>
              <w:t>-0.129***</w:t>
            </w:r>
          </w:p>
        </w:tc>
        <w:tc>
          <w:tcPr>
            <w:tcW w:w="0" w:type="auto"/>
            <w:tcBorders>
              <w:top w:val="nil"/>
              <w:left w:val="nil"/>
              <w:bottom w:val="nil"/>
              <w:right w:val="nil"/>
            </w:tcBorders>
          </w:tcPr>
          <w:p w14:paraId="4974685B" w14:textId="367D2D8D" w:rsidR="00306C2B" w:rsidRPr="00306C2B" w:rsidRDefault="00306C2B" w:rsidP="00306C2B">
            <w:pPr>
              <w:widowControl w:val="0"/>
              <w:autoSpaceDE w:val="0"/>
              <w:autoSpaceDN w:val="0"/>
              <w:adjustRightInd w:val="0"/>
              <w:jc w:val="center"/>
              <w:rPr>
                <w:sz w:val="18"/>
                <w:szCs w:val="18"/>
              </w:rPr>
            </w:pPr>
            <w:r w:rsidRPr="00306C2B">
              <w:rPr>
                <w:sz w:val="18"/>
                <w:szCs w:val="18"/>
              </w:rPr>
              <w:t>-0.129***</w:t>
            </w:r>
          </w:p>
        </w:tc>
        <w:tc>
          <w:tcPr>
            <w:tcW w:w="0" w:type="auto"/>
            <w:tcBorders>
              <w:top w:val="nil"/>
              <w:left w:val="nil"/>
              <w:bottom w:val="nil"/>
              <w:right w:val="nil"/>
            </w:tcBorders>
          </w:tcPr>
          <w:p w14:paraId="54173E16" w14:textId="7B493C02" w:rsidR="00306C2B" w:rsidRPr="00306C2B" w:rsidRDefault="00306C2B" w:rsidP="00306C2B">
            <w:pPr>
              <w:widowControl w:val="0"/>
              <w:autoSpaceDE w:val="0"/>
              <w:autoSpaceDN w:val="0"/>
              <w:adjustRightInd w:val="0"/>
              <w:jc w:val="center"/>
              <w:rPr>
                <w:sz w:val="18"/>
                <w:szCs w:val="18"/>
              </w:rPr>
            </w:pPr>
            <w:r w:rsidRPr="00306C2B">
              <w:rPr>
                <w:sz w:val="18"/>
                <w:szCs w:val="18"/>
              </w:rPr>
              <w:t>-0.130***</w:t>
            </w:r>
          </w:p>
        </w:tc>
        <w:tc>
          <w:tcPr>
            <w:tcW w:w="0" w:type="auto"/>
            <w:tcBorders>
              <w:top w:val="nil"/>
              <w:left w:val="nil"/>
              <w:bottom w:val="nil"/>
              <w:right w:val="nil"/>
            </w:tcBorders>
          </w:tcPr>
          <w:p w14:paraId="223C6BFF" w14:textId="43900500" w:rsidR="00306C2B" w:rsidRPr="00306C2B" w:rsidRDefault="00306C2B" w:rsidP="00306C2B">
            <w:pPr>
              <w:widowControl w:val="0"/>
              <w:autoSpaceDE w:val="0"/>
              <w:autoSpaceDN w:val="0"/>
              <w:adjustRightInd w:val="0"/>
              <w:jc w:val="center"/>
              <w:rPr>
                <w:sz w:val="18"/>
                <w:szCs w:val="18"/>
              </w:rPr>
            </w:pPr>
            <w:r w:rsidRPr="00306C2B">
              <w:rPr>
                <w:sz w:val="18"/>
                <w:szCs w:val="18"/>
              </w:rPr>
              <w:t>-0.129***</w:t>
            </w:r>
          </w:p>
        </w:tc>
        <w:tc>
          <w:tcPr>
            <w:tcW w:w="0" w:type="auto"/>
            <w:tcBorders>
              <w:top w:val="nil"/>
              <w:left w:val="nil"/>
              <w:bottom w:val="nil"/>
              <w:right w:val="nil"/>
            </w:tcBorders>
          </w:tcPr>
          <w:p w14:paraId="1E673036" w14:textId="071C969D" w:rsidR="00306C2B" w:rsidRPr="00306C2B" w:rsidRDefault="00306C2B" w:rsidP="00306C2B">
            <w:pPr>
              <w:widowControl w:val="0"/>
              <w:autoSpaceDE w:val="0"/>
              <w:autoSpaceDN w:val="0"/>
              <w:adjustRightInd w:val="0"/>
              <w:jc w:val="center"/>
              <w:rPr>
                <w:sz w:val="18"/>
                <w:szCs w:val="18"/>
              </w:rPr>
            </w:pPr>
            <w:r w:rsidRPr="00306C2B">
              <w:rPr>
                <w:sz w:val="18"/>
                <w:szCs w:val="18"/>
              </w:rPr>
              <w:t>-0.130***</w:t>
            </w:r>
          </w:p>
        </w:tc>
        <w:tc>
          <w:tcPr>
            <w:tcW w:w="0" w:type="auto"/>
            <w:tcBorders>
              <w:top w:val="nil"/>
              <w:left w:val="nil"/>
              <w:bottom w:val="nil"/>
              <w:right w:val="nil"/>
            </w:tcBorders>
          </w:tcPr>
          <w:p w14:paraId="7982C2A6" w14:textId="6ECAAEB1" w:rsidR="00306C2B" w:rsidRPr="00306C2B" w:rsidRDefault="00306C2B" w:rsidP="00306C2B">
            <w:pPr>
              <w:widowControl w:val="0"/>
              <w:autoSpaceDE w:val="0"/>
              <w:autoSpaceDN w:val="0"/>
              <w:adjustRightInd w:val="0"/>
              <w:jc w:val="center"/>
              <w:rPr>
                <w:sz w:val="18"/>
                <w:szCs w:val="18"/>
              </w:rPr>
            </w:pPr>
            <w:r w:rsidRPr="00306C2B">
              <w:rPr>
                <w:sz w:val="18"/>
                <w:szCs w:val="18"/>
              </w:rPr>
              <w:t>-0.129***</w:t>
            </w:r>
          </w:p>
        </w:tc>
        <w:tc>
          <w:tcPr>
            <w:tcW w:w="0" w:type="auto"/>
            <w:tcBorders>
              <w:top w:val="nil"/>
              <w:left w:val="nil"/>
              <w:bottom w:val="nil"/>
              <w:right w:val="nil"/>
            </w:tcBorders>
          </w:tcPr>
          <w:p w14:paraId="28724C92" w14:textId="47ECF321" w:rsidR="00306C2B" w:rsidRPr="00306C2B" w:rsidRDefault="00306C2B" w:rsidP="00306C2B">
            <w:pPr>
              <w:widowControl w:val="0"/>
              <w:autoSpaceDE w:val="0"/>
              <w:autoSpaceDN w:val="0"/>
              <w:adjustRightInd w:val="0"/>
              <w:jc w:val="center"/>
              <w:rPr>
                <w:sz w:val="18"/>
                <w:szCs w:val="18"/>
              </w:rPr>
            </w:pPr>
            <w:r w:rsidRPr="00306C2B">
              <w:rPr>
                <w:sz w:val="18"/>
                <w:szCs w:val="18"/>
              </w:rPr>
              <w:t>-0.129***</w:t>
            </w:r>
          </w:p>
        </w:tc>
      </w:tr>
      <w:tr w:rsidR="00306C2B" w:rsidRPr="00306C2B" w14:paraId="7D3D24BA" w14:textId="77777777" w:rsidTr="00306C2B">
        <w:trPr>
          <w:jc w:val="center"/>
        </w:trPr>
        <w:tc>
          <w:tcPr>
            <w:tcW w:w="0" w:type="auto"/>
            <w:tcBorders>
              <w:top w:val="nil"/>
              <w:left w:val="nil"/>
              <w:bottom w:val="nil"/>
              <w:right w:val="nil"/>
            </w:tcBorders>
          </w:tcPr>
          <w:p w14:paraId="76478726"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3118B451" w14:textId="28FA1874"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1BCA567A" w14:textId="748838DB"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63F13D6" w14:textId="6838038A" w:rsidR="00306C2B" w:rsidRPr="00306C2B" w:rsidRDefault="00306C2B" w:rsidP="00306C2B">
            <w:pPr>
              <w:widowControl w:val="0"/>
              <w:autoSpaceDE w:val="0"/>
              <w:autoSpaceDN w:val="0"/>
              <w:adjustRightInd w:val="0"/>
              <w:jc w:val="center"/>
              <w:rPr>
                <w:sz w:val="18"/>
                <w:szCs w:val="18"/>
              </w:rPr>
            </w:pPr>
            <w:r w:rsidRPr="00306C2B">
              <w:rPr>
                <w:sz w:val="18"/>
                <w:szCs w:val="18"/>
              </w:rPr>
              <w:t>(-9.75)</w:t>
            </w:r>
          </w:p>
        </w:tc>
        <w:tc>
          <w:tcPr>
            <w:tcW w:w="0" w:type="auto"/>
            <w:tcBorders>
              <w:top w:val="nil"/>
              <w:left w:val="nil"/>
              <w:bottom w:val="nil"/>
              <w:right w:val="nil"/>
            </w:tcBorders>
          </w:tcPr>
          <w:p w14:paraId="194407A2" w14:textId="47ECBB12" w:rsidR="00306C2B" w:rsidRPr="00306C2B" w:rsidRDefault="00306C2B" w:rsidP="00306C2B">
            <w:pPr>
              <w:widowControl w:val="0"/>
              <w:autoSpaceDE w:val="0"/>
              <w:autoSpaceDN w:val="0"/>
              <w:adjustRightInd w:val="0"/>
              <w:jc w:val="center"/>
              <w:rPr>
                <w:sz w:val="18"/>
                <w:szCs w:val="18"/>
              </w:rPr>
            </w:pPr>
            <w:r w:rsidRPr="00306C2B">
              <w:rPr>
                <w:sz w:val="18"/>
                <w:szCs w:val="18"/>
              </w:rPr>
              <w:t>(-9.72)</w:t>
            </w:r>
          </w:p>
        </w:tc>
        <w:tc>
          <w:tcPr>
            <w:tcW w:w="0" w:type="auto"/>
            <w:tcBorders>
              <w:top w:val="nil"/>
              <w:left w:val="nil"/>
              <w:bottom w:val="nil"/>
              <w:right w:val="nil"/>
            </w:tcBorders>
          </w:tcPr>
          <w:p w14:paraId="4998D901" w14:textId="5FD177A1" w:rsidR="00306C2B" w:rsidRPr="00306C2B" w:rsidRDefault="00306C2B" w:rsidP="00306C2B">
            <w:pPr>
              <w:widowControl w:val="0"/>
              <w:autoSpaceDE w:val="0"/>
              <w:autoSpaceDN w:val="0"/>
              <w:adjustRightInd w:val="0"/>
              <w:jc w:val="center"/>
              <w:rPr>
                <w:sz w:val="18"/>
                <w:szCs w:val="18"/>
              </w:rPr>
            </w:pPr>
            <w:r w:rsidRPr="00306C2B">
              <w:rPr>
                <w:sz w:val="18"/>
                <w:szCs w:val="18"/>
              </w:rPr>
              <w:t>(-9.73)</w:t>
            </w:r>
          </w:p>
        </w:tc>
        <w:tc>
          <w:tcPr>
            <w:tcW w:w="0" w:type="auto"/>
            <w:tcBorders>
              <w:top w:val="nil"/>
              <w:left w:val="nil"/>
              <w:bottom w:val="nil"/>
              <w:right w:val="nil"/>
            </w:tcBorders>
          </w:tcPr>
          <w:p w14:paraId="5EF175BA" w14:textId="01E75061" w:rsidR="00306C2B" w:rsidRPr="00306C2B" w:rsidRDefault="00306C2B" w:rsidP="00306C2B">
            <w:pPr>
              <w:widowControl w:val="0"/>
              <w:autoSpaceDE w:val="0"/>
              <w:autoSpaceDN w:val="0"/>
              <w:adjustRightInd w:val="0"/>
              <w:jc w:val="center"/>
              <w:rPr>
                <w:sz w:val="18"/>
                <w:szCs w:val="18"/>
              </w:rPr>
            </w:pPr>
            <w:r w:rsidRPr="00306C2B">
              <w:rPr>
                <w:sz w:val="18"/>
                <w:szCs w:val="18"/>
              </w:rPr>
              <w:t>(-9.78)</w:t>
            </w:r>
          </w:p>
        </w:tc>
        <w:tc>
          <w:tcPr>
            <w:tcW w:w="0" w:type="auto"/>
            <w:tcBorders>
              <w:top w:val="nil"/>
              <w:left w:val="nil"/>
              <w:bottom w:val="nil"/>
              <w:right w:val="nil"/>
            </w:tcBorders>
          </w:tcPr>
          <w:p w14:paraId="657F9607" w14:textId="22035A81" w:rsidR="00306C2B" w:rsidRPr="00306C2B" w:rsidRDefault="00306C2B" w:rsidP="00306C2B">
            <w:pPr>
              <w:widowControl w:val="0"/>
              <w:autoSpaceDE w:val="0"/>
              <w:autoSpaceDN w:val="0"/>
              <w:adjustRightInd w:val="0"/>
              <w:jc w:val="center"/>
              <w:rPr>
                <w:sz w:val="18"/>
                <w:szCs w:val="18"/>
              </w:rPr>
            </w:pPr>
            <w:r w:rsidRPr="00306C2B">
              <w:rPr>
                <w:sz w:val="18"/>
                <w:szCs w:val="18"/>
              </w:rPr>
              <w:t>(-9.79)</w:t>
            </w:r>
          </w:p>
        </w:tc>
        <w:tc>
          <w:tcPr>
            <w:tcW w:w="0" w:type="auto"/>
            <w:tcBorders>
              <w:top w:val="nil"/>
              <w:left w:val="nil"/>
              <w:bottom w:val="nil"/>
              <w:right w:val="nil"/>
            </w:tcBorders>
          </w:tcPr>
          <w:p w14:paraId="3C645200" w14:textId="75B3C25B" w:rsidR="00306C2B" w:rsidRPr="00306C2B" w:rsidRDefault="00306C2B" w:rsidP="00306C2B">
            <w:pPr>
              <w:widowControl w:val="0"/>
              <w:autoSpaceDE w:val="0"/>
              <w:autoSpaceDN w:val="0"/>
              <w:adjustRightInd w:val="0"/>
              <w:jc w:val="center"/>
              <w:rPr>
                <w:sz w:val="18"/>
                <w:szCs w:val="18"/>
              </w:rPr>
            </w:pPr>
            <w:r w:rsidRPr="00306C2B">
              <w:rPr>
                <w:sz w:val="18"/>
                <w:szCs w:val="18"/>
              </w:rPr>
              <w:t>(-9.75)</w:t>
            </w:r>
          </w:p>
        </w:tc>
        <w:tc>
          <w:tcPr>
            <w:tcW w:w="0" w:type="auto"/>
            <w:tcBorders>
              <w:top w:val="nil"/>
              <w:left w:val="nil"/>
              <w:bottom w:val="nil"/>
              <w:right w:val="nil"/>
            </w:tcBorders>
          </w:tcPr>
          <w:p w14:paraId="6FAA8F02" w14:textId="454DD0C8" w:rsidR="00306C2B" w:rsidRPr="00306C2B" w:rsidRDefault="00306C2B" w:rsidP="00306C2B">
            <w:pPr>
              <w:widowControl w:val="0"/>
              <w:autoSpaceDE w:val="0"/>
              <w:autoSpaceDN w:val="0"/>
              <w:adjustRightInd w:val="0"/>
              <w:jc w:val="center"/>
              <w:rPr>
                <w:sz w:val="18"/>
                <w:szCs w:val="18"/>
              </w:rPr>
            </w:pPr>
            <w:r w:rsidRPr="00306C2B">
              <w:rPr>
                <w:sz w:val="18"/>
                <w:szCs w:val="18"/>
              </w:rPr>
              <w:t>(-9.75)</w:t>
            </w:r>
          </w:p>
        </w:tc>
      </w:tr>
      <w:tr w:rsidR="00306C2B" w:rsidRPr="00306C2B" w14:paraId="099A05CB" w14:textId="77777777" w:rsidTr="00306C2B">
        <w:trPr>
          <w:jc w:val="center"/>
        </w:trPr>
        <w:tc>
          <w:tcPr>
            <w:tcW w:w="0" w:type="auto"/>
            <w:tcBorders>
              <w:top w:val="nil"/>
              <w:left w:val="nil"/>
              <w:bottom w:val="nil"/>
              <w:right w:val="nil"/>
            </w:tcBorders>
          </w:tcPr>
          <w:p w14:paraId="2DB6EE14" w14:textId="77777777" w:rsidR="00306C2B" w:rsidRPr="00306C2B" w:rsidRDefault="00306C2B" w:rsidP="00306C2B">
            <w:pPr>
              <w:widowControl w:val="0"/>
              <w:autoSpaceDE w:val="0"/>
              <w:autoSpaceDN w:val="0"/>
              <w:adjustRightInd w:val="0"/>
              <w:rPr>
                <w:sz w:val="18"/>
                <w:szCs w:val="18"/>
              </w:rPr>
            </w:pPr>
            <w:r w:rsidRPr="00306C2B">
              <w:rPr>
                <w:sz w:val="18"/>
                <w:szCs w:val="18"/>
              </w:rPr>
              <w:t xml:space="preserve">Tobin’s Q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5DD84E81" w14:textId="2907C13D"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4E489184" w14:textId="1D88ED63"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EDD0205" w14:textId="554F596E" w:rsidR="00306C2B" w:rsidRPr="00306C2B" w:rsidRDefault="00306C2B" w:rsidP="00306C2B">
            <w:pPr>
              <w:widowControl w:val="0"/>
              <w:autoSpaceDE w:val="0"/>
              <w:autoSpaceDN w:val="0"/>
              <w:adjustRightInd w:val="0"/>
              <w:jc w:val="center"/>
              <w:rPr>
                <w:sz w:val="18"/>
                <w:szCs w:val="18"/>
              </w:rPr>
            </w:pPr>
            <w:r w:rsidRPr="00306C2B">
              <w:rPr>
                <w:sz w:val="18"/>
                <w:szCs w:val="18"/>
              </w:rPr>
              <w:t>0.007***</w:t>
            </w:r>
          </w:p>
        </w:tc>
        <w:tc>
          <w:tcPr>
            <w:tcW w:w="0" w:type="auto"/>
            <w:tcBorders>
              <w:top w:val="nil"/>
              <w:left w:val="nil"/>
              <w:bottom w:val="nil"/>
              <w:right w:val="nil"/>
            </w:tcBorders>
          </w:tcPr>
          <w:p w14:paraId="3D8095F4" w14:textId="6026A375" w:rsidR="00306C2B" w:rsidRPr="00306C2B" w:rsidRDefault="00306C2B" w:rsidP="00306C2B">
            <w:pPr>
              <w:widowControl w:val="0"/>
              <w:autoSpaceDE w:val="0"/>
              <w:autoSpaceDN w:val="0"/>
              <w:adjustRightInd w:val="0"/>
              <w:jc w:val="center"/>
              <w:rPr>
                <w:sz w:val="18"/>
                <w:szCs w:val="18"/>
              </w:rPr>
            </w:pPr>
            <w:r w:rsidRPr="00306C2B">
              <w:rPr>
                <w:sz w:val="18"/>
                <w:szCs w:val="18"/>
              </w:rPr>
              <w:t>0.007***</w:t>
            </w:r>
          </w:p>
        </w:tc>
        <w:tc>
          <w:tcPr>
            <w:tcW w:w="0" w:type="auto"/>
            <w:tcBorders>
              <w:top w:val="nil"/>
              <w:left w:val="nil"/>
              <w:bottom w:val="nil"/>
              <w:right w:val="nil"/>
            </w:tcBorders>
          </w:tcPr>
          <w:p w14:paraId="644FE5B5" w14:textId="455998D2" w:rsidR="00306C2B" w:rsidRPr="00306C2B" w:rsidRDefault="00306C2B" w:rsidP="00306C2B">
            <w:pPr>
              <w:widowControl w:val="0"/>
              <w:autoSpaceDE w:val="0"/>
              <w:autoSpaceDN w:val="0"/>
              <w:adjustRightInd w:val="0"/>
              <w:jc w:val="center"/>
              <w:rPr>
                <w:sz w:val="18"/>
                <w:szCs w:val="18"/>
              </w:rPr>
            </w:pPr>
            <w:r w:rsidRPr="00306C2B">
              <w:rPr>
                <w:sz w:val="18"/>
                <w:szCs w:val="18"/>
              </w:rPr>
              <w:t>0.007***</w:t>
            </w:r>
          </w:p>
        </w:tc>
        <w:tc>
          <w:tcPr>
            <w:tcW w:w="0" w:type="auto"/>
            <w:tcBorders>
              <w:top w:val="nil"/>
              <w:left w:val="nil"/>
              <w:bottom w:val="nil"/>
              <w:right w:val="nil"/>
            </w:tcBorders>
          </w:tcPr>
          <w:p w14:paraId="2313A01E" w14:textId="1948778C" w:rsidR="00306C2B" w:rsidRPr="00306C2B" w:rsidRDefault="00306C2B" w:rsidP="00306C2B">
            <w:pPr>
              <w:widowControl w:val="0"/>
              <w:autoSpaceDE w:val="0"/>
              <w:autoSpaceDN w:val="0"/>
              <w:adjustRightInd w:val="0"/>
              <w:jc w:val="center"/>
              <w:rPr>
                <w:sz w:val="18"/>
                <w:szCs w:val="18"/>
              </w:rPr>
            </w:pPr>
            <w:r w:rsidRPr="00306C2B">
              <w:rPr>
                <w:sz w:val="18"/>
                <w:szCs w:val="18"/>
              </w:rPr>
              <w:t>0.007***</w:t>
            </w:r>
          </w:p>
        </w:tc>
        <w:tc>
          <w:tcPr>
            <w:tcW w:w="0" w:type="auto"/>
            <w:tcBorders>
              <w:top w:val="nil"/>
              <w:left w:val="nil"/>
              <w:bottom w:val="nil"/>
              <w:right w:val="nil"/>
            </w:tcBorders>
          </w:tcPr>
          <w:p w14:paraId="4D564857" w14:textId="0C1F05BD" w:rsidR="00306C2B" w:rsidRPr="00306C2B" w:rsidRDefault="00306C2B" w:rsidP="00306C2B">
            <w:pPr>
              <w:widowControl w:val="0"/>
              <w:autoSpaceDE w:val="0"/>
              <w:autoSpaceDN w:val="0"/>
              <w:adjustRightInd w:val="0"/>
              <w:jc w:val="center"/>
              <w:rPr>
                <w:sz w:val="18"/>
                <w:szCs w:val="18"/>
              </w:rPr>
            </w:pPr>
            <w:r w:rsidRPr="00306C2B">
              <w:rPr>
                <w:sz w:val="18"/>
                <w:szCs w:val="18"/>
              </w:rPr>
              <w:t>0.007***</w:t>
            </w:r>
          </w:p>
        </w:tc>
        <w:tc>
          <w:tcPr>
            <w:tcW w:w="0" w:type="auto"/>
            <w:tcBorders>
              <w:top w:val="nil"/>
              <w:left w:val="nil"/>
              <w:bottom w:val="nil"/>
              <w:right w:val="nil"/>
            </w:tcBorders>
          </w:tcPr>
          <w:p w14:paraId="510348F2" w14:textId="1D2BC8E7" w:rsidR="00306C2B" w:rsidRPr="00306C2B" w:rsidRDefault="00306C2B" w:rsidP="00306C2B">
            <w:pPr>
              <w:widowControl w:val="0"/>
              <w:autoSpaceDE w:val="0"/>
              <w:autoSpaceDN w:val="0"/>
              <w:adjustRightInd w:val="0"/>
              <w:jc w:val="center"/>
              <w:rPr>
                <w:sz w:val="18"/>
                <w:szCs w:val="18"/>
              </w:rPr>
            </w:pPr>
            <w:r w:rsidRPr="00306C2B">
              <w:rPr>
                <w:sz w:val="18"/>
                <w:szCs w:val="18"/>
              </w:rPr>
              <w:t>0.007***</w:t>
            </w:r>
          </w:p>
        </w:tc>
        <w:tc>
          <w:tcPr>
            <w:tcW w:w="0" w:type="auto"/>
            <w:tcBorders>
              <w:top w:val="nil"/>
              <w:left w:val="nil"/>
              <w:bottom w:val="nil"/>
              <w:right w:val="nil"/>
            </w:tcBorders>
          </w:tcPr>
          <w:p w14:paraId="06125D82" w14:textId="74EFB720" w:rsidR="00306C2B" w:rsidRPr="00306C2B" w:rsidRDefault="00306C2B" w:rsidP="00306C2B">
            <w:pPr>
              <w:widowControl w:val="0"/>
              <w:autoSpaceDE w:val="0"/>
              <w:autoSpaceDN w:val="0"/>
              <w:adjustRightInd w:val="0"/>
              <w:jc w:val="center"/>
              <w:rPr>
                <w:sz w:val="18"/>
                <w:szCs w:val="18"/>
              </w:rPr>
            </w:pPr>
            <w:r w:rsidRPr="00306C2B">
              <w:rPr>
                <w:sz w:val="18"/>
                <w:szCs w:val="18"/>
              </w:rPr>
              <w:t>0.007***</w:t>
            </w:r>
          </w:p>
        </w:tc>
      </w:tr>
      <w:tr w:rsidR="00306C2B" w:rsidRPr="00306C2B" w14:paraId="3C2BE624" w14:textId="77777777" w:rsidTr="00306C2B">
        <w:trPr>
          <w:jc w:val="center"/>
        </w:trPr>
        <w:tc>
          <w:tcPr>
            <w:tcW w:w="0" w:type="auto"/>
            <w:tcBorders>
              <w:top w:val="nil"/>
              <w:left w:val="nil"/>
              <w:bottom w:val="nil"/>
              <w:right w:val="nil"/>
            </w:tcBorders>
          </w:tcPr>
          <w:p w14:paraId="74DCEDBF"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5A99B0A5" w14:textId="221B85A9"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551A984F" w14:textId="298D0592"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793A84A" w14:textId="2B5140C2" w:rsidR="00306C2B" w:rsidRPr="00306C2B" w:rsidRDefault="00306C2B" w:rsidP="00306C2B">
            <w:pPr>
              <w:widowControl w:val="0"/>
              <w:autoSpaceDE w:val="0"/>
              <w:autoSpaceDN w:val="0"/>
              <w:adjustRightInd w:val="0"/>
              <w:jc w:val="center"/>
              <w:rPr>
                <w:sz w:val="18"/>
                <w:szCs w:val="18"/>
              </w:rPr>
            </w:pPr>
            <w:r w:rsidRPr="00306C2B">
              <w:rPr>
                <w:sz w:val="18"/>
                <w:szCs w:val="18"/>
              </w:rPr>
              <w:t>(6.31)</w:t>
            </w:r>
          </w:p>
        </w:tc>
        <w:tc>
          <w:tcPr>
            <w:tcW w:w="0" w:type="auto"/>
            <w:tcBorders>
              <w:top w:val="nil"/>
              <w:left w:val="nil"/>
              <w:bottom w:val="nil"/>
              <w:right w:val="nil"/>
            </w:tcBorders>
          </w:tcPr>
          <w:p w14:paraId="36824B50" w14:textId="672E2F50" w:rsidR="00306C2B" w:rsidRPr="00306C2B" w:rsidRDefault="00306C2B" w:rsidP="00306C2B">
            <w:pPr>
              <w:widowControl w:val="0"/>
              <w:autoSpaceDE w:val="0"/>
              <w:autoSpaceDN w:val="0"/>
              <w:adjustRightInd w:val="0"/>
              <w:jc w:val="center"/>
              <w:rPr>
                <w:sz w:val="18"/>
                <w:szCs w:val="18"/>
              </w:rPr>
            </w:pPr>
            <w:r w:rsidRPr="00306C2B">
              <w:rPr>
                <w:sz w:val="18"/>
                <w:szCs w:val="18"/>
              </w:rPr>
              <w:t>(6.29)</w:t>
            </w:r>
          </w:p>
        </w:tc>
        <w:tc>
          <w:tcPr>
            <w:tcW w:w="0" w:type="auto"/>
            <w:tcBorders>
              <w:top w:val="nil"/>
              <w:left w:val="nil"/>
              <w:bottom w:val="nil"/>
              <w:right w:val="nil"/>
            </w:tcBorders>
          </w:tcPr>
          <w:p w14:paraId="05C348D8" w14:textId="71D9EBEC" w:rsidR="00306C2B" w:rsidRPr="00306C2B" w:rsidRDefault="00306C2B" w:rsidP="00306C2B">
            <w:pPr>
              <w:widowControl w:val="0"/>
              <w:autoSpaceDE w:val="0"/>
              <w:autoSpaceDN w:val="0"/>
              <w:adjustRightInd w:val="0"/>
              <w:jc w:val="center"/>
              <w:rPr>
                <w:sz w:val="18"/>
                <w:szCs w:val="18"/>
              </w:rPr>
            </w:pPr>
            <w:r w:rsidRPr="00306C2B">
              <w:rPr>
                <w:sz w:val="18"/>
                <w:szCs w:val="18"/>
              </w:rPr>
              <w:t>(6.35)</w:t>
            </w:r>
          </w:p>
        </w:tc>
        <w:tc>
          <w:tcPr>
            <w:tcW w:w="0" w:type="auto"/>
            <w:tcBorders>
              <w:top w:val="nil"/>
              <w:left w:val="nil"/>
              <w:bottom w:val="nil"/>
              <w:right w:val="nil"/>
            </w:tcBorders>
          </w:tcPr>
          <w:p w14:paraId="671AE9DA" w14:textId="503CB119" w:rsidR="00306C2B" w:rsidRPr="00306C2B" w:rsidRDefault="00306C2B" w:rsidP="00306C2B">
            <w:pPr>
              <w:widowControl w:val="0"/>
              <w:autoSpaceDE w:val="0"/>
              <w:autoSpaceDN w:val="0"/>
              <w:adjustRightInd w:val="0"/>
              <w:jc w:val="center"/>
              <w:rPr>
                <w:sz w:val="18"/>
                <w:szCs w:val="18"/>
              </w:rPr>
            </w:pPr>
            <w:r w:rsidRPr="00306C2B">
              <w:rPr>
                <w:sz w:val="18"/>
                <w:szCs w:val="18"/>
              </w:rPr>
              <w:t>(6.29)</w:t>
            </w:r>
          </w:p>
        </w:tc>
        <w:tc>
          <w:tcPr>
            <w:tcW w:w="0" w:type="auto"/>
            <w:tcBorders>
              <w:top w:val="nil"/>
              <w:left w:val="nil"/>
              <w:bottom w:val="nil"/>
              <w:right w:val="nil"/>
            </w:tcBorders>
          </w:tcPr>
          <w:p w14:paraId="708815CA" w14:textId="4362E95E" w:rsidR="00306C2B" w:rsidRPr="00306C2B" w:rsidRDefault="00306C2B" w:rsidP="00306C2B">
            <w:pPr>
              <w:widowControl w:val="0"/>
              <w:autoSpaceDE w:val="0"/>
              <w:autoSpaceDN w:val="0"/>
              <w:adjustRightInd w:val="0"/>
              <w:jc w:val="center"/>
              <w:rPr>
                <w:sz w:val="18"/>
                <w:szCs w:val="18"/>
              </w:rPr>
            </w:pPr>
            <w:r w:rsidRPr="00306C2B">
              <w:rPr>
                <w:sz w:val="18"/>
                <w:szCs w:val="18"/>
              </w:rPr>
              <w:t>(6.29)</w:t>
            </w:r>
          </w:p>
        </w:tc>
        <w:tc>
          <w:tcPr>
            <w:tcW w:w="0" w:type="auto"/>
            <w:tcBorders>
              <w:top w:val="nil"/>
              <w:left w:val="nil"/>
              <w:bottom w:val="nil"/>
              <w:right w:val="nil"/>
            </w:tcBorders>
          </w:tcPr>
          <w:p w14:paraId="7851FDE4" w14:textId="449F9A75" w:rsidR="00306C2B" w:rsidRPr="00306C2B" w:rsidRDefault="00306C2B" w:rsidP="00306C2B">
            <w:pPr>
              <w:widowControl w:val="0"/>
              <w:autoSpaceDE w:val="0"/>
              <w:autoSpaceDN w:val="0"/>
              <w:adjustRightInd w:val="0"/>
              <w:jc w:val="center"/>
              <w:rPr>
                <w:sz w:val="18"/>
                <w:szCs w:val="18"/>
              </w:rPr>
            </w:pPr>
            <w:r w:rsidRPr="00306C2B">
              <w:rPr>
                <w:sz w:val="18"/>
                <w:szCs w:val="18"/>
              </w:rPr>
              <w:t>(6.29)</w:t>
            </w:r>
          </w:p>
        </w:tc>
        <w:tc>
          <w:tcPr>
            <w:tcW w:w="0" w:type="auto"/>
            <w:tcBorders>
              <w:top w:val="nil"/>
              <w:left w:val="nil"/>
              <w:bottom w:val="nil"/>
              <w:right w:val="nil"/>
            </w:tcBorders>
          </w:tcPr>
          <w:p w14:paraId="7C8602F2" w14:textId="13F6828A" w:rsidR="00306C2B" w:rsidRPr="00306C2B" w:rsidRDefault="00306C2B" w:rsidP="00306C2B">
            <w:pPr>
              <w:widowControl w:val="0"/>
              <w:autoSpaceDE w:val="0"/>
              <w:autoSpaceDN w:val="0"/>
              <w:adjustRightInd w:val="0"/>
              <w:jc w:val="center"/>
              <w:rPr>
                <w:sz w:val="18"/>
                <w:szCs w:val="18"/>
              </w:rPr>
            </w:pPr>
            <w:r w:rsidRPr="00306C2B">
              <w:rPr>
                <w:sz w:val="18"/>
                <w:szCs w:val="18"/>
              </w:rPr>
              <w:t>(6.29)</w:t>
            </w:r>
          </w:p>
        </w:tc>
      </w:tr>
      <w:tr w:rsidR="00306C2B" w:rsidRPr="00306C2B" w14:paraId="2D3BEB10" w14:textId="77777777" w:rsidTr="00306C2B">
        <w:trPr>
          <w:jc w:val="center"/>
        </w:trPr>
        <w:tc>
          <w:tcPr>
            <w:tcW w:w="0" w:type="auto"/>
            <w:tcBorders>
              <w:top w:val="nil"/>
              <w:left w:val="nil"/>
              <w:bottom w:val="nil"/>
              <w:right w:val="nil"/>
            </w:tcBorders>
          </w:tcPr>
          <w:p w14:paraId="7B28C007" w14:textId="77777777" w:rsidR="00306C2B" w:rsidRPr="00306C2B" w:rsidRDefault="00306C2B" w:rsidP="00306C2B">
            <w:pPr>
              <w:widowControl w:val="0"/>
              <w:autoSpaceDE w:val="0"/>
              <w:autoSpaceDN w:val="0"/>
              <w:adjustRightInd w:val="0"/>
              <w:rPr>
                <w:sz w:val="18"/>
                <w:szCs w:val="18"/>
              </w:rPr>
            </w:pPr>
            <w:r w:rsidRPr="00306C2B">
              <w:rPr>
                <w:sz w:val="18"/>
                <w:szCs w:val="18"/>
              </w:rPr>
              <w:t>Constant</w:t>
            </w:r>
          </w:p>
        </w:tc>
        <w:tc>
          <w:tcPr>
            <w:tcW w:w="0" w:type="auto"/>
            <w:tcBorders>
              <w:top w:val="nil"/>
              <w:left w:val="nil"/>
              <w:bottom w:val="nil"/>
              <w:right w:val="nil"/>
            </w:tcBorders>
          </w:tcPr>
          <w:p w14:paraId="655BBB49" w14:textId="4AB3BE2A"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B2CCB58" w14:textId="74C5289B"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F409992" w14:textId="72FAAB57" w:rsidR="00306C2B" w:rsidRPr="00306C2B" w:rsidRDefault="00306C2B" w:rsidP="00306C2B">
            <w:pPr>
              <w:widowControl w:val="0"/>
              <w:autoSpaceDE w:val="0"/>
              <w:autoSpaceDN w:val="0"/>
              <w:adjustRightInd w:val="0"/>
              <w:jc w:val="center"/>
              <w:rPr>
                <w:sz w:val="18"/>
                <w:szCs w:val="18"/>
              </w:rPr>
            </w:pPr>
            <w:r w:rsidRPr="00306C2B">
              <w:rPr>
                <w:sz w:val="18"/>
                <w:szCs w:val="18"/>
              </w:rPr>
              <w:t>1.103***</w:t>
            </w:r>
          </w:p>
        </w:tc>
        <w:tc>
          <w:tcPr>
            <w:tcW w:w="0" w:type="auto"/>
            <w:tcBorders>
              <w:top w:val="nil"/>
              <w:left w:val="nil"/>
              <w:bottom w:val="nil"/>
              <w:right w:val="nil"/>
            </w:tcBorders>
          </w:tcPr>
          <w:p w14:paraId="11D69C6F" w14:textId="158C2630" w:rsidR="00306C2B" w:rsidRPr="00306C2B" w:rsidRDefault="00306C2B" w:rsidP="00306C2B">
            <w:pPr>
              <w:widowControl w:val="0"/>
              <w:autoSpaceDE w:val="0"/>
              <w:autoSpaceDN w:val="0"/>
              <w:adjustRightInd w:val="0"/>
              <w:jc w:val="center"/>
              <w:rPr>
                <w:sz w:val="18"/>
                <w:szCs w:val="18"/>
              </w:rPr>
            </w:pPr>
            <w:r w:rsidRPr="00306C2B">
              <w:rPr>
                <w:sz w:val="18"/>
                <w:szCs w:val="18"/>
              </w:rPr>
              <w:t>1.101***</w:t>
            </w:r>
          </w:p>
        </w:tc>
        <w:tc>
          <w:tcPr>
            <w:tcW w:w="0" w:type="auto"/>
            <w:tcBorders>
              <w:top w:val="nil"/>
              <w:left w:val="nil"/>
              <w:bottom w:val="nil"/>
              <w:right w:val="nil"/>
            </w:tcBorders>
          </w:tcPr>
          <w:p w14:paraId="17F60F0B" w14:textId="3CA1C366" w:rsidR="00306C2B" w:rsidRPr="00306C2B" w:rsidRDefault="00306C2B" w:rsidP="00306C2B">
            <w:pPr>
              <w:widowControl w:val="0"/>
              <w:autoSpaceDE w:val="0"/>
              <w:autoSpaceDN w:val="0"/>
              <w:adjustRightInd w:val="0"/>
              <w:jc w:val="center"/>
              <w:rPr>
                <w:sz w:val="18"/>
                <w:szCs w:val="18"/>
              </w:rPr>
            </w:pPr>
            <w:r w:rsidRPr="00306C2B">
              <w:rPr>
                <w:sz w:val="18"/>
                <w:szCs w:val="18"/>
              </w:rPr>
              <w:t>1.102***</w:t>
            </w:r>
          </w:p>
        </w:tc>
        <w:tc>
          <w:tcPr>
            <w:tcW w:w="0" w:type="auto"/>
            <w:tcBorders>
              <w:top w:val="nil"/>
              <w:left w:val="nil"/>
              <w:bottom w:val="nil"/>
              <w:right w:val="nil"/>
            </w:tcBorders>
          </w:tcPr>
          <w:p w14:paraId="6A15F7EA" w14:textId="24D1F03B" w:rsidR="00306C2B" w:rsidRPr="00306C2B" w:rsidRDefault="00306C2B" w:rsidP="00306C2B">
            <w:pPr>
              <w:widowControl w:val="0"/>
              <w:autoSpaceDE w:val="0"/>
              <w:autoSpaceDN w:val="0"/>
              <w:adjustRightInd w:val="0"/>
              <w:jc w:val="center"/>
              <w:rPr>
                <w:sz w:val="18"/>
                <w:szCs w:val="18"/>
              </w:rPr>
            </w:pPr>
            <w:r w:rsidRPr="00306C2B">
              <w:rPr>
                <w:sz w:val="18"/>
                <w:szCs w:val="18"/>
              </w:rPr>
              <w:t>1.104***</w:t>
            </w:r>
          </w:p>
        </w:tc>
        <w:tc>
          <w:tcPr>
            <w:tcW w:w="0" w:type="auto"/>
            <w:tcBorders>
              <w:top w:val="nil"/>
              <w:left w:val="nil"/>
              <w:bottom w:val="nil"/>
              <w:right w:val="nil"/>
            </w:tcBorders>
          </w:tcPr>
          <w:p w14:paraId="604E1560" w14:textId="24F9C88C" w:rsidR="00306C2B" w:rsidRPr="00306C2B" w:rsidRDefault="00306C2B" w:rsidP="00306C2B">
            <w:pPr>
              <w:widowControl w:val="0"/>
              <w:autoSpaceDE w:val="0"/>
              <w:autoSpaceDN w:val="0"/>
              <w:adjustRightInd w:val="0"/>
              <w:jc w:val="center"/>
              <w:rPr>
                <w:sz w:val="18"/>
                <w:szCs w:val="18"/>
              </w:rPr>
            </w:pPr>
            <w:r w:rsidRPr="00306C2B">
              <w:rPr>
                <w:sz w:val="18"/>
                <w:szCs w:val="18"/>
              </w:rPr>
              <w:t>1.104***</w:t>
            </w:r>
          </w:p>
        </w:tc>
        <w:tc>
          <w:tcPr>
            <w:tcW w:w="0" w:type="auto"/>
            <w:tcBorders>
              <w:top w:val="nil"/>
              <w:left w:val="nil"/>
              <w:bottom w:val="nil"/>
              <w:right w:val="nil"/>
            </w:tcBorders>
          </w:tcPr>
          <w:p w14:paraId="5081B10E" w14:textId="1D8F76C8" w:rsidR="00306C2B" w:rsidRPr="00306C2B" w:rsidRDefault="00306C2B" w:rsidP="00306C2B">
            <w:pPr>
              <w:widowControl w:val="0"/>
              <w:autoSpaceDE w:val="0"/>
              <w:autoSpaceDN w:val="0"/>
              <w:adjustRightInd w:val="0"/>
              <w:jc w:val="center"/>
              <w:rPr>
                <w:sz w:val="18"/>
                <w:szCs w:val="18"/>
              </w:rPr>
            </w:pPr>
            <w:r w:rsidRPr="00306C2B">
              <w:rPr>
                <w:sz w:val="18"/>
                <w:szCs w:val="18"/>
              </w:rPr>
              <w:t>1.103***</w:t>
            </w:r>
          </w:p>
        </w:tc>
        <w:tc>
          <w:tcPr>
            <w:tcW w:w="0" w:type="auto"/>
            <w:tcBorders>
              <w:top w:val="nil"/>
              <w:left w:val="nil"/>
              <w:bottom w:val="nil"/>
              <w:right w:val="nil"/>
            </w:tcBorders>
          </w:tcPr>
          <w:p w14:paraId="1A7247DF" w14:textId="7B5FEF0D" w:rsidR="00306C2B" w:rsidRPr="00306C2B" w:rsidRDefault="00306C2B" w:rsidP="00306C2B">
            <w:pPr>
              <w:widowControl w:val="0"/>
              <w:autoSpaceDE w:val="0"/>
              <w:autoSpaceDN w:val="0"/>
              <w:adjustRightInd w:val="0"/>
              <w:jc w:val="center"/>
              <w:rPr>
                <w:sz w:val="18"/>
                <w:szCs w:val="18"/>
              </w:rPr>
            </w:pPr>
            <w:r w:rsidRPr="00306C2B">
              <w:rPr>
                <w:sz w:val="18"/>
                <w:szCs w:val="18"/>
              </w:rPr>
              <w:t>1.102***</w:t>
            </w:r>
          </w:p>
        </w:tc>
      </w:tr>
      <w:tr w:rsidR="00306C2B" w:rsidRPr="00306C2B" w14:paraId="4D9FC91A" w14:textId="77777777" w:rsidTr="00306C2B">
        <w:trPr>
          <w:jc w:val="center"/>
        </w:trPr>
        <w:tc>
          <w:tcPr>
            <w:tcW w:w="0" w:type="auto"/>
            <w:tcBorders>
              <w:top w:val="nil"/>
              <w:left w:val="nil"/>
              <w:bottom w:val="nil"/>
              <w:right w:val="nil"/>
            </w:tcBorders>
          </w:tcPr>
          <w:p w14:paraId="6EB58F5D"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4649D8B9" w14:textId="609B9E4A"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1A0C0774" w14:textId="665EDEF1"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BCB2DD1" w14:textId="2A62C314" w:rsidR="00306C2B" w:rsidRPr="00306C2B" w:rsidRDefault="00306C2B" w:rsidP="00306C2B">
            <w:pPr>
              <w:widowControl w:val="0"/>
              <w:autoSpaceDE w:val="0"/>
              <w:autoSpaceDN w:val="0"/>
              <w:adjustRightInd w:val="0"/>
              <w:jc w:val="center"/>
              <w:rPr>
                <w:sz w:val="18"/>
                <w:szCs w:val="18"/>
              </w:rPr>
            </w:pPr>
            <w:r w:rsidRPr="00306C2B">
              <w:rPr>
                <w:sz w:val="18"/>
                <w:szCs w:val="18"/>
              </w:rPr>
              <w:t>(14.34)</w:t>
            </w:r>
          </w:p>
        </w:tc>
        <w:tc>
          <w:tcPr>
            <w:tcW w:w="0" w:type="auto"/>
            <w:tcBorders>
              <w:top w:val="nil"/>
              <w:left w:val="nil"/>
              <w:bottom w:val="nil"/>
              <w:right w:val="nil"/>
            </w:tcBorders>
          </w:tcPr>
          <w:p w14:paraId="2870EC60" w14:textId="29E2ABC3" w:rsidR="00306C2B" w:rsidRPr="00306C2B" w:rsidRDefault="00306C2B" w:rsidP="00306C2B">
            <w:pPr>
              <w:widowControl w:val="0"/>
              <w:autoSpaceDE w:val="0"/>
              <w:autoSpaceDN w:val="0"/>
              <w:adjustRightInd w:val="0"/>
              <w:jc w:val="center"/>
              <w:rPr>
                <w:sz w:val="18"/>
                <w:szCs w:val="18"/>
              </w:rPr>
            </w:pPr>
            <w:r w:rsidRPr="00306C2B">
              <w:rPr>
                <w:sz w:val="18"/>
                <w:szCs w:val="18"/>
              </w:rPr>
              <w:t>(14.29)</w:t>
            </w:r>
          </w:p>
        </w:tc>
        <w:tc>
          <w:tcPr>
            <w:tcW w:w="0" w:type="auto"/>
            <w:tcBorders>
              <w:top w:val="nil"/>
              <w:left w:val="nil"/>
              <w:bottom w:val="nil"/>
              <w:right w:val="nil"/>
            </w:tcBorders>
          </w:tcPr>
          <w:p w14:paraId="3B6E2884" w14:textId="77E414FA" w:rsidR="00306C2B" w:rsidRPr="00306C2B" w:rsidRDefault="00306C2B" w:rsidP="00306C2B">
            <w:pPr>
              <w:widowControl w:val="0"/>
              <w:autoSpaceDE w:val="0"/>
              <w:autoSpaceDN w:val="0"/>
              <w:adjustRightInd w:val="0"/>
              <w:jc w:val="center"/>
              <w:rPr>
                <w:sz w:val="18"/>
                <w:szCs w:val="18"/>
              </w:rPr>
            </w:pPr>
            <w:r w:rsidRPr="00306C2B">
              <w:rPr>
                <w:sz w:val="18"/>
                <w:szCs w:val="18"/>
              </w:rPr>
              <w:t>(14.24)</w:t>
            </w:r>
          </w:p>
        </w:tc>
        <w:tc>
          <w:tcPr>
            <w:tcW w:w="0" w:type="auto"/>
            <w:tcBorders>
              <w:top w:val="nil"/>
              <w:left w:val="nil"/>
              <w:bottom w:val="nil"/>
              <w:right w:val="nil"/>
            </w:tcBorders>
          </w:tcPr>
          <w:p w14:paraId="695A88E8" w14:textId="0405C36B" w:rsidR="00306C2B" w:rsidRPr="00306C2B" w:rsidRDefault="00306C2B" w:rsidP="00306C2B">
            <w:pPr>
              <w:widowControl w:val="0"/>
              <w:autoSpaceDE w:val="0"/>
              <w:autoSpaceDN w:val="0"/>
              <w:adjustRightInd w:val="0"/>
              <w:jc w:val="center"/>
              <w:rPr>
                <w:sz w:val="18"/>
                <w:szCs w:val="18"/>
              </w:rPr>
            </w:pPr>
            <w:r w:rsidRPr="00306C2B">
              <w:rPr>
                <w:sz w:val="18"/>
                <w:szCs w:val="18"/>
              </w:rPr>
              <w:t>(14.38)</w:t>
            </w:r>
          </w:p>
        </w:tc>
        <w:tc>
          <w:tcPr>
            <w:tcW w:w="0" w:type="auto"/>
            <w:tcBorders>
              <w:top w:val="nil"/>
              <w:left w:val="nil"/>
              <w:bottom w:val="nil"/>
              <w:right w:val="nil"/>
            </w:tcBorders>
          </w:tcPr>
          <w:p w14:paraId="718A3030" w14:textId="6C269871" w:rsidR="00306C2B" w:rsidRPr="00306C2B" w:rsidRDefault="00306C2B" w:rsidP="00306C2B">
            <w:pPr>
              <w:widowControl w:val="0"/>
              <w:autoSpaceDE w:val="0"/>
              <w:autoSpaceDN w:val="0"/>
              <w:adjustRightInd w:val="0"/>
              <w:jc w:val="center"/>
              <w:rPr>
                <w:sz w:val="18"/>
                <w:szCs w:val="18"/>
              </w:rPr>
            </w:pPr>
            <w:r w:rsidRPr="00306C2B">
              <w:rPr>
                <w:sz w:val="18"/>
                <w:szCs w:val="18"/>
              </w:rPr>
              <w:t>(14.39)</w:t>
            </w:r>
          </w:p>
        </w:tc>
        <w:tc>
          <w:tcPr>
            <w:tcW w:w="0" w:type="auto"/>
            <w:tcBorders>
              <w:top w:val="nil"/>
              <w:left w:val="nil"/>
              <w:bottom w:val="nil"/>
              <w:right w:val="nil"/>
            </w:tcBorders>
          </w:tcPr>
          <w:p w14:paraId="5A86A33D" w14:textId="1FB30636" w:rsidR="00306C2B" w:rsidRPr="00306C2B" w:rsidRDefault="00306C2B" w:rsidP="00306C2B">
            <w:pPr>
              <w:widowControl w:val="0"/>
              <w:autoSpaceDE w:val="0"/>
              <w:autoSpaceDN w:val="0"/>
              <w:adjustRightInd w:val="0"/>
              <w:jc w:val="center"/>
              <w:rPr>
                <w:sz w:val="18"/>
                <w:szCs w:val="18"/>
              </w:rPr>
            </w:pPr>
            <w:r w:rsidRPr="00306C2B">
              <w:rPr>
                <w:sz w:val="18"/>
                <w:szCs w:val="18"/>
              </w:rPr>
              <w:t>(14.34)</w:t>
            </w:r>
          </w:p>
        </w:tc>
        <w:tc>
          <w:tcPr>
            <w:tcW w:w="0" w:type="auto"/>
            <w:tcBorders>
              <w:top w:val="nil"/>
              <w:left w:val="nil"/>
              <w:bottom w:val="nil"/>
              <w:right w:val="nil"/>
            </w:tcBorders>
          </w:tcPr>
          <w:p w14:paraId="7A313A8A" w14:textId="14B1B1DF" w:rsidR="00306C2B" w:rsidRPr="00306C2B" w:rsidRDefault="00306C2B" w:rsidP="00306C2B">
            <w:pPr>
              <w:widowControl w:val="0"/>
              <w:autoSpaceDE w:val="0"/>
              <w:autoSpaceDN w:val="0"/>
              <w:adjustRightInd w:val="0"/>
              <w:jc w:val="center"/>
              <w:rPr>
                <w:sz w:val="18"/>
                <w:szCs w:val="18"/>
              </w:rPr>
            </w:pPr>
            <w:r w:rsidRPr="00306C2B">
              <w:rPr>
                <w:sz w:val="18"/>
                <w:szCs w:val="18"/>
              </w:rPr>
              <w:t>(14.34)</w:t>
            </w:r>
          </w:p>
        </w:tc>
      </w:tr>
      <w:tr w:rsidR="00306C2B" w:rsidRPr="00306C2B" w14:paraId="3126F761" w14:textId="77777777" w:rsidTr="00306C2B">
        <w:trPr>
          <w:jc w:val="center"/>
        </w:trPr>
        <w:tc>
          <w:tcPr>
            <w:tcW w:w="0" w:type="auto"/>
            <w:tcBorders>
              <w:top w:val="nil"/>
              <w:left w:val="nil"/>
              <w:bottom w:val="nil"/>
              <w:right w:val="nil"/>
            </w:tcBorders>
          </w:tcPr>
          <w:p w14:paraId="762C09A8"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127B6A4B"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3A98741"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39B69172"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BF68B2C"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C45D8C6"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E99E9D7"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41ACA2A4"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16E836A3"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584C283" w14:textId="77777777" w:rsidR="00306C2B" w:rsidRPr="00306C2B" w:rsidRDefault="00306C2B" w:rsidP="00306C2B">
            <w:pPr>
              <w:widowControl w:val="0"/>
              <w:autoSpaceDE w:val="0"/>
              <w:autoSpaceDN w:val="0"/>
              <w:adjustRightInd w:val="0"/>
              <w:jc w:val="center"/>
              <w:rPr>
                <w:sz w:val="18"/>
                <w:szCs w:val="18"/>
              </w:rPr>
            </w:pPr>
          </w:p>
        </w:tc>
      </w:tr>
      <w:tr w:rsidR="00306C2B" w:rsidRPr="00306C2B" w14:paraId="41DC82B7" w14:textId="77777777" w:rsidTr="00306C2B">
        <w:trPr>
          <w:jc w:val="center"/>
        </w:trPr>
        <w:tc>
          <w:tcPr>
            <w:tcW w:w="0" w:type="auto"/>
            <w:tcBorders>
              <w:top w:val="nil"/>
              <w:left w:val="nil"/>
              <w:bottom w:val="nil"/>
              <w:right w:val="nil"/>
            </w:tcBorders>
          </w:tcPr>
          <w:p w14:paraId="05F2C5C9" w14:textId="2EB729F5" w:rsidR="00306C2B" w:rsidRPr="00306C2B" w:rsidRDefault="00306C2B" w:rsidP="00306C2B">
            <w:pPr>
              <w:widowControl w:val="0"/>
              <w:autoSpaceDE w:val="0"/>
              <w:autoSpaceDN w:val="0"/>
              <w:adjustRightInd w:val="0"/>
              <w:rPr>
                <w:sz w:val="18"/>
                <w:szCs w:val="18"/>
              </w:rPr>
            </w:pPr>
            <w:r w:rsidRPr="00306C2B">
              <w:rPr>
                <w:sz w:val="18"/>
                <w:szCs w:val="18"/>
              </w:rPr>
              <w:t>Subsample</w:t>
            </w:r>
          </w:p>
        </w:tc>
        <w:tc>
          <w:tcPr>
            <w:tcW w:w="0" w:type="auto"/>
            <w:tcBorders>
              <w:top w:val="nil"/>
              <w:left w:val="nil"/>
              <w:bottom w:val="nil"/>
              <w:right w:val="nil"/>
            </w:tcBorders>
          </w:tcPr>
          <w:p w14:paraId="4D9A739B" w14:textId="58EE9819"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3951D501" w14:textId="2B759555"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58B9E589" w14:textId="0D8C26F0" w:rsidR="00306C2B" w:rsidRPr="00306C2B" w:rsidRDefault="00306C2B" w:rsidP="00306C2B">
            <w:pPr>
              <w:widowControl w:val="0"/>
              <w:autoSpaceDE w:val="0"/>
              <w:autoSpaceDN w:val="0"/>
              <w:adjustRightInd w:val="0"/>
              <w:jc w:val="center"/>
              <w:rPr>
                <w:sz w:val="18"/>
                <w:szCs w:val="18"/>
              </w:rPr>
            </w:pPr>
            <w:r w:rsidRPr="00306C2B">
              <w:rPr>
                <w:sz w:val="18"/>
                <w:szCs w:val="18"/>
              </w:rPr>
              <w:t>All</w:t>
            </w:r>
          </w:p>
        </w:tc>
        <w:tc>
          <w:tcPr>
            <w:tcW w:w="0" w:type="auto"/>
            <w:tcBorders>
              <w:top w:val="nil"/>
              <w:left w:val="nil"/>
              <w:bottom w:val="nil"/>
              <w:right w:val="nil"/>
            </w:tcBorders>
          </w:tcPr>
          <w:p w14:paraId="30702673" w14:textId="54BE8241" w:rsidR="00306C2B" w:rsidRPr="00306C2B" w:rsidRDefault="00306C2B" w:rsidP="00306C2B">
            <w:pPr>
              <w:widowControl w:val="0"/>
              <w:autoSpaceDE w:val="0"/>
              <w:autoSpaceDN w:val="0"/>
              <w:adjustRightInd w:val="0"/>
              <w:jc w:val="center"/>
              <w:rPr>
                <w:sz w:val="18"/>
                <w:szCs w:val="18"/>
              </w:rPr>
            </w:pPr>
            <w:r w:rsidRPr="00306C2B">
              <w:rPr>
                <w:sz w:val="18"/>
                <w:szCs w:val="18"/>
              </w:rPr>
              <w:t>[-1,+1]</w:t>
            </w:r>
          </w:p>
        </w:tc>
        <w:tc>
          <w:tcPr>
            <w:tcW w:w="0" w:type="auto"/>
            <w:tcBorders>
              <w:top w:val="nil"/>
              <w:left w:val="nil"/>
              <w:bottom w:val="nil"/>
              <w:right w:val="nil"/>
            </w:tcBorders>
          </w:tcPr>
          <w:p w14:paraId="2366FD1E" w14:textId="2B97D2E1" w:rsidR="00306C2B" w:rsidRPr="00306C2B" w:rsidRDefault="00306C2B" w:rsidP="00306C2B">
            <w:pPr>
              <w:widowControl w:val="0"/>
              <w:autoSpaceDE w:val="0"/>
              <w:autoSpaceDN w:val="0"/>
              <w:adjustRightInd w:val="0"/>
              <w:jc w:val="center"/>
              <w:rPr>
                <w:sz w:val="18"/>
                <w:szCs w:val="18"/>
              </w:rPr>
            </w:pPr>
            <w:r w:rsidRPr="00306C2B">
              <w:rPr>
                <w:sz w:val="18"/>
                <w:szCs w:val="18"/>
              </w:rPr>
              <w:t>[-2,+2]</w:t>
            </w:r>
          </w:p>
        </w:tc>
        <w:tc>
          <w:tcPr>
            <w:tcW w:w="0" w:type="auto"/>
            <w:tcBorders>
              <w:top w:val="nil"/>
              <w:left w:val="nil"/>
              <w:bottom w:val="nil"/>
              <w:right w:val="nil"/>
            </w:tcBorders>
          </w:tcPr>
          <w:p w14:paraId="1908A2FB" w14:textId="7A81BE5A" w:rsidR="00306C2B" w:rsidRPr="00306C2B" w:rsidRDefault="00306C2B" w:rsidP="00306C2B">
            <w:pPr>
              <w:widowControl w:val="0"/>
              <w:autoSpaceDE w:val="0"/>
              <w:autoSpaceDN w:val="0"/>
              <w:adjustRightInd w:val="0"/>
              <w:jc w:val="center"/>
              <w:rPr>
                <w:sz w:val="18"/>
                <w:szCs w:val="18"/>
              </w:rPr>
            </w:pPr>
            <w:r w:rsidRPr="00306C2B">
              <w:rPr>
                <w:sz w:val="18"/>
                <w:szCs w:val="18"/>
              </w:rPr>
              <w:t>[0,+21]</w:t>
            </w:r>
          </w:p>
        </w:tc>
        <w:tc>
          <w:tcPr>
            <w:tcW w:w="0" w:type="auto"/>
            <w:tcBorders>
              <w:top w:val="nil"/>
              <w:left w:val="nil"/>
              <w:bottom w:val="nil"/>
              <w:right w:val="nil"/>
            </w:tcBorders>
          </w:tcPr>
          <w:p w14:paraId="67DCAE7F" w14:textId="5E7080DF" w:rsidR="00306C2B" w:rsidRPr="00306C2B" w:rsidRDefault="00306C2B" w:rsidP="00306C2B">
            <w:pPr>
              <w:widowControl w:val="0"/>
              <w:autoSpaceDE w:val="0"/>
              <w:autoSpaceDN w:val="0"/>
              <w:adjustRightInd w:val="0"/>
              <w:jc w:val="center"/>
              <w:rPr>
                <w:sz w:val="18"/>
                <w:szCs w:val="18"/>
              </w:rPr>
            </w:pPr>
            <w:r w:rsidRPr="00306C2B">
              <w:rPr>
                <w:sz w:val="18"/>
                <w:szCs w:val="18"/>
              </w:rPr>
              <w:t>[0,+63]</w:t>
            </w:r>
          </w:p>
        </w:tc>
        <w:tc>
          <w:tcPr>
            <w:tcW w:w="0" w:type="auto"/>
            <w:tcBorders>
              <w:top w:val="nil"/>
              <w:left w:val="nil"/>
              <w:bottom w:val="nil"/>
              <w:right w:val="nil"/>
            </w:tcBorders>
          </w:tcPr>
          <w:p w14:paraId="13655D16" w14:textId="1D0CE6B9" w:rsidR="00306C2B" w:rsidRPr="00306C2B" w:rsidRDefault="00306C2B" w:rsidP="00306C2B">
            <w:pPr>
              <w:widowControl w:val="0"/>
              <w:autoSpaceDE w:val="0"/>
              <w:autoSpaceDN w:val="0"/>
              <w:adjustRightInd w:val="0"/>
              <w:jc w:val="center"/>
              <w:rPr>
                <w:sz w:val="18"/>
                <w:szCs w:val="18"/>
              </w:rPr>
            </w:pPr>
            <w:r w:rsidRPr="00306C2B">
              <w:rPr>
                <w:sz w:val="18"/>
                <w:szCs w:val="18"/>
              </w:rPr>
              <w:t>[0,+126]</w:t>
            </w:r>
          </w:p>
        </w:tc>
        <w:tc>
          <w:tcPr>
            <w:tcW w:w="0" w:type="auto"/>
            <w:tcBorders>
              <w:top w:val="nil"/>
              <w:left w:val="nil"/>
              <w:bottom w:val="nil"/>
              <w:right w:val="nil"/>
            </w:tcBorders>
          </w:tcPr>
          <w:p w14:paraId="32B0C0AD" w14:textId="12FBF66A" w:rsidR="00306C2B" w:rsidRPr="00306C2B" w:rsidRDefault="00306C2B" w:rsidP="00306C2B">
            <w:pPr>
              <w:widowControl w:val="0"/>
              <w:autoSpaceDE w:val="0"/>
              <w:autoSpaceDN w:val="0"/>
              <w:adjustRightInd w:val="0"/>
              <w:jc w:val="center"/>
              <w:rPr>
                <w:sz w:val="18"/>
                <w:szCs w:val="18"/>
              </w:rPr>
            </w:pPr>
            <w:r w:rsidRPr="00306C2B">
              <w:rPr>
                <w:sz w:val="18"/>
                <w:szCs w:val="18"/>
              </w:rPr>
              <w:t>[0,+252]</w:t>
            </w:r>
          </w:p>
        </w:tc>
      </w:tr>
      <w:tr w:rsidR="00306C2B" w:rsidRPr="00306C2B" w14:paraId="7438B115" w14:textId="77777777" w:rsidTr="00306C2B">
        <w:trPr>
          <w:jc w:val="center"/>
        </w:trPr>
        <w:tc>
          <w:tcPr>
            <w:tcW w:w="0" w:type="auto"/>
            <w:tcBorders>
              <w:top w:val="nil"/>
              <w:left w:val="nil"/>
              <w:bottom w:val="nil"/>
              <w:right w:val="nil"/>
            </w:tcBorders>
          </w:tcPr>
          <w:p w14:paraId="438F8677" w14:textId="77777777" w:rsidR="00306C2B" w:rsidRPr="00306C2B" w:rsidRDefault="00306C2B" w:rsidP="00306C2B">
            <w:pPr>
              <w:widowControl w:val="0"/>
              <w:autoSpaceDE w:val="0"/>
              <w:autoSpaceDN w:val="0"/>
              <w:adjustRightInd w:val="0"/>
              <w:rPr>
                <w:sz w:val="18"/>
                <w:szCs w:val="18"/>
              </w:rPr>
            </w:pPr>
            <w:r w:rsidRPr="00306C2B">
              <w:rPr>
                <w:sz w:val="18"/>
                <w:szCs w:val="18"/>
              </w:rPr>
              <w:t>Firm fixed effects</w:t>
            </w:r>
          </w:p>
        </w:tc>
        <w:tc>
          <w:tcPr>
            <w:tcW w:w="0" w:type="auto"/>
            <w:tcBorders>
              <w:top w:val="nil"/>
              <w:left w:val="nil"/>
              <w:bottom w:val="nil"/>
              <w:right w:val="nil"/>
            </w:tcBorders>
          </w:tcPr>
          <w:p w14:paraId="742650DA" w14:textId="5D2D30FC"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7CF8C24A" w14:textId="201EEB14"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31B54E0C" w14:textId="2893F92F"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178E95A1" w14:textId="485C1D4D"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18C77CE2" w14:textId="3913FCD3"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5AD9599D" w14:textId="694B116F"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018D8272" w14:textId="148F6A32"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6E427DE7" w14:textId="252B4735"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07E4EBDA" w14:textId="77777777"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r>
      <w:tr w:rsidR="00306C2B" w:rsidRPr="00306C2B" w14:paraId="5E05B69D" w14:textId="77777777" w:rsidTr="00306C2B">
        <w:trPr>
          <w:jc w:val="center"/>
        </w:trPr>
        <w:tc>
          <w:tcPr>
            <w:tcW w:w="0" w:type="auto"/>
            <w:tcBorders>
              <w:top w:val="nil"/>
              <w:left w:val="nil"/>
              <w:bottom w:val="nil"/>
              <w:right w:val="nil"/>
            </w:tcBorders>
          </w:tcPr>
          <w:p w14:paraId="3DEE56E2" w14:textId="77777777" w:rsidR="00306C2B" w:rsidRPr="00306C2B" w:rsidRDefault="00306C2B" w:rsidP="00306C2B">
            <w:pPr>
              <w:widowControl w:val="0"/>
              <w:autoSpaceDE w:val="0"/>
              <w:autoSpaceDN w:val="0"/>
              <w:adjustRightInd w:val="0"/>
              <w:rPr>
                <w:sz w:val="18"/>
                <w:szCs w:val="18"/>
              </w:rPr>
            </w:pPr>
            <w:r w:rsidRPr="00306C2B">
              <w:rPr>
                <w:sz w:val="18"/>
                <w:szCs w:val="18"/>
              </w:rPr>
              <w:t>Year fixed effects</w:t>
            </w:r>
          </w:p>
        </w:tc>
        <w:tc>
          <w:tcPr>
            <w:tcW w:w="0" w:type="auto"/>
            <w:tcBorders>
              <w:top w:val="nil"/>
              <w:left w:val="nil"/>
              <w:bottom w:val="nil"/>
              <w:right w:val="nil"/>
            </w:tcBorders>
          </w:tcPr>
          <w:p w14:paraId="7B87F770" w14:textId="44D3A8DD"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A2C6DA3" w14:textId="57C53D75"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D49213D" w14:textId="4FCB424F"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5DFDAC36" w14:textId="10DCDB82"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22FF711B" w14:textId="4ED6FE59"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14B86DBC" w14:textId="7FE8AF74"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0F83997B" w14:textId="5CE9CEC3"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0576DA10" w14:textId="08577F52"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3B98551B" w14:textId="77777777" w:rsidR="00306C2B" w:rsidRPr="00306C2B" w:rsidRDefault="00306C2B" w:rsidP="00306C2B">
            <w:pPr>
              <w:widowControl w:val="0"/>
              <w:autoSpaceDE w:val="0"/>
              <w:autoSpaceDN w:val="0"/>
              <w:adjustRightInd w:val="0"/>
              <w:jc w:val="center"/>
              <w:rPr>
                <w:sz w:val="18"/>
                <w:szCs w:val="18"/>
              </w:rPr>
            </w:pPr>
            <w:r w:rsidRPr="00306C2B">
              <w:rPr>
                <w:sz w:val="18"/>
                <w:szCs w:val="18"/>
              </w:rPr>
              <w:t>Yes</w:t>
            </w:r>
          </w:p>
        </w:tc>
      </w:tr>
      <w:tr w:rsidR="00306C2B" w:rsidRPr="00306C2B" w14:paraId="24B28D46" w14:textId="77777777" w:rsidTr="00306C2B">
        <w:trPr>
          <w:jc w:val="center"/>
        </w:trPr>
        <w:tc>
          <w:tcPr>
            <w:tcW w:w="0" w:type="auto"/>
            <w:tcBorders>
              <w:top w:val="nil"/>
              <w:left w:val="nil"/>
              <w:right w:val="nil"/>
            </w:tcBorders>
          </w:tcPr>
          <w:p w14:paraId="1C3B7BA8" w14:textId="77777777" w:rsidR="00306C2B" w:rsidRPr="00306C2B" w:rsidRDefault="00306C2B" w:rsidP="00306C2B">
            <w:pPr>
              <w:widowControl w:val="0"/>
              <w:autoSpaceDE w:val="0"/>
              <w:autoSpaceDN w:val="0"/>
              <w:adjustRightInd w:val="0"/>
              <w:rPr>
                <w:sz w:val="18"/>
                <w:szCs w:val="18"/>
              </w:rPr>
            </w:pPr>
            <w:r w:rsidRPr="00306C2B">
              <w:rPr>
                <w:sz w:val="18"/>
                <w:szCs w:val="18"/>
              </w:rPr>
              <w:t>Observations</w:t>
            </w:r>
          </w:p>
        </w:tc>
        <w:tc>
          <w:tcPr>
            <w:tcW w:w="0" w:type="auto"/>
            <w:tcBorders>
              <w:top w:val="nil"/>
              <w:left w:val="nil"/>
              <w:right w:val="nil"/>
            </w:tcBorders>
          </w:tcPr>
          <w:p w14:paraId="31038E9C" w14:textId="0027243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right w:val="nil"/>
            </w:tcBorders>
          </w:tcPr>
          <w:p w14:paraId="7082C173" w14:textId="74D3E5E3"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right w:val="nil"/>
            </w:tcBorders>
          </w:tcPr>
          <w:p w14:paraId="5F32CFEE" w14:textId="0AB3EF96" w:rsidR="00306C2B" w:rsidRPr="00306C2B" w:rsidRDefault="00306C2B" w:rsidP="00306C2B">
            <w:pPr>
              <w:widowControl w:val="0"/>
              <w:autoSpaceDE w:val="0"/>
              <w:autoSpaceDN w:val="0"/>
              <w:adjustRightInd w:val="0"/>
              <w:jc w:val="center"/>
              <w:rPr>
                <w:sz w:val="18"/>
                <w:szCs w:val="18"/>
              </w:rPr>
            </w:pPr>
            <w:r w:rsidRPr="00306C2B">
              <w:rPr>
                <w:sz w:val="18"/>
                <w:szCs w:val="18"/>
              </w:rPr>
              <w:t>41,918</w:t>
            </w:r>
          </w:p>
        </w:tc>
        <w:tc>
          <w:tcPr>
            <w:tcW w:w="0" w:type="auto"/>
            <w:tcBorders>
              <w:top w:val="nil"/>
              <w:left w:val="nil"/>
              <w:right w:val="nil"/>
            </w:tcBorders>
          </w:tcPr>
          <w:p w14:paraId="75D5F11B" w14:textId="3D4E2B49" w:rsidR="00306C2B" w:rsidRPr="00306C2B" w:rsidRDefault="00306C2B" w:rsidP="00306C2B">
            <w:pPr>
              <w:widowControl w:val="0"/>
              <w:autoSpaceDE w:val="0"/>
              <w:autoSpaceDN w:val="0"/>
              <w:adjustRightInd w:val="0"/>
              <w:jc w:val="center"/>
              <w:rPr>
                <w:sz w:val="18"/>
                <w:szCs w:val="18"/>
              </w:rPr>
            </w:pPr>
            <w:r w:rsidRPr="00306C2B">
              <w:rPr>
                <w:sz w:val="18"/>
                <w:szCs w:val="18"/>
              </w:rPr>
              <w:t>41,850</w:t>
            </w:r>
          </w:p>
        </w:tc>
        <w:tc>
          <w:tcPr>
            <w:tcW w:w="0" w:type="auto"/>
            <w:tcBorders>
              <w:top w:val="nil"/>
              <w:left w:val="nil"/>
              <w:right w:val="nil"/>
            </w:tcBorders>
          </w:tcPr>
          <w:p w14:paraId="4D94F1E8" w14:textId="785C2A8E" w:rsidR="00306C2B" w:rsidRPr="00306C2B" w:rsidRDefault="00306C2B" w:rsidP="00306C2B">
            <w:pPr>
              <w:widowControl w:val="0"/>
              <w:autoSpaceDE w:val="0"/>
              <w:autoSpaceDN w:val="0"/>
              <w:adjustRightInd w:val="0"/>
              <w:jc w:val="center"/>
              <w:rPr>
                <w:sz w:val="18"/>
                <w:szCs w:val="18"/>
              </w:rPr>
            </w:pPr>
            <w:r w:rsidRPr="00306C2B">
              <w:rPr>
                <w:sz w:val="18"/>
                <w:szCs w:val="18"/>
              </w:rPr>
              <w:t>41,612</w:t>
            </w:r>
          </w:p>
        </w:tc>
        <w:tc>
          <w:tcPr>
            <w:tcW w:w="0" w:type="auto"/>
            <w:tcBorders>
              <w:top w:val="nil"/>
              <w:left w:val="nil"/>
              <w:right w:val="nil"/>
            </w:tcBorders>
          </w:tcPr>
          <w:p w14:paraId="49A65E23" w14:textId="7622AC11" w:rsidR="00306C2B" w:rsidRPr="00306C2B" w:rsidRDefault="00306C2B" w:rsidP="00306C2B">
            <w:pPr>
              <w:widowControl w:val="0"/>
              <w:autoSpaceDE w:val="0"/>
              <w:autoSpaceDN w:val="0"/>
              <w:adjustRightInd w:val="0"/>
              <w:jc w:val="center"/>
              <w:rPr>
                <w:sz w:val="18"/>
                <w:szCs w:val="18"/>
              </w:rPr>
            </w:pPr>
            <w:r w:rsidRPr="00306C2B">
              <w:rPr>
                <w:sz w:val="18"/>
                <w:szCs w:val="18"/>
              </w:rPr>
              <w:t>41,798</w:t>
            </w:r>
          </w:p>
        </w:tc>
        <w:tc>
          <w:tcPr>
            <w:tcW w:w="0" w:type="auto"/>
            <w:tcBorders>
              <w:top w:val="nil"/>
              <w:left w:val="nil"/>
              <w:right w:val="nil"/>
            </w:tcBorders>
          </w:tcPr>
          <w:p w14:paraId="1053718B" w14:textId="6C8E3E4D" w:rsidR="00306C2B" w:rsidRPr="00306C2B" w:rsidRDefault="00306C2B" w:rsidP="00306C2B">
            <w:pPr>
              <w:widowControl w:val="0"/>
              <w:autoSpaceDE w:val="0"/>
              <w:autoSpaceDN w:val="0"/>
              <w:adjustRightInd w:val="0"/>
              <w:jc w:val="center"/>
              <w:rPr>
                <w:sz w:val="18"/>
                <w:szCs w:val="18"/>
              </w:rPr>
            </w:pPr>
            <w:r w:rsidRPr="00306C2B">
              <w:rPr>
                <w:sz w:val="18"/>
                <w:szCs w:val="18"/>
              </w:rPr>
              <w:t>41,855</w:t>
            </w:r>
          </w:p>
        </w:tc>
        <w:tc>
          <w:tcPr>
            <w:tcW w:w="0" w:type="auto"/>
            <w:tcBorders>
              <w:top w:val="nil"/>
              <w:left w:val="nil"/>
              <w:right w:val="nil"/>
            </w:tcBorders>
          </w:tcPr>
          <w:p w14:paraId="63443D41" w14:textId="1A3D99E9" w:rsidR="00306C2B" w:rsidRPr="00306C2B" w:rsidRDefault="00306C2B" w:rsidP="00306C2B">
            <w:pPr>
              <w:widowControl w:val="0"/>
              <w:autoSpaceDE w:val="0"/>
              <w:autoSpaceDN w:val="0"/>
              <w:adjustRightInd w:val="0"/>
              <w:jc w:val="center"/>
              <w:rPr>
                <w:sz w:val="18"/>
                <w:szCs w:val="18"/>
              </w:rPr>
            </w:pPr>
            <w:r w:rsidRPr="00306C2B">
              <w:rPr>
                <w:sz w:val="18"/>
                <w:szCs w:val="18"/>
              </w:rPr>
              <w:t>41,835</w:t>
            </w:r>
          </w:p>
        </w:tc>
        <w:tc>
          <w:tcPr>
            <w:tcW w:w="0" w:type="auto"/>
            <w:tcBorders>
              <w:top w:val="nil"/>
              <w:left w:val="nil"/>
              <w:right w:val="nil"/>
            </w:tcBorders>
          </w:tcPr>
          <w:p w14:paraId="4BEED6C8" w14:textId="3EBB0369" w:rsidR="00306C2B" w:rsidRPr="00306C2B" w:rsidRDefault="00306C2B" w:rsidP="00306C2B">
            <w:pPr>
              <w:widowControl w:val="0"/>
              <w:autoSpaceDE w:val="0"/>
              <w:autoSpaceDN w:val="0"/>
              <w:adjustRightInd w:val="0"/>
              <w:jc w:val="center"/>
              <w:rPr>
                <w:sz w:val="18"/>
                <w:szCs w:val="18"/>
              </w:rPr>
            </w:pPr>
            <w:r w:rsidRPr="00306C2B">
              <w:rPr>
                <w:sz w:val="18"/>
                <w:szCs w:val="18"/>
              </w:rPr>
              <w:t>41,845</w:t>
            </w:r>
          </w:p>
        </w:tc>
      </w:tr>
      <w:tr w:rsidR="00306C2B" w:rsidRPr="00306C2B" w14:paraId="76C1AE69" w14:textId="77777777" w:rsidTr="00306C2B">
        <w:tblPrEx>
          <w:tblBorders>
            <w:bottom w:val="single" w:sz="6" w:space="0" w:color="auto"/>
          </w:tblBorders>
        </w:tblPrEx>
        <w:trPr>
          <w:jc w:val="center"/>
        </w:trPr>
        <w:tc>
          <w:tcPr>
            <w:tcW w:w="0" w:type="auto"/>
            <w:tcBorders>
              <w:top w:val="nil"/>
              <w:left w:val="nil"/>
              <w:bottom w:val="single" w:sz="4" w:space="0" w:color="auto"/>
              <w:right w:val="nil"/>
            </w:tcBorders>
          </w:tcPr>
          <w:p w14:paraId="70E28F5E" w14:textId="77777777" w:rsidR="00306C2B" w:rsidRPr="00306C2B" w:rsidRDefault="00306C2B" w:rsidP="00306C2B">
            <w:pPr>
              <w:widowControl w:val="0"/>
              <w:autoSpaceDE w:val="0"/>
              <w:autoSpaceDN w:val="0"/>
              <w:adjustRightInd w:val="0"/>
              <w:rPr>
                <w:sz w:val="18"/>
                <w:szCs w:val="18"/>
              </w:rPr>
            </w:pPr>
            <w:r w:rsidRPr="00306C2B">
              <w:rPr>
                <w:sz w:val="18"/>
                <w:szCs w:val="18"/>
              </w:rPr>
              <w:t>Adjusted R-squared</w:t>
            </w:r>
          </w:p>
        </w:tc>
        <w:tc>
          <w:tcPr>
            <w:tcW w:w="0" w:type="auto"/>
            <w:tcBorders>
              <w:top w:val="nil"/>
              <w:left w:val="nil"/>
              <w:bottom w:val="single" w:sz="4" w:space="0" w:color="auto"/>
              <w:right w:val="nil"/>
            </w:tcBorders>
          </w:tcPr>
          <w:p w14:paraId="3EA2FA4A" w14:textId="14E7C2DE"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single" w:sz="4" w:space="0" w:color="auto"/>
              <w:right w:val="nil"/>
            </w:tcBorders>
          </w:tcPr>
          <w:p w14:paraId="0D68CD84" w14:textId="6AC14E5A"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single" w:sz="4" w:space="0" w:color="auto"/>
              <w:right w:val="nil"/>
            </w:tcBorders>
          </w:tcPr>
          <w:p w14:paraId="65D92AAC" w14:textId="06EB3655" w:rsidR="00306C2B" w:rsidRPr="00306C2B" w:rsidRDefault="00306C2B" w:rsidP="00306C2B">
            <w:pPr>
              <w:widowControl w:val="0"/>
              <w:autoSpaceDE w:val="0"/>
              <w:autoSpaceDN w:val="0"/>
              <w:adjustRightInd w:val="0"/>
              <w:jc w:val="center"/>
              <w:rPr>
                <w:sz w:val="18"/>
                <w:szCs w:val="18"/>
              </w:rPr>
            </w:pPr>
            <w:r w:rsidRPr="00306C2B">
              <w:rPr>
                <w:sz w:val="18"/>
                <w:szCs w:val="18"/>
              </w:rPr>
              <w:t>0.2101</w:t>
            </w:r>
          </w:p>
        </w:tc>
        <w:tc>
          <w:tcPr>
            <w:tcW w:w="0" w:type="auto"/>
            <w:tcBorders>
              <w:top w:val="nil"/>
              <w:left w:val="nil"/>
              <w:bottom w:val="single" w:sz="4" w:space="0" w:color="auto"/>
              <w:right w:val="nil"/>
            </w:tcBorders>
          </w:tcPr>
          <w:p w14:paraId="3ABACA35" w14:textId="16F70817" w:rsidR="00306C2B" w:rsidRPr="00306C2B" w:rsidRDefault="00306C2B" w:rsidP="00306C2B">
            <w:pPr>
              <w:widowControl w:val="0"/>
              <w:autoSpaceDE w:val="0"/>
              <w:autoSpaceDN w:val="0"/>
              <w:adjustRightInd w:val="0"/>
              <w:jc w:val="center"/>
              <w:rPr>
                <w:sz w:val="18"/>
                <w:szCs w:val="18"/>
              </w:rPr>
            </w:pPr>
            <w:r w:rsidRPr="00306C2B">
              <w:rPr>
                <w:sz w:val="18"/>
                <w:szCs w:val="18"/>
              </w:rPr>
              <w:t>0.2101</w:t>
            </w:r>
          </w:p>
        </w:tc>
        <w:tc>
          <w:tcPr>
            <w:tcW w:w="0" w:type="auto"/>
            <w:tcBorders>
              <w:top w:val="nil"/>
              <w:left w:val="nil"/>
              <w:bottom w:val="single" w:sz="4" w:space="0" w:color="auto"/>
              <w:right w:val="nil"/>
            </w:tcBorders>
          </w:tcPr>
          <w:p w14:paraId="3A71044A" w14:textId="388A7D5A" w:rsidR="00306C2B" w:rsidRPr="00306C2B" w:rsidRDefault="00306C2B" w:rsidP="00306C2B">
            <w:pPr>
              <w:widowControl w:val="0"/>
              <w:autoSpaceDE w:val="0"/>
              <w:autoSpaceDN w:val="0"/>
              <w:adjustRightInd w:val="0"/>
              <w:jc w:val="center"/>
              <w:rPr>
                <w:sz w:val="18"/>
                <w:szCs w:val="18"/>
              </w:rPr>
            </w:pPr>
            <w:r w:rsidRPr="00306C2B">
              <w:rPr>
                <w:sz w:val="18"/>
                <w:szCs w:val="18"/>
              </w:rPr>
              <w:t>0.2134</w:t>
            </w:r>
          </w:p>
        </w:tc>
        <w:tc>
          <w:tcPr>
            <w:tcW w:w="0" w:type="auto"/>
            <w:tcBorders>
              <w:top w:val="nil"/>
              <w:left w:val="nil"/>
              <w:bottom w:val="single" w:sz="4" w:space="0" w:color="auto"/>
              <w:right w:val="nil"/>
            </w:tcBorders>
          </w:tcPr>
          <w:p w14:paraId="69BDB116" w14:textId="3F70BF7D" w:rsidR="00306C2B" w:rsidRPr="00306C2B" w:rsidRDefault="00306C2B" w:rsidP="00306C2B">
            <w:pPr>
              <w:widowControl w:val="0"/>
              <w:autoSpaceDE w:val="0"/>
              <w:autoSpaceDN w:val="0"/>
              <w:adjustRightInd w:val="0"/>
              <w:jc w:val="center"/>
              <w:rPr>
                <w:sz w:val="18"/>
                <w:szCs w:val="18"/>
              </w:rPr>
            </w:pPr>
            <w:r w:rsidRPr="00306C2B">
              <w:rPr>
                <w:sz w:val="18"/>
                <w:szCs w:val="18"/>
              </w:rPr>
              <w:t>0.2099</w:t>
            </w:r>
          </w:p>
        </w:tc>
        <w:tc>
          <w:tcPr>
            <w:tcW w:w="0" w:type="auto"/>
            <w:tcBorders>
              <w:top w:val="nil"/>
              <w:left w:val="nil"/>
              <w:bottom w:val="single" w:sz="4" w:space="0" w:color="auto"/>
              <w:right w:val="nil"/>
            </w:tcBorders>
          </w:tcPr>
          <w:p w14:paraId="29F3964C" w14:textId="33C91A54" w:rsidR="00306C2B" w:rsidRPr="00306C2B" w:rsidRDefault="00306C2B" w:rsidP="00306C2B">
            <w:pPr>
              <w:widowControl w:val="0"/>
              <w:autoSpaceDE w:val="0"/>
              <w:autoSpaceDN w:val="0"/>
              <w:adjustRightInd w:val="0"/>
              <w:jc w:val="center"/>
              <w:rPr>
                <w:sz w:val="18"/>
                <w:szCs w:val="18"/>
              </w:rPr>
            </w:pPr>
            <w:r w:rsidRPr="00306C2B">
              <w:rPr>
                <w:sz w:val="18"/>
                <w:szCs w:val="18"/>
              </w:rPr>
              <w:t>0.2100</w:t>
            </w:r>
          </w:p>
        </w:tc>
        <w:tc>
          <w:tcPr>
            <w:tcW w:w="0" w:type="auto"/>
            <w:tcBorders>
              <w:top w:val="nil"/>
              <w:left w:val="nil"/>
              <w:bottom w:val="single" w:sz="4" w:space="0" w:color="auto"/>
              <w:right w:val="nil"/>
            </w:tcBorders>
          </w:tcPr>
          <w:p w14:paraId="08A0F242" w14:textId="3E3E0F31" w:rsidR="00306C2B" w:rsidRPr="00306C2B" w:rsidRDefault="00306C2B" w:rsidP="00306C2B">
            <w:pPr>
              <w:widowControl w:val="0"/>
              <w:autoSpaceDE w:val="0"/>
              <w:autoSpaceDN w:val="0"/>
              <w:adjustRightInd w:val="0"/>
              <w:jc w:val="center"/>
              <w:rPr>
                <w:sz w:val="18"/>
                <w:szCs w:val="18"/>
              </w:rPr>
            </w:pPr>
            <w:r w:rsidRPr="00306C2B">
              <w:rPr>
                <w:sz w:val="18"/>
                <w:szCs w:val="18"/>
              </w:rPr>
              <w:t>0.2099</w:t>
            </w:r>
          </w:p>
        </w:tc>
        <w:tc>
          <w:tcPr>
            <w:tcW w:w="0" w:type="auto"/>
            <w:tcBorders>
              <w:top w:val="nil"/>
              <w:left w:val="nil"/>
              <w:bottom w:val="single" w:sz="4" w:space="0" w:color="auto"/>
              <w:right w:val="nil"/>
            </w:tcBorders>
          </w:tcPr>
          <w:p w14:paraId="217A9563" w14:textId="51461C7B" w:rsidR="00306C2B" w:rsidRPr="00306C2B" w:rsidRDefault="00306C2B" w:rsidP="00306C2B">
            <w:pPr>
              <w:widowControl w:val="0"/>
              <w:autoSpaceDE w:val="0"/>
              <w:autoSpaceDN w:val="0"/>
              <w:adjustRightInd w:val="0"/>
              <w:jc w:val="center"/>
              <w:rPr>
                <w:sz w:val="18"/>
                <w:szCs w:val="18"/>
              </w:rPr>
            </w:pPr>
            <w:r w:rsidRPr="00306C2B">
              <w:rPr>
                <w:sz w:val="18"/>
                <w:szCs w:val="18"/>
              </w:rPr>
              <w:t>0.2099</w:t>
            </w:r>
          </w:p>
        </w:tc>
      </w:tr>
      <w:tr w:rsidR="00306C2B" w:rsidRPr="00306C2B" w14:paraId="3D2C2CDB" w14:textId="77777777" w:rsidTr="00306C2B">
        <w:tblPrEx>
          <w:tblBorders>
            <w:bottom w:val="single" w:sz="6" w:space="0" w:color="auto"/>
          </w:tblBorders>
        </w:tblPrEx>
        <w:trPr>
          <w:jc w:val="center"/>
        </w:trPr>
        <w:tc>
          <w:tcPr>
            <w:tcW w:w="0" w:type="auto"/>
            <w:tcBorders>
              <w:top w:val="single" w:sz="4" w:space="0" w:color="auto"/>
              <w:left w:val="nil"/>
              <w:bottom w:val="nil"/>
              <w:right w:val="nil"/>
            </w:tcBorders>
          </w:tcPr>
          <w:p w14:paraId="7F4CDBDD" w14:textId="77777777" w:rsidR="00306C2B" w:rsidRPr="00306C2B" w:rsidRDefault="00306C2B" w:rsidP="00306C2B">
            <w:pPr>
              <w:widowControl w:val="0"/>
              <w:autoSpaceDE w:val="0"/>
              <w:autoSpaceDN w:val="0"/>
              <w:adjustRightInd w:val="0"/>
              <w:rPr>
                <w:sz w:val="18"/>
                <w:szCs w:val="18"/>
              </w:rPr>
            </w:pPr>
          </w:p>
        </w:tc>
        <w:tc>
          <w:tcPr>
            <w:tcW w:w="0" w:type="auto"/>
            <w:tcBorders>
              <w:top w:val="single" w:sz="4" w:space="0" w:color="auto"/>
              <w:left w:val="nil"/>
              <w:bottom w:val="nil"/>
              <w:right w:val="nil"/>
            </w:tcBorders>
          </w:tcPr>
          <w:p w14:paraId="429BB8E0"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6B10527F"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58117D0B"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3DC7CEB7"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4EA984B3"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78C2E8EA"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38A062FD" w14:textId="2D3F844A"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6C39CC44" w14:textId="00D9A520" w:rsidR="00306C2B" w:rsidRPr="00306C2B" w:rsidRDefault="00306C2B" w:rsidP="00306C2B">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005E4FE8" w14:textId="77777777" w:rsidR="00306C2B" w:rsidRPr="00306C2B" w:rsidRDefault="00306C2B" w:rsidP="00306C2B">
            <w:pPr>
              <w:widowControl w:val="0"/>
              <w:autoSpaceDE w:val="0"/>
              <w:autoSpaceDN w:val="0"/>
              <w:adjustRightInd w:val="0"/>
              <w:jc w:val="center"/>
              <w:rPr>
                <w:sz w:val="18"/>
                <w:szCs w:val="18"/>
              </w:rPr>
            </w:pPr>
          </w:p>
        </w:tc>
      </w:tr>
      <w:tr w:rsidR="00306C2B" w:rsidRPr="00306C2B" w14:paraId="3984FC85" w14:textId="77777777" w:rsidTr="00830C24">
        <w:tblPrEx>
          <w:tblBorders>
            <w:bottom w:val="single" w:sz="6" w:space="0" w:color="auto"/>
          </w:tblBorders>
        </w:tblPrEx>
        <w:trPr>
          <w:jc w:val="center"/>
        </w:trPr>
        <w:tc>
          <w:tcPr>
            <w:tcW w:w="0" w:type="auto"/>
            <w:gridSpan w:val="10"/>
            <w:tcBorders>
              <w:top w:val="nil"/>
              <w:left w:val="nil"/>
              <w:bottom w:val="nil"/>
              <w:right w:val="nil"/>
            </w:tcBorders>
          </w:tcPr>
          <w:p w14:paraId="62C1A287" w14:textId="5A49F2B1" w:rsidR="00306C2B" w:rsidRPr="00306C2B" w:rsidRDefault="00306C2B" w:rsidP="00306C2B">
            <w:pPr>
              <w:widowControl w:val="0"/>
              <w:autoSpaceDE w:val="0"/>
              <w:autoSpaceDN w:val="0"/>
              <w:adjustRightInd w:val="0"/>
              <w:jc w:val="both"/>
              <w:rPr>
                <w:sz w:val="18"/>
                <w:szCs w:val="18"/>
              </w:rPr>
            </w:pPr>
            <w:r w:rsidRPr="00306C2B">
              <w:rPr>
                <w:bCs/>
                <w:sz w:val="18"/>
                <w:szCs w:val="18"/>
              </w:rPr>
              <w:t>This table presents</w:t>
            </w:r>
            <w:r w:rsidRPr="00306C2B">
              <w:rPr>
                <w:sz w:val="18"/>
                <w:szCs w:val="18"/>
              </w:rPr>
              <w:t xml:space="preserve"> the results of the difference-and-differences analysis comparing investments of the treatment group to investments of the control group. The treatment group is restricted to only industries with negative market reaction</w:t>
            </w:r>
            <w:r>
              <w:rPr>
                <w:sz w:val="18"/>
                <w:szCs w:val="18"/>
              </w:rPr>
              <w:t>s</w:t>
            </w:r>
            <w:r w:rsidRPr="00306C2B">
              <w:rPr>
                <w:sz w:val="18"/>
                <w:szCs w:val="18"/>
              </w:rPr>
              <w:t xml:space="preserve"> after CFIUS interventions</w:t>
            </w:r>
            <w:r>
              <w:rPr>
                <w:sz w:val="18"/>
                <w:szCs w:val="18"/>
              </w:rPr>
              <w:t xml:space="preserve"> </w:t>
            </w:r>
            <w:r w:rsidRPr="00306C2B">
              <w:rPr>
                <w:sz w:val="18"/>
                <w:szCs w:val="18"/>
              </w:rPr>
              <w:t>using the Fama-French three factor</w:t>
            </w:r>
            <w:r>
              <w:rPr>
                <w:sz w:val="18"/>
                <w:szCs w:val="18"/>
              </w:rPr>
              <w:t xml:space="preserve"> model</w:t>
            </w:r>
            <w:r w:rsidRPr="00306C2B">
              <w:rPr>
                <w:sz w:val="18"/>
                <w:szCs w:val="18"/>
              </w:rPr>
              <w:t>.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r w:rsidR="00306C2B" w:rsidRPr="00306C2B" w14:paraId="0010986E" w14:textId="77777777" w:rsidTr="00306C2B">
        <w:tblPrEx>
          <w:tblBorders>
            <w:bottom w:val="single" w:sz="6" w:space="0" w:color="auto"/>
          </w:tblBorders>
        </w:tblPrEx>
        <w:trPr>
          <w:jc w:val="center"/>
        </w:trPr>
        <w:tc>
          <w:tcPr>
            <w:tcW w:w="0" w:type="auto"/>
            <w:tcBorders>
              <w:top w:val="nil"/>
              <w:left w:val="nil"/>
              <w:bottom w:val="nil"/>
              <w:right w:val="nil"/>
            </w:tcBorders>
          </w:tcPr>
          <w:p w14:paraId="3DD84E3D" w14:textId="77777777" w:rsidR="00306C2B" w:rsidRPr="00306C2B" w:rsidRDefault="00306C2B" w:rsidP="00306C2B">
            <w:pPr>
              <w:widowControl w:val="0"/>
              <w:autoSpaceDE w:val="0"/>
              <w:autoSpaceDN w:val="0"/>
              <w:adjustRightInd w:val="0"/>
              <w:rPr>
                <w:sz w:val="18"/>
                <w:szCs w:val="18"/>
              </w:rPr>
            </w:pPr>
          </w:p>
        </w:tc>
        <w:tc>
          <w:tcPr>
            <w:tcW w:w="0" w:type="auto"/>
            <w:tcBorders>
              <w:top w:val="nil"/>
              <w:left w:val="nil"/>
              <w:bottom w:val="nil"/>
              <w:right w:val="nil"/>
            </w:tcBorders>
          </w:tcPr>
          <w:p w14:paraId="2E3E3E6C"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24ED7AEB"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6EACA393"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B9DC692"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005B4D7D"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3CD36954" w14:textId="77777777"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48CF397F" w14:textId="5DDE864F"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4591605D" w14:textId="26DEB4EA" w:rsidR="00306C2B" w:rsidRPr="00306C2B" w:rsidRDefault="00306C2B" w:rsidP="00306C2B">
            <w:pPr>
              <w:widowControl w:val="0"/>
              <w:autoSpaceDE w:val="0"/>
              <w:autoSpaceDN w:val="0"/>
              <w:adjustRightInd w:val="0"/>
              <w:jc w:val="center"/>
              <w:rPr>
                <w:sz w:val="18"/>
                <w:szCs w:val="18"/>
              </w:rPr>
            </w:pPr>
          </w:p>
        </w:tc>
        <w:tc>
          <w:tcPr>
            <w:tcW w:w="0" w:type="auto"/>
            <w:tcBorders>
              <w:top w:val="nil"/>
              <w:left w:val="nil"/>
              <w:bottom w:val="nil"/>
              <w:right w:val="nil"/>
            </w:tcBorders>
          </w:tcPr>
          <w:p w14:paraId="752AA533" w14:textId="77777777" w:rsidR="00306C2B" w:rsidRPr="00306C2B" w:rsidRDefault="00306C2B" w:rsidP="00306C2B">
            <w:pPr>
              <w:widowControl w:val="0"/>
              <w:autoSpaceDE w:val="0"/>
              <w:autoSpaceDN w:val="0"/>
              <w:adjustRightInd w:val="0"/>
              <w:jc w:val="center"/>
              <w:rPr>
                <w:sz w:val="18"/>
                <w:szCs w:val="18"/>
              </w:rPr>
            </w:pPr>
          </w:p>
        </w:tc>
      </w:tr>
    </w:tbl>
    <w:p w14:paraId="74911BD1" w14:textId="77777777" w:rsidR="00D859D7" w:rsidRDefault="00D859D7">
      <w:pPr>
        <w:spacing w:after="160" w:line="259" w:lineRule="auto"/>
        <w:rPr>
          <w:sz w:val="22"/>
          <w:szCs w:val="22"/>
        </w:rPr>
      </w:pPr>
    </w:p>
    <w:p w14:paraId="397827BA" w14:textId="7DA23DDA" w:rsidR="00A50F60" w:rsidRDefault="00A50F60">
      <w:pPr>
        <w:spacing w:after="160" w:line="259" w:lineRule="auto"/>
        <w:rPr>
          <w:sz w:val="22"/>
          <w:szCs w:val="22"/>
        </w:rPr>
      </w:pPr>
      <w:r>
        <w:rPr>
          <w:sz w:val="22"/>
          <w:szCs w:val="22"/>
        </w:rPr>
        <w:br w:type="page"/>
      </w:r>
    </w:p>
    <w:p w14:paraId="542BD4FF" w14:textId="0FDD21CB" w:rsidR="00306C2B" w:rsidRDefault="00306C2B">
      <w:pPr>
        <w:spacing w:after="160" w:line="259" w:lineRule="auto"/>
        <w:rPr>
          <w:sz w:val="22"/>
          <w:szCs w:val="22"/>
        </w:rPr>
      </w:pPr>
    </w:p>
    <w:tbl>
      <w:tblPr>
        <w:tblW w:w="0" w:type="auto"/>
        <w:jc w:val="center"/>
        <w:tblCellMar>
          <w:left w:w="75" w:type="dxa"/>
          <w:right w:w="75" w:type="dxa"/>
        </w:tblCellMar>
        <w:tblLook w:val="0000" w:firstRow="0" w:lastRow="0" w:firstColumn="0" w:lastColumn="0" w:noHBand="0" w:noVBand="0"/>
      </w:tblPr>
      <w:tblGrid>
        <w:gridCol w:w="1491"/>
        <w:gridCol w:w="190"/>
        <w:gridCol w:w="190"/>
        <w:gridCol w:w="1028"/>
        <w:gridCol w:w="1028"/>
        <w:gridCol w:w="1028"/>
        <w:gridCol w:w="1028"/>
        <w:gridCol w:w="1028"/>
        <w:gridCol w:w="1028"/>
        <w:gridCol w:w="1028"/>
      </w:tblGrid>
      <w:tr w:rsidR="00306C2B" w:rsidRPr="00306C2B" w14:paraId="32E76AE8" w14:textId="77777777" w:rsidTr="00830C24">
        <w:trPr>
          <w:jc w:val="center"/>
        </w:trPr>
        <w:tc>
          <w:tcPr>
            <w:tcW w:w="0" w:type="auto"/>
            <w:gridSpan w:val="10"/>
            <w:tcBorders>
              <w:left w:val="nil"/>
              <w:right w:val="nil"/>
            </w:tcBorders>
          </w:tcPr>
          <w:p w14:paraId="4588F9E4" w14:textId="77777777" w:rsidR="00306C2B" w:rsidRPr="00306C2B" w:rsidRDefault="00306C2B" w:rsidP="00830C24">
            <w:pPr>
              <w:widowControl w:val="0"/>
              <w:autoSpaceDE w:val="0"/>
              <w:autoSpaceDN w:val="0"/>
              <w:adjustRightInd w:val="0"/>
              <w:rPr>
                <w:sz w:val="18"/>
                <w:szCs w:val="18"/>
              </w:rPr>
            </w:pPr>
            <w:r w:rsidRPr="00306C2B">
              <w:rPr>
                <w:b/>
                <w:sz w:val="18"/>
                <w:szCs w:val="18"/>
              </w:rPr>
              <w:t>Table ADDITIONAL</w:t>
            </w:r>
          </w:p>
        </w:tc>
      </w:tr>
      <w:tr w:rsidR="00306C2B" w:rsidRPr="00306C2B" w14:paraId="73CBD6AC" w14:textId="77777777" w:rsidTr="00830C24">
        <w:trPr>
          <w:jc w:val="center"/>
        </w:trPr>
        <w:tc>
          <w:tcPr>
            <w:tcW w:w="0" w:type="auto"/>
            <w:gridSpan w:val="10"/>
            <w:tcBorders>
              <w:left w:val="nil"/>
              <w:right w:val="nil"/>
            </w:tcBorders>
          </w:tcPr>
          <w:p w14:paraId="72FD2044" w14:textId="77777777" w:rsidR="00306C2B" w:rsidRPr="00306C2B" w:rsidRDefault="00306C2B" w:rsidP="00830C24">
            <w:pPr>
              <w:widowControl w:val="0"/>
              <w:autoSpaceDE w:val="0"/>
              <w:autoSpaceDN w:val="0"/>
              <w:adjustRightInd w:val="0"/>
              <w:rPr>
                <w:sz w:val="18"/>
                <w:szCs w:val="18"/>
              </w:rPr>
            </w:pPr>
            <w:r w:rsidRPr="00306C2B">
              <w:rPr>
                <w:b/>
                <w:sz w:val="18"/>
                <w:szCs w:val="18"/>
              </w:rPr>
              <w:t xml:space="preserve">CFIUS </w:t>
            </w:r>
            <w:r w:rsidRPr="00306C2B">
              <w:rPr>
                <w:b/>
                <w:bCs/>
                <w:sz w:val="18"/>
                <w:szCs w:val="18"/>
              </w:rPr>
              <w:t xml:space="preserve">interventions </w:t>
            </w:r>
            <w:r w:rsidRPr="00306C2B">
              <w:rPr>
                <w:b/>
                <w:sz w:val="18"/>
                <w:szCs w:val="18"/>
              </w:rPr>
              <w:t>and corporate investment</w:t>
            </w:r>
          </w:p>
        </w:tc>
      </w:tr>
      <w:tr w:rsidR="00306C2B" w:rsidRPr="00306C2B" w14:paraId="4A5CB4B0" w14:textId="77777777" w:rsidTr="00830C24">
        <w:trPr>
          <w:jc w:val="center"/>
        </w:trPr>
        <w:tc>
          <w:tcPr>
            <w:tcW w:w="0" w:type="auto"/>
            <w:gridSpan w:val="10"/>
            <w:tcBorders>
              <w:left w:val="nil"/>
              <w:right w:val="nil"/>
            </w:tcBorders>
          </w:tcPr>
          <w:p w14:paraId="6DF77BFE" w14:textId="77777777" w:rsidR="00306C2B" w:rsidRPr="00306C2B" w:rsidRDefault="00306C2B" w:rsidP="00830C24">
            <w:pPr>
              <w:widowControl w:val="0"/>
              <w:autoSpaceDE w:val="0"/>
              <w:autoSpaceDN w:val="0"/>
              <w:adjustRightInd w:val="0"/>
              <w:rPr>
                <w:sz w:val="18"/>
                <w:szCs w:val="18"/>
              </w:rPr>
            </w:pPr>
          </w:p>
        </w:tc>
      </w:tr>
      <w:tr w:rsidR="00306C2B" w:rsidRPr="00306C2B" w14:paraId="5C7B95AD" w14:textId="77777777" w:rsidTr="00830C24">
        <w:trPr>
          <w:jc w:val="center"/>
        </w:trPr>
        <w:tc>
          <w:tcPr>
            <w:tcW w:w="0" w:type="auto"/>
            <w:tcBorders>
              <w:top w:val="single" w:sz="4" w:space="0" w:color="auto"/>
              <w:left w:val="nil"/>
              <w:right w:val="nil"/>
            </w:tcBorders>
          </w:tcPr>
          <w:p w14:paraId="618C8FB0" w14:textId="77777777" w:rsidR="00306C2B" w:rsidRPr="00306C2B" w:rsidRDefault="00306C2B" w:rsidP="00830C24">
            <w:pPr>
              <w:widowControl w:val="0"/>
              <w:autoSpaceDE w:val="0"/>
              <w:autoSpaceDN w:val="0"/>
              <w:adjustRightInd w:val="0"/>
              <w:rPr>
                <w:sz w:val="18"/>
                <w:szCs w:val="18"/>
              </w:rPr>
            </w:pPr>
          </w:p>
        </w:tc>
        <w:tc>
          <w:tcPr>
            <w:tcW w:w="0" w:type="auto"/>
            <w:gridSpan w:val="9"/>
            <w:tcBorders>
              <w:top w:val="single" w:sz="4" w:space="0" w:color="auto"/>
              <w:left w:val="nil"/>
              <w:right w:val="nil"/>
            </w:tcBorders>
          </w:tcPr>
          <w:p w14:paraId="68714547"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Capex</w:t>
            </w:r>
          </w:p>
        </w:tc>
      </w:tr>
      <w:tr w:rsidR="00306C2B" w:rsidRPr="00306C2B" w14:paraId="28A012BD" w14:textId="77777777" w:rsidTr="00830C24">
        <w:trPr>
          <w:jc w:val="center"/>
        </w:trPr>
        <w:tc>
          <w:tcPr>
            <w:tcW w:w="0" w:type="auto"/>
            <w:tcBorders>
              <w:left w:val="nil"/>
              <w:bottom w:val="single" w:sz="6" w:space="0" w:color="auto"/>
              <w:right w:val="nil"/>
            </w:tcBorders>
          </w:tcPr>
          <w:p w14:paraId="0C29E25F" w14:textId="77777777" w:rsidR="00306C2B" w:rsidRPr="00306C2B" w:rsidRDefault="00306C2B" w:rsidP="00830C24">
            <w:pPr>
              <w:widowControl w:val="0"/>
              <w:autoSpaceDE w:val="0"/>
              <w:autoSpaceDN w:val="0"/>
              <w:adjustRightInd w:val="0"/>
              <w:rPr>
                <w:sz w:val="18"/>
                <w:szCs w:val="18"/>
              </w:rPr>
            </w:pPr>
            <w:r w:rsidRPr="00306C2B">
              <w:rPr>
                <w:sz w:val="18"/>
                <w:szCs w:val="18"/>
              </w:rPr>
              <w:t>Variable:</w:t>
            </w:r>
          </w:p>
        </w:tc>
        <w:tc>
          <w:tcPr>
            <w:tcW w:w="0" w:type="auto"/>
            <w:tcBorders>
              <w:left w:val="nil"/>
              <w:bottom w:val="single" w:sz="6" w:space="0" w:color="auto"/>
              <w:right w:val="nil"/>
            </w:tcBorders>
          </w:tcPr>
          <w:p w14:paraId="3DDE05CB" w14:textId="77777777" w:rsidR="00306C2B" w:rsidRPr="00306C2B" w:rsidRDefault="00306C2B" w:rsidP="00830C24">
            <w:pPr>
              <w:widowControl w:val="0"/>
              <w:autoSpaceDE w:val="0"/>
              <w:autoSpaceDN w:val="0"/>
              <w:adjustRightInd w:val="0"/>
              <w:jc w:val="center"/>
              <w:rPr>
                <w:sz w:val="18"/>
                <w:szCs w:val="18"/>
              </w:rPr>
            </w:pPr>
          </w:p>
        </w:tc>
        <w:tc>
          <w:tcPr>
            <w:tcW w:w="0" w:type="auto"/>
            <w:tcBorders>
              <w:left w:val="nil"/>
              <w:bottom w:val="single" w:sz="6" w:space="0" w:color="auto"/>
              <w:right w:val="nil"/>
            </w:tcBorders>
          </w:tcPr>
          <w:p w14:paraId="099107D4" w14:textId="77777777" w:rsidR="00306C2B" w:rsidRPr="00306C2B" w:rsidRDefault="00306C2B" w:rsidP="00830C24">
            <w:pPr>
              <w:widowControl w:val="0"/>
              <w:autoSpaceDE w:val="0"/>
              <w:autoSpaceDN w:val="0"/>
              <w:adjustRightInd w:val="0"/>
              <w:jc w:val="center"/>
              <w:rPr>
                <w:sz w:val="18"/>
                <w:szCs w:val="18"/>
              </w:rPr>
            </w:pPr>
          </w:p>
        </w:tc>
        <w:tc>
          <w:tcPr>
            <w:tcW w:w="0" w:type="auto"/>
            <w:tcBorders>
              <w:left w:val="nil"/>
              <w:bottom w:val="single" w:sz="6" w:space="0" w:color="auto"/>
              <w:right w:val="nil"/>
            </w:tcBorders>
          </w:tcPr>
          <w:p w14:paraId="1BE603A5"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(1)</w:t>
            </w:r>
          </w:p>
        </w:tc>
        <w:tc>
          <w:tcPr>
            <w:tcW w:w="0" w:type="auto"/>
            <w:tcBorders>
              <w:left w:val="nil"/>
              <w:bottom w:val="single" w:sz="6" w:space="0" w:color="auto"/>
              <w:right w:val="nil"/>
            </w:tcBorders>
          </w:tcPr>
          <w:p w14:paraId="62268A2F"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(2)</w:t>
            </w:r>
          </w:p>
        </w:tc>
        <w:tc>
          <w:tcPr>
            <w:tcW w:w="0" w:type="auto"/>
            <w:tcBorders>
              <w:left w:val="nil"/>
              <w:bottom w:val="single" w:sz="6" w:space="0" w:color="auto"/>
              <w:right w:val="nil"/>
            </w:tcBorders>
          </w:tcPr>
          <w:p w14:paraId="7B902495"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(3)</w:t>
            </w:r>
          </w:p>
        </w:tc>
        <w:tc>
          <w:tcPr>
            <w:tcW w:w="0" w:type="auto"/>
            <w:tcBorders>
              <w:left w:val="nil"/>
              <w:bottom w:val="single" w:sz="6" w:space="0" w:color="auto"/>
              <w:right w:val="nil"/>
            </w:tcBorders>
          </w:tcPr>
          <w:p w14:paraId="63D85D77"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(4)</w:t>
            </w:r>
          </w:p>
        </w:tc>
        <w:tc>
          <w:tcPr>
            <w:tcW w:w="0" w:type="auto"/>
            <w:tcBorders>
              <w:left w:val="nil"/>
              <w:bottom w:val="single" w:sz="6" w:space="0" w:color="auto"/>
              <w:right w:val="nil"/>
            </w:tcBorders>
          </w:tcPr>
          <w:p w14:paraId="7E868973"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(5)</w:t>
            </w:r>
          </w:p>
        </w:tc>
        <w:tc>
          <w:tcPr>
            <w:tcW w:w="0" w:type="auto"/>
            <w:tcBorders>
              <w:left w:val="nil"/>
              <w:bottom w:val="single" w:sz="6" w:space="0" w:color="auto"/>
              <w:right w:val="nil"/>
            </w:tcBorders>
          </w:tcPr>
          <w:p w14:paraId="0A53FE36"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(6)</w:t>
            </w:r>
          </w:p>
        </w:tc>
        <w:tc>
          <w:tcPr>
            <w:tcW w:w="0" w:type="auto"/>
            <w:tcBorders>
              <w:left w:val="nil"/>
              <w:bottom w:val="single" w:sz="6" w:space="0" w:color="auto"/>
              <w:right w:val="nil"/>
            </w:tcBorders>
          </w:tcPr>
          <w:p w14:paraId="534C13CA"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(7)</w:t>
            </w:r>
          </w:p>
        </w:tc>
      </w:tr>
      <w:tr w:rsidR="00306C2B" w:rsidRPr="00306C2B" w14:paraId="5CDD1071" w14:textId="77777777" w:rsidTr="00830C24">
        <w:trPr>
          <w:jc w:val="center"/>
        </w:trPr>
        <w:tc>
          <w:tcPr>
            <w:tcW w:w="0" w:type="auto"/>
            <w:tcBorders>
              <w:top w:val="nil"/>
              <w:left w:val="nil"/>
              <w:bottom w:val="nil"/>
              <w:right w:val="nil"/>
            </w:tcBorders>
          </w:tcPr>
          <w:p w14:paraId="1FFB94C9" w14:textId="77777777" w:rsidR="00306C2B" w:rsidRPr="00306C2B" w:rsidRDefault="00306C2B" w:rsidP="00830C24">
            <w:pPr>
              <w:widowControl w:val="0"/>
              <w:autoSpaceDE w:val="0"/>
              <w:autoSpaceDN w:val="0"/>
              <w:adjustRightInd w:val="0"/>
              <w:rPr>
                <w:sz w:val="18"/>
                <w:szCs w:val="18"/>
              </w:rPr>
            </w:pPr>
          </w:p>
        </w:tc>
        <w:tc>
          <w:tcPr>
            <w:tcW w:w="0" w:type="auto"/>
            <w:tcBorders>
              <w:top w:val="nil"/>
              <w:left w:val="nil"/>
              <w:bottom w:val="nil"/>
              <w:right w:val="nil"/>
            </w:tcBorders>
          </w:tcPr>
          <w:p w14:paraId="1187985F"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19ED3494"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3C06D0DB"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6C873926"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1AA84D9C"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45B6153D"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7559AE82"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0C8899E8"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6F850350" w14:textId="77777777" w:rsidR="00306C2B" w:rsidRPr="00306C2B" w:rsidRDefault="00306C2B" w:rsidP="00830C24">
            <w:pPr>
              <w:widowControl w:val="0"/>
              <w:autoSpaceDE w:val="0"/>
              <w:autoSpaceDN w:val="0"/>
              <w:adjustRightInd w:val="0"/>
              <w:jc w:val="center"/>
              <w:rPr>
                <w:sz w:val="18"/>
                <w:szCs w:val="18"/>
              </w:rPr>
            </w:pPr>
          </w:p>
        </w:tc>
      </w:tr>
      <w:tr w:rsidR="009F2FFE" w:rsidRPr="00306C2B" w14:paraId="0377E755" w14:textId="77777777" w:rsidTr="00830C24">
        <w:trPr>
          <w:jc w:val="center"/>
        </w:trPr>
        <w:tc>
          <w:tcPr>
            <w:tcW w:w="0" w:type="auto"/>
            <w:tcBorders>
              <w:top w:val="nil"/>
              <w:left w:val="nil"/>
              <w:bottom w:val="nil"/>
              <w:right w:val="nil"/>
            </w:tcBorders>
          </w:tcPr>
          <w:p w14:paraId="27CCACF9" w14:textId="77777777" w:rsidR="009F2FFE" w:rsidRPr="00306C2B" w:rsidRDefault="009F2FFE" w:rsidP="009F2FFE">
            <w:pPr>
              <w:widowControl w:val="0"/>
              <w:autoSpaceDE w:val="0"/>
              <w:autoSpaceDN w:val="0"/>
              <w:adjustRightInd w:val="0"/>
              <w:rPr>
                <w:sz w:val="18"/>
                <w:szCs w:val="18"/>
              </w:rPr>
            </w:pPr>
            <w:r w:rsidRPr="00306C2B">
              <w:rPr>
                <w:sz w:val="18"/>
                <w:szCs w:val="18"/>
              </w:rPr>
              <w:t xml:space="preserve">CFIUS Block </w:t>
            </w:r>
            <m:oMath>
              <m:r>
                <w:rPr>
                  <w:rFonts w:ascii="Cambria Math" w:eastAsiaTheme="minorHAnsi" w:hAnsi="Cambria Math"/>
                  <w:sz w:val="18"/>
                  <w:szCs w:val="18"/>
                  <w:lang w:eastAsia="en-US"/>
                </w:rPr>
                <m:t>i, t</m:t>
              </m:r>
            </m:oMath>
            <w:r w:rsidRPr="00306C2B">
              <w:rPr>
                <w:sz w:val="18"/>
                <w:szCs w:val="18"/>
                <w:lang w:eastAsia="en-US"/>
              </w:rPr>
              <w:t xml:space="preserve"> </w:t>
            </w:r>
          </w:p>
        </w:tc>
        <w:tc>
          <w:tcPr>
            <w:tcW w:w="0" w:type="auto"/>
            <w:tcBorders>
              <w:top w:val="nil"/>
              <w:left w:val="nil"/>
              <w:bottom w:val="nil"/>
              <w:right w:val="nil"/>
            </w:tcBorders>
          </w:tcPr>
          <w:p w14:paraId="721491D7"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1A2BC697"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1C6E4E79" w14:textId="6C4E5DA0" w:rsidR="009F2FFE" w:rsidRPr="00306C2B" w:rsidRDefault="009F2FFE" w:rsidP="009F2FFE">
            <w:pPr>
              <w:widowControl w:val="0"/>
              <w:autoSpaceDE w:val="0"/>
              <w:autoSpaceDN w:val="0"/>
              <w:adjustRightInd w:val="0"/>
              <w:jc w:val="center"/>
              <w:rPr>
                <w:sz w:val="18"/>
                <w:szCs w:val="18"/>
              </w:rPr>
            </w:pPr>
            <w:r w:rsidRPr="00D97D01">
              <w:rPr>
                <w:sz w:val="18"/>
                <w:szCs w:val="18"/>
              </w:rPr>
              <w:t>-0.076**</w:t>
            </w:r>
          </w:p>
        </w:tc>
        <w:tc>
          <w:tcPr>
            <w:tcW w:w="0" w:type="auto"/>
            <w:tcBorders>
              <w:top w:val="nil"/>
              <w:left w:val="nil"/>
              <w:bottom w:val="nil"/>
              <w:right w:val="nil"/>
            </w:tcBorders>
          </w:tcPr>
          <w:p w14:paraId="4EC53399" w14:textId="3A72AF18" w:rsidR="009F2FFE" w:rsidRPr="00306C2B" w:rsidRDefault="009F2FFE" w:rsidP="009F2FFE">
            <w:pPr>
              <w:widowControl w:val="0"/>
              <w:autoSpaceDE w:val="0"/>
              <w:autoSpaceDN w:val="0"/>
              <w:adjustRightInd w:val="0"/>
              <w:jc w:val="center"/>
              <w:rPr>
                <w:sz w:val="18"/>
                <w:szCs w:val="18"/>
              </w:rPr>
            </w:pPr>
            <w:r w:rsidRPr="00D97D01">
              <w:rPr>
                <w:sz w:val="18"/>
                <w:szCs w:val="18"/>
              </w:rPr>
              <w:t>-0.079**</w:t>
            </w:r>
          </w:p>
        </w:tc>
        <w:tc>
          <w:tcPr>
            <w:tcW w:w="0" w:type="auto"/>
            <w:tcBorders>
              <w:top w:val="nil"/>
              <w:left w:val="nil"/>
              <w:bottom w:val="nil"/>
              <w:right w:val="nil"/>
            </w:tcBorders>
          </w:tcPr>
          <w:p w14:paraId="7E5964E5" w14:textId="026E234E" w:rsidR="009F2FFE" w:rsidRPr="00306C2B" w:rsidRDefault="009F2FFE" w:rsidP="009F2FFE">
            <w:pPr>
              <w:widowControl w:val="0"/>
              <w:autoSpaceDE w:val="0"/>
              <w:autoSpaceDN w:val="0"/>
              <w:adjustRightInd w:val="0"/>
              <w:jc w:val="center"/>
              <w:rPr>
                <w:sz w:val="18"/>
                <w:szCs w:val="18"/>
              </w:rPr>
            </w:pPr>
            <w:r w:rsidRPr="00D97D01">
              <w:rPr>
                <w:sz w:val="18"/>
                <w:szCs w:val="18"/>
              </w:rPr>
              <w:t>-0.063***</w:t>
            </w:r>
          </w:p>
        </w:tc>
        <w:tc>
          <w:tcPr>
            <w:tcW w:w="0" w:type="auto"/>
            <w:tcBorders>
              <w:top w:val="nil"/>
              <w:left w:val="nil"/>
              <w:bottom w:val="nil"/>
              <w:right w:val="nil"/>
            </w:tcBorders>
          </w:tcPr>
          <w:p w14:paraId="4680B01C" w14:textId="669A5447" w:rsidR="009F2FFE" w:rsidRPr="00306C2B" w:rsidRDefault="009F2FFE" w:rsidP="009F2FFE">
            <w:pPr>
              <w:widowControl w:val="0"/>
              <w:autoSpaceDE w:val="0"/>
              <w:autoSpaceDN w:val="0"/>
              <w:adjustRightInd w:val="0"/>
              <w:jc w:val="center"/>
              <w:rPr>
                <w:sz w:val="18"/>
                <w:szCs w:val="18"/>
              </w:rPr>
            </w:pPr>
            <w:r w:rsidRPr="00D97D01">
              <w:rPr>
                <w:sz w:val="18"/>
                <w:szCs w:val="18"/>
              </w:rPr>
              <w:t>-0.080**</w:t>
            </w:r>
          </w:p>
        </w:tc>
        <w:tc>
          <w:tcPr>
            <w:tcW w:w="0" w:type="auto"/>
            <w:tcBorders>
              <w:top w:val="nil"/>
              <w:left w:val="nil"/>
              <w:bottom w:val="nil"/>
              <w:right w:val="nil"/>
            </w:tcBorders>
          </w:tcPr>
          <w:p w14:paraId="51F0F305" w14:textId="1EE3820E" w:rsidR="009F2FFE" w:rsidRPr="00306C2B" w:rsidRDefault="009F2FFE" w:rsidP="009F2FFE">
            <w:pPr>
              <w:widowControl w:val="0"/>
              <w:autoSpaceDE w:val="0"/>
              <w:autoSpaceDN w:val="0"/>
              <w:adjustRightInd w:val="0"/>
              <w:jc w:val="center"/>
              <w:rPr>
                <w:sz w:val="18"/>
                <w:szCs w:val="18"/>
              </w:rPr>
            </w:pPr>
            <w:r w:rsidRPr="00D97D01">
              <w:rPr>
                <w:sz w:val="18"/>
                <w:szCs w:val="18"/>
              </w:rPr>
              <w:t>-0.088**</w:t>
            </w:r>
          </w:p>
        </w:tc>
        <w:tc>
          <w:tcPr>
            <w:tcW w:w="0" w:type="auto"/>
            <w:tcBorders>
              <w:top w:val="nil"/>
              <w:left w:val="nil"/>
              <w:bottom w:val="nil"/>
              <w:right w:val="nil"/>
            </w:tcBorders>
          </w:tcPr>
          <w:p w14:paraId="23A7E048" w14:textId="58BE8477" w:rsidR="009F2FFE" w:rsidRPr="00306C2B" w:rsidRDefault="009F2FFE" w:rsidP="009F2FFE">
            <w:pPr>
              <w:widowControl w:val="0"/>
              <w:autoSpaceDE w:val="0"/>
              <w:autoSpaceDN w:val="0"/>
              <w:adjustRightInd w:val="0"/>
              <w:jc w:val="center"/>
              <w:rPr>
                <w:sz w:val="18"/>
                <w:szCs w:val="18"/>
              </w:rPr>
            </w:pPr>
            <w:r w:rsidRPr="00D97D01">
              <w:rPr>
                <w:sz w:val="18"/>
                <w:szCs w:val="18"/>
              </w:rPr>
              <w:t>-0.083**</w:t>
            </w:r>
          </w:p>
        </w:tc>
        <w:tc>
          <w:tcPr>
            <w:tcW w:w="0" w:type="auto"/>
            <w:tcBorders>
              <w:top w:val="nil"/>
              <w:left w:val="nil"/>
              <w:bottom w:val="nil"/>
              <w:right w:val="nil"/>
            </w:tcBorders>
          </w:tcPr>
          <w:p w14:paraId="7A53FF59" w14:textId="54C874BE" w:rsidR="009F2FFE" w:rsidRPr="00306C2B" w:rsidRDefault="009F2FFE" w:rsidP="009F2FFE">
            <w:pPr>
              <w:widowControl w:val="0"/>
              <w:autoSpaceDE w:val="0"/>
              <w:autoSpaceDN w:val="0"/>
              <w:adjustRightInd w:val="0"/>
              <w:jc w:val="center"/>
              <w:rPr>
                <w:sz w:val="18"/>
                <w:szCs w:val="18"/>
              </w:rPr>
            </w:pPr>
            <w:r w:rsidRPr="00D97D01">
              <w:rPr>
                <w:sz w:val="18"/>
                <w:szCs w:val="18"/>
              </w:rPr>
              <w:t>-0.084**</w:t>
            </w:r>
          </w:p>
        </w:tc>
      </w:tr>
      <w:tr w:rsidR="009F2FFE" w:rsidRPr="00306C2B" w14:paraId="5BFBDF55" w14:textId="77777777" w:rsidTr="00830C24">
        <w:trPr>
          <w:jc w:val="center"/>
        </w:trPr>
        <w:tc>
          <w:tcPr>
            <w:tcW w:w="0" w:type="auto"/>
            <w:tcBorders>
              <w:top w:val="nil"/>
              <w:left w:val="nil"/>
              <w:bottom w:val="nil"/>
              <w:right w:val="nil"/>
            </w:tcBorders>
          </w:tcPr>
          <w:p w14:paraId="29F24DDF" w14:textId="77777777" w:rsidR="009F2FFE" w:rsidRPr="00306C2B" w:rsidRDefault="009F2FFE" w:rsidP="009F2FFE">
            <w:pPr>
              <w:widowControl w:val="0"/>
              <w:autoSpaceDE w:val="0"/>
              <w:autoSpaceDN w:val="0"/>
              <w:adjustRightInd w:val="0"/>
              <w:rPr>
                <w:sz w:val="18"/>
                <w:szCs w:val="18"/>
              </w:rPr>
            </w:pPr>
          </w:p>
        </w:tc>
        <w:tc>
          <w:tcPr>
            <w:tcW w:w="0" w:type="auto"/>
            <w:tcBorders>
              <w:top w:val="nil"/>
              <w:left w:val="nil"/>
              <w:bottom w:val="nil"/>
              <w:right w:val="nil"/>
            </w:tcBorders>
          </w:tcPr>
          <w:p w14:paraId="4FA21B02"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18F30202"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3DA0B7E1" w14:textId="39F02517" w:rsidR="009F2FFE" w:rsidRPr="00306C2B" w:rsidRDefault="009F2FFE" w:rsidP="009F2FFE">
            <w:pPr>
              <w:widowControl w:val="0"/>
              <w:autoSpaceDE w:val="0"/>
              <w:autoSpaceDN w:val="0"/>
              <w:adjustRightInd w:val="0"/>
              <w:jc w:val="center"/>
              <w:rPr>
                <w:sz w:val="18"/>
                <w:szCs w:val="18"/>
              </w:rPr>
            </w:pPr>
            <w:r w:rsidRPr="00D97D01">
              <w:rPr>
                <w:sz w:val="18"/>
                <w:szCs w:val="18"/>
              </w:rPr>
              <w:t>(-2.44)</w:t>
            </w:r>
          </w:p>
        </w:tc>
        <w:tc>
          <w:tcPr>
            <w:tcW w:w="0" w:type="auto"/>
            <w:tcBorders>
              <w:top w:val="nil"/>
              <w:left w:val="nil"/>
              <w:bottom w:val="nil"/>
              <w:right w:val="nil"/>
            </w:tcBorders>
          </w:tcPr>
          <w:p w14:paraId="59BB1292" w14:textId="3F6535FE" w:rsidR="009F2FFE" w:rsidRPr="00306C2B" w:rsidRDefault="009F2FFE" w:rsidP="009F2FFE">
            <w:pPr>
              <w:widowControl w:val="0"/>
              <w:autoSpaceDE w:val="0"/>
              <w:autoSpaceDN w:val="0"/>
              <w:adjustRightInd w:val="0"/>
              <w:jc w:val="center"/>
              <w:rPr>
                <w:sz w:val="18"/>
                <w:szCs w:val="18"/>
              </w:rPr>
            </w:pPr>
            <w:r w:rsidRPr="00D97D01">
              <w:rPr>
                <w:sz w:val="18"/>
                <w:szCs w:val="18"/>
              </w:rPr>
              <w:t>(-2.53)</w:t>
            </w:r>
          </w:p>
        </w:tc>
        <w:tc>
          <w:tcPr>
            <w:tcW w:w="0" w:type="auto"/>
            <w:tcBorders>
              <w:top w:val="nil"/>
              <w:left w:val="nil"/>
              <w:bottom w:val="nil"/>
              <w:right w:val="nil"/>
            </w:tcBorders>
          </w:tcPr>
          <w:p w14:paraId="78C45117" w14:textId="12BBE20A" w:rsidR="009F2FFE" w:rsidRPr="00306C2B" w:rsidRDefault="009F2FFE" w:rsidP="009F2FFE">
            <w:pPr>
              <w:widowControl w:val="0"/>
              <w:autoSpaceDE w:val="0"/>
              <w:autoSpaceDN w:val="0"/>
              <w:adjustRightInd w:val="0"/>
              <w:jc w:val="center"/>
              <w:rPr>
                <w:sz w:val="18"/>
                <w:szCs w:val="18"/>
              </w:rPr>
            </w:pPr>
            <w:r w:rsidRPr="00D97D01">
              <w:rPr>
                <w:sz w:val="18"/>
                <w:szCs w:val="18"/>
              </w:rPr>
              <w:t>(-3.10)</w:t>
            </w:r>
          </w:p>
        </w:tc>
        <w:tc>
          <w:tcPr>
            <w:tcW w:w="0" w:type="auto"/>
            <w:tcBorders>
              <w:top w:val="nil"/>
              <w:left w:val="nil"/>
              <w:bottom w:val="nil"/>
              <w:right w:val="nil"/>
            </w:tcBorders>
          </w:tcPr>
          <w:p w14:paraId="1E67C855" w14:textId="17B0943D" w:rsidR="009F2FFE" w:rsidRPr="00306C2B" w:rsidRDefault="009F2FFE" w:rsidP="009F2FFE">
            <w:pPr>
              <w:widowControl w:val="0"/>
              <w:autoSpaceDE w:val="0"/>
              <w:autoSpaceDN w:val="0"/>
              <w:adjustRightInd w:val="0"/>
              <w:jc w:val="center"/>
              <w:rPr>
                <w:sz w:val="18"/>
                <w:szCs w:val="18"/>
              </w:rPr>
            </w:pPr>
            <w:r w:rsidRPr="00D97D01">
              <w:rPr>
                <w:sz w:val="18"/>
                <w:szCs w:val="18"/>
              </w:rPr>
              <w:t>(-2.47)</w:t>
            </w:r>
          </w:p>
        </w:tc>
        <w:tc>
          <w:tcPr>
            <w:tcW w:w="0" w:type="auto"/>
            <w:tcBorders>
              <w:top w:val="nil"/>
              <w:left w:val="nil"/>
              <w:bottom w:val="nil"/>
              <w:right w:val="nil"/>
            </w:tcBorders>
          </w:tcPr>
          <w:p w14:paraId="0E7D2ACA" w14:textId="1461FCD2" w:rsidR="009F2FFE" w:rsidRPr="00306C2B" w:rsidRDefault="009F2FFE" w:rsidP="009F2FFE">
            <w:pPr>
              <w:widowControl w:val="0"/>
              <w:autoSpaceDE w:val="0"/>
              <w:autoSpaceDN w:val="0"/>
              <w:adjustRightInd w:val="0"/>
              <w:jc w:val="center"/>
              <w:rPr>
                <w:sz w:val="18"/>
                <w:szCs w:val="18"/>
              </w:rPr>
            </w:pPr>
            <w:r w:rsidRPr="00D97D01">
              <w:rPr>
                <w:sz w:val="18"/>
                <w:szCs w:val="18"/>
              </w:rPr>
              <w:t>(-2.34)</w:t>
            </w:r>
          </w:p>
        </w:tc>
        <w:tc>
          <w:tcPr>
            <w:tcW w:w="0" w:type="auto"/>
            <w:tcBorders>
              <w:top w:val="nil"/>
              <w:left w:val="nil"/>
              <w:bottom w:val="nil"/>
              <w:right w:val="nil"/>
            </w:tcBorders>
          </w:tcPr>
          <w:p w14:paraId="72DF4CEA" w14:textId="637EB84A" w:rsidR="009F2FFE" w:rsidRPr="00306C2B" w:rsidRDefault="009F2FFE" w:rsidP="009F2FFE">
            <w:pPr>
              <w:widowControl w:val="0"/>
              <w:autoSpaceDE w:val="0"/>
              <w:autoSpaceDN w:val="0"/>
              <w:adjustRightInd w:val="0"/>
              <w:jc w:val="center"/>
              <w:rPr>
                <w:sz w:val="18"/>
                <w:szCs w:val="18"/>
              </w:rPr>
            </w:pPr>
            <w:r w:rsidRPr="00D97D01">
              <w:rPr>
                <w:sz w:val="18"/>
                <w:szCs w:val="18"/>
              </w:rPr>
              <w:t>(-2.59)</w:t>
            </w:r>
          </w:p>
        </w:tc>
        <w:tc>
          <w:tcPr>
            <w:tcW w:w="0" w:type="auto"/>
            <w:tcBorders>
              <w:top w:val="nil"/>
              <w:left w:val="nil"/>
              <w:bottom w:val="nil"/>
              <w:right w:val="nil"/>
            </w:tcBorders>
          </w:tcPr>
          <w:p w14:paraId="7B969C6C" w14:textId="768BDEF6" w:rsidR="009F2FFE" w:rsidRPr="00306C2B" w:rsidRDefault="009F2FFE" w:rsidP="009F2FFE">
            <w:pPr>
              <w:widowControl w:val="0"/>
              <w:autoSpaceDE w:val="0"/>
              <w:autoSpaceDN w:val="0"/>
              <w:adjustRightInd w:val="0"/>
              <w:jc w:val="center"/>
              <w:rPr>
                <w:sz w:val="18"/>
                <w:szCs w:val="18"/>
              </w:rPr>
            </w:pPr>
            <w:r w:rsidRPr="00D97D01">
              <w:rPr>
                <w:sz w:val="18"/>
                <w:szCs w:val="18"/>
              </w:rPr>
              <w:t>(-2.26)</w:t>
            </w:r>
          </w:p>
        </w:tc>
      </w:tr>
      <w:tr w:rsidR="009F2FFE" w:rsidRPr="00306C2B" w14:paraId="78408454" w14:textId="77777777" w:rsidTr="00830C24">
        <w:trPr>
          <w:jc w:val="center"/>
        </w:trPr>
        <w:tc>
          <w:tcPr>
            <w:tcW w:w="0" w:type="auto"/>
            <w:tcBorders>
              <w:top w:val="nil"/>
              <w:left w:val="nil"/>
              <w:bottom w:val="nil"/>
              <w:right w:val="nil"/>
            </w:tcBorders>
          </w:tcPr>
          <w:p w14:paraId="68B3A2B5" w14:textId="77777777" w:rsidR="009F2FFE" w:rsidRPr="00306C2B" w:rsidRDefault="009F2FFE" w:rsidP="009F2FFE">
            <w:pPr>
              <w:widowControl w:val="0"/>
              <w:autoSpaceDE w:val="0"/>
              <w:autoSpaceDN w:val="0"/>
              <w:adjustRightInd w:val="0"/>
              <w:rPr>
                <w:sz w:val="18"/>
                <w:szCs w:val="18"/>
              </w:rPr>
            </w:pPr>
            <w:r w:rsidRPr="00306C2B">
              <w:rPr>
                <w:sz w:val="18"/>
                <w:szCs w:val="18"/>
              </w:rPr>
              <w:t xml:space="preserve">Cash flow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4E75E9FF"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1C9EB93A"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10349487" w14:textId="5894EE83" w:rsidR="009F2FFE" w:rsidRPr="00306C2B" w:rsidRDefault="009F2FFE" w:rsidP="009F2FFE">
            <w:pPr>
              <w:widowControl w:val="0"/>
              <w:autoSpaceDE w:val="0"/>
              <w:autoSpaceDN w:val="0"/>
              <w:adjustRightInd w:val="0"/>
              <w:jc w:val="center"/>
              <w:rPr>
                <w:sz w:val="18"/>
                <w:szCs w:val="18"/>
              </w:rPr>
            </w:pPr>
            <w:r w:rsidRPr="00D97D01">
              <w:rPr>
                <w:sz w:val="18"/>
                <w:szCs w:val="18"/>
              </w:rPr>
              <w:t>0.160***</w:t>
            </w:r>
          </w:p>
        </w:tc>
        <w:tc>
          <w:tcPr>
            <w:tcW w:w="0" w:type="auto"/>
            <w:tcBorders>
              <w:top w:val="nil"/>
              <w:left w:val="nil"/>
              <w:bottom w:val="nil"/>
              <w:right w:val="nil"/>
            </w:tcBorders>
          </w:tcPr>
          <w:p w14:paraId="4C32CA32" w14:textId="5EB92DA0" w:rsidR="009F2FFE" w:rsidRPr="00306C2B" w:rsidRDefault="009F2FFE" w:rsidP="009F2FFE">
            <w:pPr>
              <w:widowControl w:val="0"/>
              <w:autoSpaceDE w:val="0"/>
              <w:autoSpaceDN w:val="0"/>
              <w:adjustRightInd w:val="0"/>
              <w:jc w:val="center"/>
              <w:rPr>
                <w:sz w:val="18"/>
                <w:szCs w:val="18"/>
              </w:rPr>
            </w:pPr>
            <w:r w:rsidRPr="00D97D01">
              <w:rPr>
                <w:sz w:val="18"/>
                <w:szCs w:val="18"/>
              </w:rPr>
              <w:t>0.159***</w:t>
            </w:r>
          </w:p>
        </w:tc>
        <w:tc>
          <w:tcPr>
            <w:tcW w:w="0" w:type="auto"/>
            <w:tcBorders>
              <w:top w:val="nil"/>
              <w:left w:val="nil"/>
              <w:bottom w:val="nil"/>
              <w:right w:val="nil"/>
            </w:tcBorders>
          </w:tcPr>
          <w:p w14:paraId="5383C11F" w14:textId="1AFCE950" w:rsidR="009F2FFE" w:rsidRPr="00306C2B" w:rsidRDefault="009F2FFE" w:rsidP="009F2FFE">
            <w:pPr>
              <w:widowControl w:val="0"/>
              <w:autoSpaceDE w:val="0"/>
              <w:autoSpaceDN w:val="0"/>
              <w:adjustRightInd w:val="0"/>
              <w:jc w:val="center"/>
              <w:rPr>
                <w:sz w:val="18"/>
                <w:szCs w:val="18"/>
              </w:rPr>
            </w:pPr>
            <w:r w:rsidRPr="00D97D01">
              <w:rPr>
                <w:sz w:val="18"/>
                <w:szCs w:val="18"/>
              </w:rPr>
              <w:t>0.155***</w:t>
            </w:r>
          </w:p>
        </w:tc>
        <w:tc>
          <w:tcPr>
            <w:tcW w:w="0" w:type="auto"/>
            <w:tcBorders>
              <w:top w:val="nil"/>
              <w:left w:val="nil"/>
              <w:bottom w:val="nil"/>
              <w:right w:val="nil"/>
            </w:tcBorders>
          </w:tcPr>
          <w:p w14:paraId="00949DC1" w14:textId="60C53EC8" w:rsidR="009F2FFE" w:rsidRPr="00306C2B" w:rsidRDefault="009F2FFE" w:rsidP="009F2FFE">
            <w:pPr>
              <w:widowControl w:val="0"/>
              <w:autoSpaceDE w:val="0"/>
              <w:autoSpaceDN w:val="0"/>
              <w:adjustRightInd w:val="0"/>
              <w:jc w:val="center"/>
              <w:rPr>
                <w:sz w:val="18"/>
                <w:szCs w:val="18"/>
              </w:rPr>
            </w:pPr>
            <w:r w:rsidRPr="00D97D01">
              <w:rPr>
                <w:sz w:val="18"/>
                <w:szCs w:val="18"/>
              </w:rPr>
              <w:t>0.160***</w:t>
            </w:r>
          </w:p>
        </w:tc>
        <w:tc>
          <w:tcPr>
            <w:tcW w:w="0" w:type="auto"/>
            <w:tcBorders>
              <w:top w:val="nil"/>
              <w:left w:val="nil"/>
              <w:bottom w:val="nil"/>
              <w:right w:val="nil"/>
            </w:tcBorders>
          </w:tcPr>
          <w:p w14:paraId="6074A045" w14:textId="33B3ECD3" w:rsidR="009F2FFE" w:rsidRPr="00306C2B" w:rsidRDefault="009F2FFE" w:rsidP="009F2FFE">
            <w:pPr>
              <w:widowControl w:val="0"/>
              <w:autoSpaceDE w:val="0"/>
              <w:autoSpaceDN w:val="0"/>
              <w:adjustRightInd w:val="0"/>
              <w:jc w:val="center"/>
              <w:rPr>
                <w:sz w:val="18"/>
                <w:szCs w:val="18"/>
              </w:rPr>
            </w:pPr>
            <w:r w:rsidRPr="00D97D01">
              <w:rPr>
                <w:sz w:val="18"/>
                <w:szCs w:val="18"/>
              </w:rPr>
              <w:t>0.160***</w:t>
            </w:r>
          </w:p>
        </w:tc>
        <w:tc>
          <w:tcPr>
            <w:tcW w:w="0" w:type="auto"/>
            <w:tcBorders>
              <w:top w:val="nil"/>
              <w:left w:val="nil"/>
              <w:bottom w:val="nil"/>
              <w:right w:val="nil"/>
            </w:tcBorders>
          </w:tcPr>
          <w:p w14:paraId="753568E1" w14:textId="115EC813" w:rsidR="009F2FFE" w:rsidRPr="00306C2B" w:rsidRDefault="009F2FFE" w:rsidP="009F2FFE">
            <w:pPr>
              <w:widowControl w:val="0"/>
              <w:autoSpaceDE w:val="0"/>
              <w:autoSpaceDN w:val="0"/>
              <w:adjustRightInd w:val="0"/>
              <w:jc w:val="center"/>
              <w:rPr>
                <w:sz w:val="18"/>
                <w:szCs w:val="18"/>
              </w:rPr>
            </w:pPr>
            <w:r w:rsidRPr="00D97D01">
              <w:rPr>
                <w:sz w:val="18"/>
                <w:szCs w:val="18"/>
              </w:rPr>
              <w:t>0.160***</w:t>
            </w:r>
          </w:p>
        </w:tc>
        <w:tc>
          <w:tcPr>
            <w:tcW w:w="0" w:type="auto"/>
            <w:tcBorders>
              <w:top w:val="nil"/>
              <w:left w:val="nil"/>
              <w:bottom w:val="nil"/>
              <w:right w:val="nil"/>
            </w:tcBorders>
          </w:tcPr>
          <w:p w14:paraId="1D058809" w14:textId="15C9E5D3" w:rsidR="009F2FFE" w:rsidRPr="00306C2B" w:rsidRDefault="009F2FFE" w:rsidP="009F2FFE">
            <w:pPr>
              <w:widowControl w:val="0"/>
              <w:autoSpaceDE w:val="0"/>
              <w:autoSpaceDN w:val="0"/>
              <w:adjustRightInd w:val="0"/>
              <w:jc w:val="center"/>
              <w:rPr>
                <w:sz w:val="18"/>
                <w:szCs w:val="18"/>
              </w:rPr>
            </w:pPr>
            <w:r w:rsidRPr="00D97D01">
              <w:rPr>
                <w:sz w:val="18"/>
                <w:szCs w:val="18"/>
              </w:rPr>
              <w:t>0.160***</w:t>
            </w:r>
          </w:p>
        </w:tc>
      </w:tr>
      <w:tr w:rsidR="009F2FFE" w:rsidRPr="00306C2B" w14:paraId="24B59AFA" w14:textId="77777777" w:rsidTr="00830C24">
        <w:trPr>
          <w:jc w:val="center"/>
        </w:trPr>
        <w:tc>
          <w:tcPr>
            <w:tcW w:w="0" w:type="auto"/>
            <w:tcBorders>
              <w:top w:val="nil"/>
              <w:left w:val="nil"/>
              <w:bottom w:val="nil"/>
              <w:right w:val="nil"/>
            </w:tcBorders>
          </w:tcPr>
          <w:p w14:paraId="5E217A28" w14:textId="77777777" w:rsidR="009F2FFE" w:rsidRPr="00306C2B" w:rsidRDefault="009F2FFE" w:rsidP="009F2FFE">
            <w:pPr>
              <w:widowControl w:val="0"/>
              <w:autoSpaceDE w:val="0"/>
              <w:autoSpaceDN w:val="0"/>
              <w:adjustRightInd w:val="0"/>
              <w:rPr>
                <w:sz w:val="18"/>
                <w:szCs w:val="18"/>
              </w:rPr>
            </w:pPr>
          </w:p>
        </w:tc>
        <w:tc>
          <w:tcPr>
            <w:tcW w:w="0" w:type="auto"/>
            <w:tcBorders>
              <w:top w:val="nil"/>
              <w:left w:val="nil"/>
              <w:bottom w:val="nil"/>
              <w:right w:val="nil"/>
            </w:tcBorders>
          </w:tcPr>
          <w:p w14:paraId="4558433F"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6618A53F"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5A88482A" w14:textId="13C7D0D6" w:rsidR="009F2FFE" w:rsidRPr="00306C2B" w:rsidRDefault="009F2FFE" w:rsidP="009F2FFE">
            <w:pPr>
              <w:widowControl w:val="0"/>
              <w:autoSpaceDE w:val="0"/>
              <w:autoSpaceDN w:val="0"/>
              <w:adjustRightInd w:val="0"/>
              <w:jc w:val="center"/>
              <w:rPr>
                <w:sz w:val="18"/>
                <w:szCs w:val="18"/>
              </w:rPr>
            </w:pPr>
            <w:r w:rsidRPr="00D97D01">
              <w:rPr>
                <w:sz w:val="18"/>
                <w:szCs w:val="18"/>
              </w:rPr>
              <w:t>(4.62)</w:t>
            </w:r>
          </w:p>
        </w:tc>
        <w:tc>
          <w:tcPr>
            <w:tcW w:w="0" w:type="auto"/>
            <w:tcBorders>
              <w:top w:val="nil"/>
              <w:left w:val="nil"/>
              <w:bottom w:val="nil"/>
              <w:right w:val="nil"/>
            </w:tcBorders>
          </w:tcPr>
          <w:p w14:paraId="39454AC6" w14:textId="5B0C2265" w:rsidR="009F2FFE" w:rsidRPr="00306C2B" w:rsidRDefault="009F2FFE" w:rsidP="009F2FFE">
            <w:pPr>
              <w:widowControl w:val="0"/>
              <w:autoSpaceDE w:val="0"/>
              <w:autoSpaceDN w:val="0"/>
              <w:adjustRightInd w:val="0"/>
              <w:jc w:val="center"/>
              <w:rPr>
                <w:sz w:val="18"/>
                <w:szCs w:val="18"/>
              </w:rPr>
            </w:pPr>
            <w:r w:rsidRPr="00D97D01">
              <w:rPr>
                <w:sz w:val="18"/>
                <w:szCs w:val="18"/>
              </w:rPr>
              <w:t>(4.60)</w:t>
            </w:r>
          </w:p>
        </w:tc>
        <w:tc>
          <w:tcPr>
            <w:tcW w:w="0" w:type="auto"/>
            <w:tcBorders>
              <w:top w:val="nil"/>
              <w:left w:val="nil"/>
              <w:bottom w:val="nil"/>
              <w:right w:val="nil"/>
            </w:tcBorders>
          </w:tcPr>
          <w:p w14:paraId="32526DC4" w14:textId="6DE3D397" w:rsidR="009F2FFE" w:rsidRPr="00306C2B" w:rsidRDefault="009F2FFE" w:rsidP="009F2FFE">
            <w:pPr>
              <w:widowControl w:val="0"/>
              <w:autoSpaceDE w:val="0"/>
              <w:autoSpaceDN w:val="0"/>
              <w:adjustRightInd w:val="0"/>
              <w:jc w:val="center"/>
              <w:rPr>
                <w:sz w:val="18"/>
                <w:szCs w:val="18"/>
              </w:rPr>
            </w:pPr>
            <w:r w:rsidRPr="00D97D01">
              <w:rPr>
                <w:sz w:val="18"/>
                <w:szCs w:val="18"/>
              </w:rPr>
              <w:t>(4.80)</w:t>
            </w:r>
          </w:p>
        </w:tc>
        <w:tc>
          <w:tcPr>
            <w:tcW w:w="0" w:type="auto"/>
            <w:tcBorders>
              <w:top w:val="nil"/>
              <w:left w:val="nil"/>
              <w:bottom w:val="nil"/>
              <w:right w:val="nil"/>
            </w:tcBorders>
          </w:tcPr>
          <w:p w14:paraId="1F49B7E5" w14:textId="25AE5A4E" w:rsidR="009F2FFE" w:rsidRPr="00306C2B" w:rsidRDefault="009F2FFE" w:rsidP="009F2FFE">
            <w:pPr>
              <w:widowControl w:val="0"/>
              <w:autoSpaceDE w:val="0"/>
              <w:autoSpaceDN w:val="0"/>
              <w:adjustRightInd w:val="0"/>
              <w:jc w:val="center"/>
              <w:rPr>
                <w:sz w:val="18"/>
                <w:szCs w:val="18"/>
              </w:rPr>
            </w:pPr>
            <w:r w:rsidRPr="00D97D01">
              <w:rPr>
                <w:sz w:val="18"/>
                <w:szCs w:val="18"/>
              </w:rPr>
              <w:t>(4.61)</w:t>
            </w:r>
          </w:p>
        </w:tc>
        <w:tc>
          <w:tcPr>
            <w:tcW w:w="0" w:type="auto"/>
            <w:tcBorders>
              <w:top w:val="nil"/>
              <w:left w:val="nil"/>
              <w:bottom w:val="nil"/>
              <w:right w:val="nil"/>
            </w:tcBorders>
          </w:tcPr>
          <w:p w14:paraId="6A208ECD" w14:textId="09EA91E1" w:rsidR="009F2FFE" w:rsidRPr="00306C2B" w:rsidRDefault="009F2FFE" w:rsidP="009F2FFE">
            <w:pPr>
              <w:widowControl w:val="0"/>
              <w:autoSpaceDE w:val="0"/>
              <w:autoSpaceDN w:val="0"/>
              <w:adjustRightInd w:val="0"/>
              <w:jc w:val="center"/>
              <w:rPr>
                <w:sz w:val="18"/>
                <w:szCs w:val="18"/>
              </w:rPr>
            </w:pPr>
            <w:r w:rsidRPr="00D97D01">
              <w:rPr>
                <w:sz w:val="18"/>
                <w:szCs w:val="18"/>
              </w:rPr>
              <w:t>(4.64)</w:t>
            </w:r>
          </w:p>
        </w:tc>
        <w:tc>
          <w:tcPr>
            <w:tcW w:w="0" w:type="auto"/>
            <w:tcBorders>
              <w:top w:val="nil"/>
              <w:left w:val="nil"/>
              <w:bottom w:val="nil"/>
              <w:right w:val="nil"/>
            </w:tcBorders>
          </w:tcPr>
          <w:p w14:paraId="7E133AAA" w14:textId="04DE9E37" w:rsidR="009F2FFE" w:rsidRPr="00306C2B" w:rsidRDefault="009F2FFE" w:rsidP="009F2FFE">
            <w:pPr>
              <w:widowControl w:val="0"/>
              <w:autoSpaceDE w:val="0"/>
              <w:autoSpaceDN w:val="0"/>
              <w:adjustRightInd w:val="0"/>
              <w:jc w:val="center"/>
              <w:rPr>
                <w:sz w:val="18"/>
                <w:szCs w:val="18"/>
              </w:rPr>
            </w:pPr>
            <w:r w:rsidRPr="00D97D01">
              <w:rPr>
                <w:sz w:val="18"/>
                <w:szCs w:val="18"/>
              </w:rPr>
              <w:t>(4.62)</w:t>
            </w:r>
          </w:p>
        </w:tc>
        <w:tc>
          <w:tcPr>
            <w:tcW w:w="0" w:type="auto"/>
            <w:tcBorders>
              <w:top w:val="nil"/>
              <w:left w:val="nil"/>
              <w:bottom w:val="nil"/>
              <w:right w:val="nil"/>
            </w:tcBorders>
          </w:tcPr>
          <w:p w14:paraId="42BE970D" w14:textId="1DC78B7B" w:rsidR="009F2FFE" w:rsidRPr="00306C2B" w:rsidRDefault="009F2FFE" w:rsidP="009F2FFE">
            <w:pPr>
              <w:widowControl w:val="0"/>
              <w:autoSpaceDE w:val="0"/>
              <w:autoSpaceDN w:val="0"/>
              <w:adjustRightInd w:val="0"/>
              <w:jc w:val="center"/>
              <w:rPr>
                <w:sz w:val="18"/>
                <w:szCs w:val="18"/>
              </w:rPr>
            </w:pPr>
            <w:r w:rsidRPr="00D97D01">
              <w:rPr>
                <w:sz w:val="18"/>
                <w:szCs w:val="18"/>
              </w:rPr>
              <w:t>(4.63)</w:t>
            </w:r>
          </w:p>
        </w:tc>
      </w:tr>
      <w:tr w:rsidR="009F2FFE" w:rsidRPr="00306C2B" w14:paraId="612609F2" w14:textId="77777777" w:rsidTr="00830C24">
        <w:trPr>
          <w:jc w:val="center"/>
        </w:trPr>
        <w:tc>
          <w:tcPr>
            <w:tcW w:w="0" w:type="auto"/>
            <w:tcBorders>
              <w:top w:val="nil"/>
              <w:left w:val="nil"/>
              <w:bottom w:val="nil"/>
              <w:right w:val="nil"/>
            </w:tcBorders>
          </w:tcPr>
          <w:p w14:paraId="660726B6" w14:textId="77777777" w:rsidR="009F2FFE" w:rsidRPr="00306C2B" w:rsidRDefault="009F2FFE" w:rsidP="009F2FFE">
            <w:pPr>
              <w:widowControl w:val="0"/>
              <w:autoSpaceDE w:val="0"/>
              <w:autoSpaceDN w:val="0"/>
              <w:adjustRightInd w:val="0"/>
              <w:rPr>
                <w:sz w:val="18"/>
                <w:szCs w:val="18"/>
              </w:rPr>
            </w:pPr>
            <w:r w:rsidRPr="00306C2B">
              <w:rPr>
                <w:sz w:val="18"/>
                <w:szCs w:val="18"/>
              </w:rPr>
              <w:t xml:space="preserve">Leverage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3B64EF4E"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2A3D5F59"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0F7FB546" w14:textId="7C57B7F6" w:rsidR="009F2FFE" w:rsidRPr="00306C2B" w:rsidRDefault="009F2FFE" w:rsidP="009F2FFE">
            <w:pPr>
              <w:widowControl w:val="0"/>
              <w:autoSpaceDE w:val="0"/>
              <w:autoSpaceDN w:val="0"/>
              <w:adjustRightInd w:val="0"/>
              <w:jc w:val="center"/>
              <w:rPr>
                <w:sz w:val="18"/>
                <w:szCs w:val="18"/>
              </w:rPr>
            </w:pPr>
            <w:r w:rsidRPr="00D97D01">
              <w:rPr>
                <w:sz w:val="18"/>
                <w:szCs w:val="18"/>
              </w:rPr>
              <w:t>-0.066***</w:t>
            </w:r>
          </w:p>
        </w:tc>
        <w:tc>
          <w:tcPr>
            <w:tcW w:w="0" w:type="auto"/>
            <w:tcBorders>
              <w:top w:val="nil"/>
              <w:left w:val="nil"/>
              <w:bottom w:val="nil"/>
              <w:right w:val="nil"/>
            </w:tcBorders>
          </w:tcPr>
          <w:p w14:paraId="3159ED09" w14:textId="4CF6C295" w:rsidR="009F2FFE" w:rsidRPr="00306C2B" w:rsidRDefault="009F2FFE" w:rsidP="009F2FFE">
            <w:pPr>
              <w:widowControl w:val="0"/>
              <w:autoSpaceDE w:val="0"/>
              <w:autoSpaceDN w:val="0"/>
              <w:adjustRightInd w:val="0"/>
              <w:jc w:val="center"/>
              <w:rPr>
                <w:sz w:val="18"/>
                <w:szCs w:val="18"/>
              </w:rPr>
            </w:pPr>
            <w:r w:rsidRPr="00D97D01">
              <w:rPr>
                <w:sz w:val="18"/>
                <w:szCs w:val="18"/>
              </w:rPr>
              <w:t>-0.066***</w:t>
            </w:r>
          </w:p>
        </w:tc>
        <w:tc>
          <w:tcPr>
            <w:tcW w:w="0" w:type="auto"/>
            <w:tcBorders>
              <w:top w:val="nil"/>
              <w:left w:val="nil"/>
              <w:bottom w:val="nil"/>
              <w:right w:val="nil"/>
            </w:tcBorders>
          </w:tcPr>
          <w:p w14:paraId="61E74B5C" w14:textId="0840CB09" w:rsidR="009F2FFE" w:rsidRPr="00306C2B" w:rsidRDefault="009F2FFE" w:rsidP="009F2FFE">
            <w:pPr>
              <w:widowControl w:val="0"/>
              <w:autoSpaceDE w:val="0"/>
              <w:autoSpaceDN w:val="0"/>
              <w:adjustRightInd w:val="0"/>
              <w:jc w:val="center"/>
              <w:rPr>
                <w:sz w:val="18"/>
                <w:szCs w:val="18"/>
              </w:rPr>
            </w:pPr>
            <w:r w:rsidRPr="00D97D01">
              <w:rPr>
                <w:sz w:val="18"/>
                <w:szCs w:val="18"/>
              </w:rPr>
              <w:t>-0.067***</w:t>
            </w:r>
          </w:p>
        </w:tc>
        <w:tc>
          <w:tcPr>
            <w:tcW w:w="0" w:type="auto"/>
            <w:tcBorders>
              <w:top w:val="nil"/>
              <w:left w:val="nil"/>
              <w:bottom w:val="nil"/>
              <w:right w:val="nil"/>
            </w:tcBorders>
          </w:tcPr>
          <w:p w14:paraId="0142E124" w14:textId="4DDAECC1" w:rsidR="009F2FFE" w:rsidRPr="00306C2B" w:rsidRDefault="009F2FFE" w:rsidP="009F2FFE">
            <w:pPr>
              <w:widowControl w:val="0"/>
              <w:autoSpaceDE w:val="0"/>
              <w:autoSpaceDN w:val="0"/>
              <w:adjustRightInd w:val="0"/>
              <w:jc w:val="center"/>
              <w:rPr>
                <w:sz w:val="18"/>
                <w:szCs w:val="18"/>
              </w:rPr>
            </w:pPr>
            <w:r w:rsidRPr="00D97D01">
              <w:rPr>
                <w:sz w:val="18"/>
                <w:szCs w:val="18"/>
              </w:rPr>
              <w:t>-0.066***</w:t>
            </w:r>
          </w:p>
        </w:tc>
        <w:tc>
          <w:tcPr>
            <w:tcW w:w="0" w:type="auto"/>
            <w:tcBorders>
              <w:top w:val="nil"/>
              <w:left w:val="nil"/>
              <w:bottom w:val="nil"/>
              <w:right w:val="nil"/>
            </w:tcBorders>
          </w:tcPr>
          <w:p w14:paraId="7DC3D7F3" w14:textId="7FC9F5AF" w:rsidR="009F2FFE" w:rsidRPr="00306C2B" w:rsidRDefault="009F2FFE" w:rsidP="009F2FFE">
            <w:pPr>
              <w:widowControl w:val="0"/>
              <w:autoSpaceDE w:val="0"/>
              <w:autoSpaceDN w:val="0"/>
              <w:adjustRightInd w:val="0"/>
              <w:jc w:val="center"/>
              <w:rPr>
                <w:sz w:val="18"/>
                <w:szCs w:val="18"/>
              </w:rPr>
            </w:pPr>
            <w:r w:rsidRPr="00D97D01">
              <w:rPr>
                <w:sz w:val="18"/>
                <w:szCs w:val="18"/>
              </w:rPr>
              <w:t>-0.066***</w:t>
            </w:r>
          </w:p>
        </w:tc>
        <w:tc>
          <w:tcPr>
            <w:tcW w:w="0" w:type="auto"/>
            <w:tcBorders>
              <w:top w:val="nil"/>
              <w:left w:val="nil"/>
              <w:bottom w:val="nil"/>
              <w:right w:val="nil"/>
            </w:tcBorders>
          </w:tcPr>
          <w:p w14:paraId="5D40761E" w14:textId="02DD324B" w:rsidR="009F2FFE" w:rsidRPr="00306C2B" w:rsidRDefault="009F2FFE" w:rsidP="009F2FFE">
            <w:pPr>
              <w:widowControl w:val="0"/>
              <w:autoSpaceDE w:val="0"/>
              <w:autoSpaceDN w:val="0"/>
              <w:adjustRightInd w:val="0"/>
              <w:jc w:val="center"/>
              <w:rPr>
                <w:sz w:val="18"/>
                <w:szCs w:val="18"/>
              </w:rPr>
            </w:pPr>
            <w:r w:rsidRPr="00D97D01">
              <w:rPr>
                <w:sz w:val="18"/>
                <w:szCs w:val="18"/>
              </w:rPr>
              <w:t>-0.066***</w:t>
            </w:r>
          </w:p>
        </w:tc>
        <w:tc>
          <w:tcPr>
            <w:tcW w:w="0" w:type="auto"/>
            <w:tcBorders>
              <w:top w:val="nil"/>
              <w:left w:val="nil"/>
              <w:bottom w:val="nil"/>
              <w:right w:val="nil"/>
            </w:tcBorders>
          </w:tcPr>
          <w:p w14:paraId="0D005769" w14:textId="59455414" w:rsidR="009F2FFE" w:rsidRPr="00306C2B" w:rsidRDefault="009F2FFE" w:rsidP="009F2FFE">
            <w:pPr>
              <w:widowControl w:val="0"/>
              <w:autoSpaceDE w:val="0"/>
              <w:autoSpaceDN w:val="0"/>
              <w:adjustRightInd w:val="0"/>
              <w:jc w:val="center"/>
              <w:rPr>
                <w:sz w:val="18"/>
                <w:szCs w:val="18"/>
              </w:rPr>
            </w:pPr>
            <w:r w:rsidRPr="00D97D01">
              <w:rPr>
                <w:sz w:val="18"/>
                <w:szCs w:val="18"/>
              </w:rPr>
              <w:t>-0.066***</w:t>
            </w:r>
          </w:p>
        </w:tc>
      </w:tr>
      <w:tr w:rsidR="009F2FFE" w:rsidRPr="00306C2B" w14:paraId="782A6DAD" w14:textId="77777777" w:rsidTr="00830C24">
        <w:trPr>
          <w:jc w:val="center"/>
        </w:trPr>
        <w:tc>
          <w:tcPr>
            <w:tcW w:w="0" w:type="auto"/>
            <w:tcBorders>
              <w:top w:val="nil"/>
              <w:left w:val="nil"/>
              <w:bottom w:val="nil"/>
              <w:right w:val="nil"/>
            </w:tcBorders>
          </w:tcPr>
          <w:p w14:paraId="0B58689A" w14:textId="77777777" w:rsidR="009F2FFE" w:rsidRPr="00306C2B" w:rsidRDefault="009F2FFE" w:rsidP="009F2FFE">
            <w:pPr>
              <w:widowControl w:val="0"/>
              <w:autoSpaceDE w:val="0"/>
              <w:autoSpaceDN w:val="0"/>
              <w:adjustRightInd w:val="0"/>
              <w:rPr>
                <w:sz w:val="18"/>
                <w:szCs w:val="18"/>
              </w:rPr>
            </w:pPr>
          </w:p>
        </w:tc>
        <w:tc>
          <w:tcPr>
            <w:tcW w:w="0" w:type="auto"/>
            <w:tcBorders>
              <w:top w:val="nil"/>
              <w:left w:val="nil"/>
              <w:bottom w:val="nil"/>
              <w:right w:val="nil"/>
            </w:tcBorders>
          </w:tcPr>
          <w:p w14:paraId="59B18DB2"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0B95D6E2"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0E616130" w14:textId="3E3C124E" w:rsidR="009F2FFE" w:rsidRPr="00306C2B" w:rsidRDefault="009F2FFE" w:rsidP="009F2FFE">
            <w:pPr>
              <w:widowControl w:val="0"/>
              <w:autoSpaceDE w:val="0"/>
              <w:autoSpaceDN w:val="0"/>
              <w:adjustRightInd w:val="0"/>
              <w:jc w:val="center"/>
              <w:rPr>
                <w:sz w:val="18"/>
                <w:szCs w:val="18"/>
              </w:rPr>
            </w:pPr>
            <w:r w:rsidRPr="00D97D01">
              <w:rPr>
                <w:sz w:val="18"/>
                <w:szCs w:val="18"/>
              </w:rPr>
              <w:t>(-5.32)</w:t>
            </w:r>
          </w:p>
        </w:tc>
        <w:tc>
          <w:tcPr>
            <w:tcW w:w="0" w:type="auto"/>
            <w:tcBorders>
              <w:top w:val="nil"/>
              <w:left w:val="nil"/>
              <w:bottom w:val="nil"/>
              <w:right w:val="nil"/>
            </w:tcBorders>
          </w:tcPr>
          <w:p w14:paraId="48DA340C" w14:textId="3D4104C2" w:rsidR="009F2FFE" w:rsidRPr="00306C2B" w:rsidRDefault="009F2FFE" w:rsidP="009F2FFE">
            <w:pPr>
              <w:widowControl w:val="0"/>
              <w:autoSpaceDE w:val="0"/>
              <w:autoSpaceDN w:val="0"/>
              <w:adjustRightInd w:val="0"/>
              <w:jc w:val="center"/>
              <w:rPr>
                <w:sz w:val="18"/>
                <w:szCs w:val="18"/>
              </w:rPr>
            </w:pPr>
            <w:r w:rsidRPr="00D97D01">
              <w:rPr>
                <w:sz w:val="18"/>
                <w:szCs w:val="18"/>
              </w:rPr>
              <w:t>(-5.32)</w:t>
            </w:r>
          </w:p>
        </w:tc>
        <w:tc>
          <w:tcPr>
            <w:tcW w:w="0" w:type="auto"/>
            <w:tcBorders>
              <w:top w:val="nil"/>
              <w:left w:val="nil"/>
              <w:bottom w:val="nil"/>
              <w:right w:val="nil"/>
            </w:tcBorders>
          </w:tcPr>
          <w:p w14:paraId="760B8061" w14:textId="4827C068" w:rsidR="009F2FFE" w:rsidRPr="00306C2B" w:rsidRDefault="009F2FFE" w:rsidP="009F2FFE">
            <w:pPr>
              <w:widowControl w:val="0"/>
              <w:autoSpaceDE w:val="0"/>
              <w:autoSpaceDN w:val="0"/>
              <w:adjustRightInd w:val="0"/>
              <w:jc w:val="center"/>
              <w:rPr>
                <w:sz w:val="18"/>
                <w:szCs w:val="18"/>
              </w:rPr>
            </w:pPr>
            <w:r w:rsidRPr="00D97D01">
              <w:rPr>
                <w:sz w:val="18"/>
                <w:szCs w:val="18"/>
              </w:rPr>
              <w:t>(-5.19)</w:t>
            </w:r>
          </w:p>
        </w:tc>
        <w:tc>
          <w:tcPr>
            <w:tcW w:w="0" w:type="auto"/>
            <w:tcBorders>
              <w:top w:val="nil"/>
              <w:left w:val="nil"/>
              <w:bottom w:val="nil"/>
              <w:right w:val="nil"/>
            </w:tcBorders>
          </w:tcPr>
          <w:p w14:paraId="32490924" w14:textId="6BC39CA0" w:rsidR="009F2FFE" w:rsidRPr="00306C2B" w:rsidRDefault="009F2FFE" w:rsidP="009F2FFE">
            <w:pPr>
              <w:widowControl w:val="0"/>
              <w:autoSpaceDE w:val="0"/>
              <w:autoSpaceDN w:val="0"/>
              <w:adjustRightInd w:val="0"/>
              <w:jc w:val="center"/>
              <w:rPr>
                <w:sz w:val="18"/>
                <w:szCs w:val="18"/>
              </w:rPr>
            </w:pPr>
            <w:r w:rsidRPr="00D97D01">
              <w:rPr>
                <w:sz w:val="18"/>
                <w:szCs w:val="18"/>
              </w:rPr>
              <w:t>(-5.33)</w:t>
            </w:r>
          </w:p>
        </w:tc>
        <w:tc>
          <w:tcPr>
            <w:tcW w:w="0" w:type="auto"/>
            <w:tcBorders>
              <w:top w:val="nil"/>
              <w:left w:val="nil"/>
              <w:bottom w:val="nil"/>
              <w:right w:val="nil"/>
            </w:tcBorders>
          </w:tcPr>
          <w:p w14:paraId="36F08651" w14:textId="5DB9699B" w:rsidR="009F2FFE" w:rsidRPr="00306C2B" w:rsidRDefault="009F2FFE" w:rsidP="009F2FFE">
            <w:pPr>
              <w:widowControl w:val="0"/>
              <w:autoSpaceDE w:val="0"/>
              <w:autoSpaceDN w:val="0"/>
              <w:adjustRightInd w:val="0"/>
              <w:jc w:val="center"/>
              <w:rPr>
                <w:sz w:val="18"/>
                <w:szCs w:val="18"/>
              </w:rPr>
            </w:pPr>
            <w:r w:rsidRPr="00D97D01">
              <w:rPr>
                <w:sz w:val="18"/>
                <w:szCs w:val="18"/>
              </w:rPr>
              <w:t>(-5.32)</w:t>
            </w:r>
          </w:p>
        </w:tc>
        <w:tc>
          <w:tcPr>
            <w:tcW w:w="0" w:type="auto"/>
            <w:tcBorders>
              <w:top w:val="nil"/>
              <w:left w:val="nil"/>
              <w:bottom w:val="nil"/>
              <w:right w:val="nil"/>
            </w:tcBorders>
          </w:tcPr>
          <w:p w14:paraId="445D9BE8" w14:textId="244C40D0" w:rsidR="009F2FFE" w:rsidRPr="00306C2B" w:rsidRDefault="009F2FFE" w:rsidP="009F2FFE">
            <w:pPr>
              <w:widowControl w:val="0"/>
              <w:autoSpaceDE w:val="0"/>
              <w:autoSpaceDN w:val="0"/>
              <w:adjustRightInd w:val="0"/>
              <w:jc w:val="center"/>
              <w:rPr>
                <w:sz w:val="18"/>
                <w:szCs w:val="18"/>
              </w:rPr>
            </w:pPr>
            <w:r w:rsidRPr="00D97D01">
              <w:rPr>
                <w:sz w:val="18"/>
                <w:szCs w:val="18"/>
              </w:rPr>
              <w:t>(-5.33)</w:t>
            </w:r>
          </w:p>
        </w:tc>
        <w:tc>
          <w:tcPr>
            <w:tcW w:w="0" w:type="auto"/>
            <w:tcBorders>
              <w:top w:val="nil"/>
              <w:left w:val="nil"/>
              <w:bottom w:val="nil"/>
              <w:right w:val="nil"/>
            </w:tcBorders>
          </w:tcPr>
          <w:p w14:paraId="5632DBE3" w14:textId="0A1C5E74" w:rsidR="009F2FFE" w:rsidRPr="00306C2B" w:rsidRDefault="009F2FFE" w:rsidP="009F2FFE">
            <w:pPr>
              <w:widowControl w:val="0"/>
              <w:autoSpaceDE w:val="0"/>
              <w:autoSpaceDN w:val="0"/>
              <w:adjustRightInd w:val="0"/>
              <w:jc w:val="center"/>
              <w:rPr>
                <w:sz w:val="18"/>
                <w:szCs w:val="18"/>
              </w:rPr>
            </w:pPr>
            <w:r w:rsidRPr="00D97D01">
              <w:rPr>
                <w:sz w:val="18"/>
                <w:szCs w:val="18"/>
              </w:rPr>
              <w:t>(-5.29)</w:t>
            </w:r>
          </w:p>
        </w:tc>
      </w:tr>
      <w:tr w:rsidR="009F2FFE" w:rsidRPr="00306C2B" w14:paraId="65502CAF" w14:textId="77777777" w:rsidTr="00830C24">
        <w:trPr>
          <w:jc w:val="center"/>
        </w:trPr>
        <w:tc>
          <w:tcPr>
            <w:tcW w:w="0" w:type="auto"/>
            <w:tcBorders>
              <w:top w:val="nil"/>
              <w:left w:val="nil"/>
              <w:bottom w:val="nil"/>
              <w:right w:val="nil"/>
            </w:tcBorders>
          </w:tcPr>
          <w:p w14:paraId="0EBE7A5D" w14:textId="77777777" w:rsidR="009F2FFE" w:rsidRPr="00306C2B" w:rsidRDefault="009F2FFE" w:rsidP="009F2FFE">
            <w:pPr>
              <w:widowControl w:val="0"/>
              <w:autoSpaceDE w:val="0"/>
              <w:autoSpaceDN w:val="0"/>
              <w:adjustRightInd w:val="0"/>
              <w:rPr>
                <w:sz w:val="18"/>
                <w:szCs w:val="18"/>
              </w:rPr>
            </w:pPr>
            <w:r w:rsidRPr="00306C2B">
              <w:rPr>
                <w:sz w:val="18"/>
                <w:szCs w:val="18"/>
              </w:rPr>
              <w:t xml:space="preserve">Size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3C6906A5"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2430BF03"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7D1C8C1C" w14:textId="6EE7990F" w:rsidR="009F2FFE" w:rsidRPr="00306C2B" w:rsidRDefault="009F2FFE" w:rsidP="009F2FFE">
            <w:pPr>
              <w:widowControl w:val="0"/>
              <w:autoSpaceDE w:val="0"/>
              <w:autoSpaceDN w:val="0"/>
              <w:adjustRightInd w:val="0"/>
              <w:jc w:val="center"/>
              <w:rPr>
                <w:sz w:val="18"/>
                <w:szCs w:val="18"/>
              </w:rPr>
            </w:pPr>
            <w:r w:rsidRPr="00D97D01">
              <w:rPr>
                <w:sz w:val="18"/>
                <w:szCs w:val="18"/>
              </w:rPr>
              <w:t>-0.129***</w:t>
            </w:r>
          </w:p>
        </w:tc>
        <w:tc>
          <w:tcPr>
            <w:tcW w:w="0" w:type="auto"/>
            <w:tcBorders>
              <w:top w:val="nil"/>
              <w:left w:val="nil"/>
              <w:bottom w:val="nil"/>
              <w:right w:val="nil"/>
            </w:tcBorders>
          </w:tcPr>
          <w:p w14:paraId="4B380CF3" w14:textId="6A881465" w:rsidR="009F2FFE" w:rsidRPr="00306C2B" w:rsidRDefault="009F2FFE" w:rsidP="009F2FFE">
            <w:pPr>
              <w:widowControl w:val="0"/>
              <w:autoSpaceDE w:val="0"/>
              <w:autoSpaceDN w:val="0"/>
              <w:adjustRightInd w:val="0"/>
              <w:jc w:val="center"/>
              <w:rPr>
                <w:sz w:val="18"/>
                <w:szCs w:val="18"/>
              </w:rPr>
            </w:pPr>
            <w:r w:rsidRPr="00D97D01">
              <w:rPr>
                <w:sz w:val="18"/>
                <w:szCs w:val="18"/>
              </w:rPr>
              <w:t>-0.129***</w:t>
            </w:r>
          </w:p>
        </w:tc>
        <w:tc>
          <w:tcPr>
            <w:tcW w:w="0" w:type="auto"/>
            <w:tcBorders>
              <w:top w:val="nil"/>
              <w:left w:val="nil"/>
              <w:bottom w:val="nil"/>
              <w:right w:val="nil"/>
            </w:tcBorders>
          </w:tcPr>
          <w:p w14:paraId="4055AD01" w14:textId="263DB153" w:rsidR="009F2FFE" w:rsidRPr="00306C2B" w:rsidRDefault="009F2FFE" w:rsidP="009F2FFE">
            <w:pPr>
              <w:widowControl w:val="0"/>
              <w:autoSpaceDE w:val="0"/>
              <w:autoSpaceDN w:val="0"/>
              <w:adjustRightInd w:val="0"/>
              <w:jc w:val="center"/>
              <w:rPr>
                <w:sz w:val="18"/>
                <w:szCs w:val="18"/>
              </w:rPr>
            </w:pPr>
            <w:r w:rsidRPr="00D97D01">
              <w:rPr>
                <w:sz w:val="18"/>
                <w:szCs w:val="18"/>
              </w:rPr>
              <w:t>-0.130***</w:t>
            </w:r>
          </w:p>
        </w:tc>
        <w:tc>
          <w:tcPr>
            <w:tcW w:w="0" w:type="auto"/>
            <w:tcBorders>
              <w:top w:val="nil"/>
              <w:left w:val="nil"/>
              <w:bottom w:val="nil"/>
              <w:right w:val="nil"/>
            </w:tcBorders>
          </w:tcPr>
          <w:p w14:paraId="31DADA54" w14:textId="550D8EAE" w:rsidR="009F2FFE" w:rsidRPr="00306C2B" w:rsidRDefault="009F2FFE" w:rsidP="009F2FFE">
            <w:pPr>
              <w:widowControl w:val="0"/>
              <w:autoSpaceDE w:val="0"/>
              <w:autoSpaceDN w:val="0"/>
              <w:adjustRightInd w:val="0"/>
              <w:jc w:val="center"/>
              <w:rPr>
                <w:sz w:val="18"/>
                <w:szCs w:val="18"/>
              </w:rPr>
            </w:pPr>
            <w:r w:rsidRPr="00D97D01">
              <w:rPr>
                <w:sz w:val="18"/>
                <w:szCs w:val="18"/>
              </w:rPr>
              <w:t>-0.129***</w:t>
            </w:r>
          </w:p>
        </w:tc>
        <w:tc>
          <w:tcPr>
            <w:tcW w:w="0" w:type="auto"/>
            <w:tcBorders>
              <w:top w:val="nil"/>
              <w:left w:val="nil"/>
              <w:bottom w:val="nil"/>
              <w:right w:val="nil"/>
            </w:tcBorders>
          </w:tcPr>
          <w:p w14:paraId="33F68FA0" w14:textId="7B2D47AB" w:rsidR="009F2FFE" w:rsidRPr="00306C2B" w:rsidRDefault="009F2FFE" w:rsidP="009F2FFE">
            <w:pPr>
              <w:widowControl w:val="0"/>
              <w:autoSpaceDE w:val="0"/>
              <w:autoSpaceDN w:val="0"/>
              <w:adjustRightInd w:val="0"/>
              <w:jc w:val="center"/>
              <w:rPr>
                <w:sz w:val="18"/>
                <w:szCs w:val="18"/>
              </w:rPr>
            </w:pPr>
            <w:r w:rsidRPr="00D97D01">
              <w:rPr>
                <w:sz w:val="18"/>
                <w:szCs w:val="18"/>
              </w:rPr>
              <w:t>-0.130***</w:t>
            </w:r>
          </w:p>
        </w:tc>
        <w:tc>
          <w:tcPr>
            <w:tcW w:w="0" w:type="auto"/>
            <w:tcBorders>
              <w:top w:val="nil"/>
              <w:left w:val="nil"/>
              <w:bottom w:val="nil"/>
              <w:right w:val="nil"/>
            </w:tcBorders>
          </w:tcPr>
          <w:p w14:paraId="14F0AF11" w14:textId="4FE7ABC3" w:rsidR="009F2FFE" w:rsidRPr="00306C2B" w:rsidRDefault="009F2FFE" w:rsidP="009F2FFE">
            <w:pPr>
              <w:widowControl w:val="0"/>
              <w:autoSpaceDE w:val="0"/>
              <w:autoSpaceDN w:val="0"/>
              <w:adjustRightInd w:val="0"/>
              <w:jc w:val="center"/>
              <w:rPr>
                <w:sz w:val="18"/>
                <w:szCs w:val="18"/>
              </w:rPr>
            </w:pPr>
            <w:r w:rsidRPr="00D97D01">
              <w:rPr>
                <w:sz w:val="18"/>
                <w:szCs w:val="18"/>
              </w:rPr>
              <w:t>-0.130***</w:t>
            </w:r>
          </w:p>
        </w:tc>
        <w:tc>
          <w:tcPr>
            <w:tcW w:w="0" w:type="auto"/>
            <w:tcBorders>
              <w:top w:val="nil"/>
              <w:left w:val="nil"/>
              <w:bottom w:val="nil"/>
              <w:right w:val="nil"/>
            </w:tcBorders>
          </w:tcPr>
          <w:p w14:paraId="7078CCA8" w14:textId="145C4515" w:rsidR="009F2FFE" w:rsidRPr="00306C2B" w:rsidRDefault="009F2FFE" w:rsidP="009F2FFE">
            <w:pPr>
              <w:widowControl w:val="0"/>
              <w:autoSpaceDE w:val="0"/>
              <w:autoSpaceDN w:val="0"/>
              <w:adjustRightInd w:val="0"/>
              <w:jc w:val="center"/>
              <w:rPr>
                <w:sz w:val="18"/>
                <w:szCs w:val="18"/>
              </w:rPr>
            </w:pPr>
            <w:r w:rsidRPr="00D97D01">
              <w:rPr>
                <w:sz w:val="18"/>
                <w:szCs w:val="18"/>
              </w:rPr>
              <w:t>-0.129***</w:t>
            </w:r>
          </w:p>
        </w:tc>
      </w:tr>
      <w:tr w:rsidR="009F2FFE" w:rsidRPr="00306C2B" w14:paraId="0E9317D8" w14:textId="77777777" w:rsidTr="00830C24">
        <w:trPr>
          <w:jc w:val="center"/>
        </w:trPr>
        <w:tc>
          <w:tcPr>
            <w:tcW w:w="0" w:type="auto"/>
            <w:tcBorders>
              <w:top w:val="nil"/>
              <w:left w:val="nil"/>
              <w:bottom w:val="nil"/>
              <w:right w:val="nil"/>
            </w:tcBorders>
          </w:tcPr>
          <w:p w14:paraId="4FCF25E4" w14:textId="77777777" w:rsidR="009F2FFE" w:rsidRPr="00306C2B" w:rsidRDefault="009F2FFE" w:rsidP="009F2FFE">
            <w:pPr>
              <w:widowControl w:val="0"/>
              <w:autoSpaceDE w:val="0"/>
              <w:autoSpaceDN w:val="0"/>
              <w:adjustRightInd w:val="0"/>
              <w:rPr>
                <w:sz w:val="18"/>
                <w:szCs w:val="18"/>
              </w:rPr>
            </w:pPr>
          </w:p>
        </w:tc>
        <w:tc>
          <w:tcPr>
            <w:tcW w:w="0" w:type="auto"/>
            <w:tcBorders>
              <w:top w:val="nil"/>
              <w:left w:val="nil"/>
              <w:bottom w:val="nil"/>
              <w:right w:val="nil"/>
            </w:tcBorders>
          </w:tcPr>
          <w:p w14:paraId="58ED8061"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2A63004D"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330F5580" w14:textId="62742812" w:rsidR="009F2FFE" w:rsidRPr="00306C2B" w:rsidRDefault="009F2FFE" w:rsidP="009F2FFE">
            <w:pPr>
              <w:widowControl w:val="0"/>
              <w:autoSpaceDE w:val="0"/>
              <w:autoSpaceDN w:val="0"/>
              <w:adjustRightInd w:val="0"/>
              <w:jc w:val="center"/>
              <w:rPr>
                <w:sz w:val="18"/>
                <w:szCs w:val="18"/>
              </w:rPr>
            </w:pPr>
            <w:r w:rsidRPr="00D97D01">
              <w:rPr>
                <w:sz w:val="18"/>
                <w:szCs w:val="18"/>
              </w:rPr>
              <w:t>(-9.75)</w:t>
            </w:r>
          </w:p>
        </w:tc>
        <w:tc>
          <w:tcPr>
            <w:tcW w:w="0" w:type="auto"/>
            <w:tcBorders>
              <w:top w:val="nil"/>
              <w:left w:val="nil"/>
              <w:bottom w:val="nil"/>
              <w:right w:val="nil"/>
            </w:tcBorders>
          </w:tcPr>
          <w:p w14:paraId="6E4FECEF" w14:textId="28669AD4" w:rsidR="009F2FFE" w:rsidRPr="00306C2B" w:rsidRDefault="009F2FFE" w:rsidP="009F2FFE">
            <w:pPr>
              <w:widowControl w:val="0"/>
              <w:autoSpaceDE w:val="0"/>
              <w:autoSpaceDN w:val="0"/>
              <w:adjustRightInd w:val="0"/>
              <w:jc w:val="center"/>
              <w:rPr>
                <w:sz w:val="18"/>
                <w:szCs w:val="18"/>
              </w:rPr>
            </w:pPr>
            <w:r w:rsidRPr="00D97D01">
              <w:rPr>
                <w:sz w:val="18"/>
                <w:szCs w:val="18"/>
              </w:rPr>
              <w:t>(-9.72)</w:t>
            </w:r>
          </w:p>
        </w:tc>
        <w:tc>
          <w:tcPr>
            <w:tcW w:w="0" w:type="auto"/>
            <w:tcBorders>
              <w:top w:val="nil"/>
              <w:left w:val="nil"/>
              <w:bottom w:val="nil"/>
              <w:right w:val="nil"/>
            </w:tcBorders>
          </w:tcPr>
          <w:p w14:paraId="0B417A13" w14:textId="7831D210" w:rsidR="009F2FFE" w:rsidRPr="00306C2B" w:rsidRDefault="009F2FFE" w:rsidP="009F2FFE">
            <w:pPr>
              <w:widowControl w:val="0"/>
              <w:autoSpaceDE w:val="0"/>
              <w:autoSpaceDN w:val="0"/>
              <w:adjustRightInd w:val="0"/>
              <w:jc w:val="center"/>
              <w:rPr>
                <w:sz w:val="18"/>
                <w:szCs w:val="18"/>
              </w:rPr>
            </w:pPr>
            <w:r w:rsidRPr="00D97D01">
              <w:rPr>
                <w:sz w:val="18"/>
                <w:szCs w:val="18"/>
              </w:rPr>
              <w:t>(-9.73)</w:t>
            </w:r>
          </w:p>
        </w:tc>
        <w:tc>
          <w:tcPr>
            <w:tcW w:w="0" w:type="auto"/>
            <w:tcBorders>
              <w:top w:val="nil"/>
              <w:left w:val="nil"/>
              <w:bottom w:val="nil"/>
              <w:right w:val="nil"/>
            </w:tcBorders>
          </w:tcPr>
          <w:p w14:paraId="69F4D815" w14:textId="0E1110C9" w:rsidR="009F2FFE" w:rsidRPr="00306C2B" w:rsidRDefault="009F2FFE" w:rsidP="009F2FFE">
            <w:pPr>
              <w:widowControl w:val="0"/>
              <w:autoSpaceDE w:val="0"/>
              <w:autoSpaceDN w:val="0"/>
              <w:adjustRightInd w:val="0"/>
              <w:jc w:val="center"/>
              <w:rPr>
                <w:sz w:val="18"/>
                <w:szCs w:val="18"/>
              </w:rPr>
            </w:pPr>
            <w:r w:rsidRPr="00D97D01">
              <w:rPr>
                <w:sz w:val="18"/>
                <w:szCs w:val="18"/>
              </w:rPr>
              <w:t>(-9.77)</w:t>
            </w:r>
          </w:p>
        </w:tc>
        <w:tc>
          <w:tcPr>
            <w:tcW w:w="0" w:type="auto"/>
            <w:tcBorders>
              <w:top w:val="nil"/>
              <w:left w:val="nil"/>
              <w:bottom w:val="nil"/>
              <w:right w:val="nil"/>
            </w:tcBorders>
          </w:tcPr>
          <w:p w14:paraId="71128BC5" w14:textId="67A2A43B" w:rsidR="009F2FFE" w:rsidRPr="00306C2B" w:rsidRDefault="009F2FFE" w:rsidP="009F2FFE">
            <w:pPr>
              <w:widowControl w:val="0"/>
              <w:autoSpaceDE w:val="0"/>
              <w:autoSpaceDN w:val="0"/>
              <w:adjustRightInd w:val="0"/>
              <w:jc w:val="center"/>
              <w:rPr>
                <w:sz w:val="18"/>
                <w:szCs w:val="18"/>
              </w:rPr>
            </w:pPr>
            <w:r w:rsidRPr="00D97D01">
              <w:rPr>
                <w:sz w:val="18"/>
                <w:szCs w:val="18"/>
              </w:rPr>
              <w:t>(-9.77)</w:t>
            </w:r>
          </w:p>
        </w:tc>
        <w:tc>
          <w:tcPr>
            <w:tcW w:w="0" w:type="auto"/>
            <w:tcBorders>
              <w:top w:val="nil"/>
              <w:left w:val="nil"/>
              <w:bottom w:val="nil"/>
              <w:right w:val="nil"/>
            </w:tcBorders>
          </w:tcPr>
          <w:p w14:paraId="6F890537" w14:textId="7BA5D653" w:rsidR="009F2FFE" w:rsidRPr="00306C2B" w:rsidRDefault="009F2FFE" w:rsidP="009F2FFE">
            <w:pPr>
              <w:widowControl w:val="0"/>
              <w:autoSpaceDE w:val="0"/>
              <w:autoSpaceDN w:val="0"/>
              <w:adjustRightInd w:val="0"/>
              <w:jc w:val="center"/>
              <w:rPr>
                <w:sz w:val="18"/>
                <w:szCs w:val="18"/>
              </w:rPr>
            </w:pPr>
            <w:r w:rsidRPr="00D97D01">
              <w:rPr>
                <w:sz w:val="18"/>
                <w:szCs w:val="18"/>
              </w:rPr>
              <w:t>(-9.77)</w:t>
            </w:r>
          </w:p>
        </w:tc>
        <w:tc>
          <w:tcPr>
            <w:tcW w:w="0" w:type="auto"/>
            <w:tcBorders>
              <w:top w:val="nil"/>
              <w:left w:val="nil"/>
              <w:bottom w:val="nil"/>
              <w:right w:val="nil"/>
            </w:tcBorders>
          </w:tcPr>
          <w:p w14:paraId="769A0A89" w14:textId="69D77775" w:rsidR="009F2FFE" w:rsidRPr="00306C2B" w:rsidRDefault="009F2FFE" w:rsidP="009F2FFE">
            <w:pPr>
              <w:widowControl w:val="0"/>
              <w:autoSpaceDE w:val="0"/>
              <w:autoSpaceDN w:val="0"/>
              <w:adjustRightInd w:val="0"/>
              <w:jc w:val="center"/>
              <w:rPr>
                <w:sz w:val="18"/>
                <w:szCs w:val="18"/>
              </w:rPr>
            </w:pPr>
            <w:r w:rsidRPr="00D97D01">
              <w:rPr>
                <w:sz w:val="18"/>
                <w:szCs w:val="18"/>
              </w:rPr>
              <w:t>(-9.71)</w:t>
            </w:r>
          </w:p>
        </w:tc>
      </w:tr>
      <w:tr w:rsidR="009F2FFE" w:rsidRPr="00306C2B" w14:paraId="171FC992" w14:textId="77777777" w:rsidTr="00830C24">
        <w:trPr>
          <w:jc w:val="center"/>
        </w:trPr>
        <w:tc>
          <w:tcPr>
            <w:tcW w:w="0" w:type="auto"/>
            <w:tcBorders>
              <w:top w:val="nil"/>
              <w:left w:val="nil"/>
              <w:bottom w:val="nil"/>
              <w:right w:val="nil"/>
            </w:tcBorders>
          </w:tcPr>
          <w:p w14:paraId="3C066680" w14:textId="77777777" w:rsidR="009F2FFE" w:rsidRPr="00306C2B" w:rsidRDefault="009F2FFE" w:rsidP="009F2FFE">
            <w:pPr>
              <w:widowControl w:val="0"/>
              <w:autoSpaceDE w:val="0"/>
              <w:autoSpaceDN w:val="0"/>
              <w:adjustRightInd w:val="0"/>
              <w:rPr>
                <w:sz w:val="18"/>
                <w:szCs w:val="18"/>
              </w:rPr>
            </w:pPr>
            <w:r w:rsidRPr="00306C2B">
              <w:rPr>
                <w:sz w:val="18"/>
                <w:szCs w:val="18"/>
              </w:rPr>
              <w:t xml:space="preserve">Tobin’s Q </w:t>
            </w:r>
            <m:oMath>
              <m:r>
                <w:rPr>
                  <w:rFonts w:ascii="Cambria Math" w:eastAsiaTheme="minorHAnsi" w:hAnsi="Cambria Math"/>
                  <w:sz w:val="18"/>
                  <w:szCs w:val="18"/>
                  <w:lang w:eastAsia="en-US"/>
                </w:rPr>
                <m:t>i, t-1</m:t>
              </m:r>
            </m:oMath>
            <w:r w:rsidRPr="00306C2B">
              <w:rPr>
                <w:sz w:val="18"/>
                <w:szCs w:val="18"/>
                <w:lang w:eastAsia="en-US"/>
              </w:rPr>
              <w:t xml:space="preserve"> </w:t>
            </w:r>
          </w:p>
        </w:tc>
        <w:tc>
          <w:tcPr>
            <w:tcW w:w="0" w:type="auto"/>
            <w:tcBorders>
              <w:top w:val="nil"/>
              <w:left w:val="nil"/>
              <w:bottom w:val="nil"/>
              <w:right w:val="nil"/>
            </w:tcBorders>
          </w:tcPr>
          <w:p w14:paraId="5C971CB5"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2C352E49"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0F3D7AE4" w14:textId="735CE996" w:rsidR="009F2FFE" w:rsidRPr="00306C2B" w:rsidRDefault="009F2FFE" w:rsidP="009F2FFE">
            <w:pPr>
              <w:widowControl w:val="0"/>
              <w:autoSpaceDE w:val="0"/>
              <w:autoSpaceDN w:val="0"/>
              <w:adjustRightInd w:val="0"/>
              <w:jc w:val="center"/>
              <w:rPr>
                <w:sz w:val="18"/>
                <w:szCs w:val="18"/>
              </w:rPr>
            </w:pPr>
            <w:r w:rsidRPr="00D97D01">
              <w:rPr>
                <w:sz w:val="18"/>
                <w:szCs w:val="18"/>
              </w:rPr>
              <w:t>0.007***</w:t>
            </w:r>
          </w:p>
        </w:tc>
        <w:tc>
          <w:tcPr>
            <w:tcW w:w="0" w:type="auto"/>
            <w:tcBorders>
              <w:top w:val="nil"/>
              <w:left w:val="nil"/>
              <w:bottom w:val="nil"/>
              <w:right w:val="nil"/>
            </w:tcBorders>
          </w:tcPr>
          <w:p w14:paraId="44A04489" w14:textId="3DDCA450" w:rsidR="009F2FFE" w:rsidRPr="00306C2B" w:rsidRDefault="009F2FFE" w:rsidP="009F2FFE">
            <w:pPr>
              <w:widowControl w:val="0"/>
              <w:autoSpaceDE w:val="0"/>
              <w:autoSpaceDN w:val="0"/>
              <w:adjustRightInd w:val="0"/>
              <w:jc w:val="center"/>
              <w:rPr>
                <w:sz w:val="18"/>
                <w:szCs w:val="18"/>
              </w:rPr>
            </w:pPr>
            <w:r w:rsidRPr="00D97D01">
              <w:rPr>
                <w:sz w:val="18"/>
                <w:szCs w:val="18"/>
              </w:rPr>
              <w:t>0.007***</w:t>
            </w:r>
          </w:p>
        </w:tc>
        <w:tc>
          <w:tcPr>
            <w:tcW w:w="0" w:type="auto"/>
            <w:tcBorders>
              <w:top w:val="nil"/>
              <w:left w:val="nil"/>
              <w:bottom w:val="nil"/>
              <w:right w:val="nil"/>
            </w:tcBorders>
          </w:tcPr>
          <w:p w14:paraId="53720F17" w14:textId="732DB569" w:rsidR="009F2FFE" w:rsidRPr="00306C2B" w:rsidRDefault="009F2FFE" w:rsidP="009F2FFE">
            <w:pPr>
              <w:widowControl w:val="0"/>
              <w:autoSpaceDE w:val="0"/>
              <w:autoSpaceDN w:val="0"/>
              <w:adjustRightInd w:val="0"/>
              <w:jc w:val="center"/>
              <w:rPr>
                <w:sz w:val="18"/>
                <w:szCs w:val="18"/>
              </w:rPr>
            </w:pPr>
            <w:r w:rsidRPr="00D97D01">
              <w:rPr>
                <w:sz w:val="18"/>
                <w:szCs w:val="18"/>
              </w:rPr>
              <w:t>0.007***</w:t>
            </w:r>
          </w:p>
        </w:tc>
        <w:tc>
          <w:tcPr>
            <w:tcW w:w="0" w:type="auto"/>
            <w:tcBorders>
              <w:top w:val="nil"/>
              <w:left w:val="nil"/>
              <w:bottom w:val="nil"/>
              <w:right w:val="nil"/>
            </w:tcBorders>
          </w:tcPr>
          <w:p w14:paraId="59B9BE98" w14:textId="6F7E01F1" w:rsidR="009F2FFE" w:rsidRPr="00306C2B" w:rsidRDefault="009F2FFE" w:rsidP="009F2FFE">
            <w:pPr>
              <w:widowControl w:val="0"/>
              <w:autoSpaceDE w:val="0"/>
              <w:autoSpaceDN w:val="0"/>
              <w:adjustRightInd w:val="0"/>
              <w:jc w:val="center"/>
              <w:rPr>
                <w:sz w:val="18"/>
                <w:szCs w:val="18"/>
              </w:rPr>
            </w:pPr>
            <w:r w:rsidRPr="00D97D01">
              <w:rPr>
                <w:sz w:val="18"/>
                <w:szCs w:val="18"/>
              </w:rPr>
              <w:t>0.007***</w:t>
            </w:r>
          </w:p>
        </w:tc>
        <w:tc>
          <w:tcPr>
            <w:tcW w:w="0" w:type="auto"/>
            <w:tcBorders>
              <w:top w:val="nil"/>
              <w:left w:val="nil"/>
              <w:bottom w:val="nil"/>
              <w:right w:val="nil"/>
            </w:tcBorders>
          </w:tcPr>
          <w:p w14:paraId="45D1B3DF" w14:textId="16542BEE" w:rsidR="009F2FFE" w:rsidRPr="00306C2B" w:rsidRDefault="009F2FFE" w:rsidP="009F2FFE">
            <w:pPr>
              <w:widowControl w:val="0"/>
              <w:autoSpaceDE w:val="0"/>
              <w:autoSpaceDN w:val="0"/>
              <w:adjustRightInd w:val="0"/>
              <w:jc w:val="center"/>
              <w:rPr>
                <w:sz w:val="18"/>
                <w:szCs w:val="18"/>
              </w:rPr>
            </w:pPr>
            <w:r w:rsidRPr="00D97D01">
              <w:rPr>
                <w:sz w:val="18"/>
                <w:szCs w:val="18"/>
              </w:rPr>
              <w:t>0.007***</w:t>
            </w:r>
          </w:p>
        </w:tc>
        <w:tc>
          <w:tcPr>
            <w:tcW w:w="0" w:type="auto"/>
            <w:tcBorders>
              <w:top w:val="nil"/>
              <w:left w:val="nil"/>
              <w:bottom w:val="nil"/>
              <w:right w:val="nil"/>
            </w:tcBorders>
          </w:tcPr>
          <w:p w14:paraId="18EE4602" w14:textId="6A84F36F" w:rsidR="009F2FFE" w:rsidRPr="00306C2B" w:rsidRDefault="009F2FFE" w:rsidP="009F2FFE">
            <w:pPr>
              <w:widowControl w:val="0"/>
              <w:autoSpaceDE w:val="0"/>
              <w:autoSpaceDN w:val="0"/>
              <w:adjustRightInd w:val="0"/>
              <w:jc w:val="center"/>
              <w:rPr>
                <w:sz w:val="18"/>
                <w:szCs w:val="18"/>
              </w:rPr>
            </w:pPr>
            <w:r w:rsidRPr="00D97D01">
              <w:rPr>
                <w:sz w:val="18"/>
                <w:szCs w:val="18"/>
              </w:rPr>
              <w:t>0.007***</w:t>
            </w:r>
          </w:p>
        </w:tc>
        <w:tc>
          <w:tcPr>
            <w:tcW w:w="0" w:type="auto"/>
            <w:tcBorders>
              <w:top w:val="nil"/>
              <w:left w:val="nil"/>
              <w:bottom w:val="nil"/>
              <w:right w:val="nil"/>
            </w:tcBorders>
          </w:tcPr>
          <w:p w14:paraId="080085F5" w14:textId="709E1E84" w:rsidR="009F2FFE" w:rsidRPr="00306C2B" w:rsidRDefault="009F2FFE" w:rsidP="009F2FFE">
            <w:pPr>
              <w:widowControl w:val="0"/>
              <w:autoSpaceDE w:val="0"/>
              <w:autoSpaceDN w:val="0"/>
              <w:adjustRightInd w:val="0"/>
              <w:jc w:val="center"/>
              <w:rPr>
                <w:sz w:val="18"/>
                <w:szCs w:val="18"/>
              </w:rPr>
            </w:pPr>
            <w:r w:rsidRPr="00D97D01">
              <w:rPr>
                <w:sz w:val="18"/>
                <w:szCs w:val="18"/>
              </w:rPr>
              <w:t>0.007***</w:t>
            </w:r>
          </w:p>
        </w:tc>
      </w:tr>
      <w:tr w:rsidR="009F2FFE" w:rsidRPr="00306C2B" w14:paraId="468014C6" w14:textId="77777777" w:rsidTr="00830C24">
        <w:trPr>
          <w:jc w:val="center"/>
        </w:trPr>
        <w:tc>
          <w:tcPr>
            <w:tcW w:w="0" w:type="auto"/>
            <w:tcBorders>
              <w:top w:val="nil"/>
              <w:left w:val="nil"/>
              <w:bottom w:val="nil"/>
              <w:right w:val="nil"/>
            </w:tcBorders>
          </w:tcPr>
          <w:p w14:paraId="3984970B" w14:textId="77777777" w:rsidR="009F2FFE" w:rsidRPr="00306C2B" w:rsidRDefault="009F2FFE" w:rsidP="009F2FFE">
            <w:pPr>
              <w:widowControl w:val="0"/>
              <w:autoSpaceDE w:val="0"/>
              <w:autoSpaceDN w:val="0"/>
              <w:adjustRightInd w:val="0"/>
              <w:rPr>
                <w:sz w:val="18"/>
                <w:szCs w:val="18"/>
              </w:rPr>
            </w:pPr>
          </w:p>
        </w:tc>
        <w:tc>
          <w:tcPr>
            <w:tcW w:w="0" w:type="auto"/>
            <w:tcBorders>
              <w:top w:val="nil"/>
              <w:left w:val="nil"/>
              <w:bottom w:val="nil"/>
              <w:right w:val="nil"/>
            </w:tcBorders>
          </w:tcPr>
          <w:p w14:paraId="2EA352E5"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4AAFE31F"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58A9047C" w14:textId="5BCC3F50" w:rsidR="009F2FFE" w:rsidRPr="00306C2B" w:rsidRDefault="009F2FFE" w:rsidP="009F2FFE">
            <w:pPr>
              <w:widowControl w:val="0"/>
              <w:autoSpaceDE w:val="0"/>
              <w:autoSpaceDN w:val="0"/>
              <w:adjustRightInd w:val="0"/>
              <w:jc w:val="center"/>
              <w:rPr>
                <w:sz w:val="18"/>
                <w:szCs w:val="18"/>
              </w:rPr>
            </w:pPr>
            <w:r w:rsidRPr="00D97D01">
              <w:rPr>
                <w:sz w:val="18"/>
                <w:szCs w:val="18"/>
              </w:rPr>
              <w:t>(6.31)</w:t>
            </w:r>
          </w:p>
        </w:tc>
        <w:tc>
          <w:tcPr>
            <w:tcW w:w="0" w:type="auto"/>
            <w:tcBorders>
              <w:top w:val="nil"/>
              <w:left w:val="nil"/>
              <w:bottom w:val="nil"/>
              <w:right w:val="nil"/>
            </w:tcBorders>
          </w:tcPr>
          <w:p w14:paraId="671DFC49" w14:textId="02581EE7" w:rsidR="009F2FFE" w:rsidRPr="00306C2B" w:rsidRDefault="009F2FFE" w:rsidP="009F2FFE">
            <w:pPr>
              <w:widowControl w:val="0"/>
              <w:autoSpaceDE w:val="0"/>
              <w:autoSpaceDN w:val="0"/>
              <w:adjustRightInd w:val="0"/>
              <w:jc w:val="center"/>
              <w:rPr>
                <w:sz w:val="18"/>
                <w:szCs w:val="18"/>
              </w:rPr>
            </w:pPr>
            <w:r w:rsidRPr="00D97D01">
              <w:rPr>
                <w:sz w:val="18"/>
                <w:szCs w:val="18"/>
              </w:rPr>
              <w:t>(6.29)</w:t>
            </w:r>
          </w:p>
        </w:tc>
        <w:tc>
          <w:tcPr>
            <w:tcW w:w="0" w:type="auto"/>
            <w:tcBorders>
              <w:top w:val="nil"/>
              <w:left w:val="nil"/>
              <w:bottom w:val="nil"/>
              <w:right w:val="nil"/>
            </w:tcBorders>
          </w:tcPr>
          <w:p w14:paraId="0464644D" w14:textId="4A291E09" w:rsidR="009F2FFE" w:rsidRPr="00306C2B" w:rsidRDefault="009F2FFE" w:rsidP="009F2FFE">
            <w:pPr>
              <w:widowControl w:val="0"/>
              <w:autoSpaceDE w:val="0"/>
              <w:autoSpaceDN w:val="0"/>
              <w:adjustRightInd w:val="0"/>
              <w:jc w:val="center"/>
              <w:rPr>
                <w:sz w:val="18"/>
                <w:szCs w:val="18"/>
              </w:rPr>
            </w:pPr>
            <w:r w:rsidRPr="00D97D01">
              <w:rPr>
                <w:sz w:val="18"/>
                <w:szCs w:val="18"/>
              </w:rPr>
              <w:t>(6.35)</w:t>
            </w:r>
          </w:p>
        </w:tc>
        <w:tc>
          <w:tcPr>
            <w:tcW w:w="0" w:type="auto"/>
            <w:tcBorders>
              <w:top w:val="nil"/>
              <w:left w:val="nil"/>
              <w:bottom w:val="nil"/>
              <w:right w:val="nil"/>
            </w:tcBorders>
          </w:tcPr>
          <w:p w14:paraId="1A68810B" w14:textId="03565008" w:rsidR="009F2FFE" w:rsidRPr="00306C2B" w:rsidRDefault="009F2FFE" w:rsidP="009F2FFE">
            <w:pPr>
              <w:widowControl w:val="0"/>
              <w:autoSpaceDE w:val="0"/>
              <w:autoSpaceDN w:val="0"/>
              <w:adjustRightInd w:val="0"/>
              <w:jc w:val="center"/>
              <w:rPr>
                <w:sz w:val="18"/>
                <w:szCs w:val="18"/>
              </w:rPr>
            </w:pPr>
            <w:r w:rsidRPr="00D97D01">
              <w:rPr>
                <w:sz w:val="18"/>
                <w:szCs w:val="18"/>
              </w:rPr>
              <w:t>(6.29)</w:t>
            </w:r>
          </w:p>
        </w:tc>
        <w:tc>
          <w:tcPr>
            <w:tcW w:w="0" w:type="auto"/>
            <w:tcBorders>
              <w:top w:val="nil"/>
              <w:left w:val="nil"/>
              <w:bottom w:val="nil"/>
              <w:right w:val="nil"/>
            </w:tcBorders>
          </w:tcPr>
          <w:p w14:paraId="362B36C6" w14:textId="08D8AB7E" w:rsidR="009F2FFE" w:rsidRPr="00306C2B" w:rsidRDefault="009F2FFE" w:rsidP="009F2FFE">
            <w:pPr>
              <w:widowControl w:val="0"/>
              <w:autoSpaceDE w:val="0"/>
              <w:autoSpaceDN w:val="0"/>
              <w:adjustRightInd w:val="0"/>
              <w:jc w:val="center"/>
              <w:rPr>
                <w:sz w:val="18"/>
                <w:szCs w:val="18"/>
              </w:rPr>
            </w:pPr>
            <w:r w:rsidRPr="00D97D01">
              <w:rPr>
                <w:sz w:val="18"/>
                <w:szCs w:val="18"/>
              </w:rPr>
              <w:t>(6.29)</w:t>
            </w:r>
          </w:p>
        </w:tc>
        <w:tc>
          <w:tcPr>
            <w:tcW w:w="0" w:type="auto"/>
            <w:tcBorders>
              <w:top w:val="nil"/>
              <w:left w:val="nil"/>
              <w:bottom w:val="nil"/>
              <w:right w:val="nil"/>
            </w:tcBorders>
          </w:tcPr>
          <w:p w14:paraId="32E1111D" w14:textId="20788A8A" w:rsidR="009F2FFE" w:rsidRPr="00306C2B" w:rsidRDefault="009F2FFE" w:rsidP="009F2FFE">
            <w:pPr>
              <w:widowControl w:val="0"/>
              <w:autoSpaceDE w:val="0"/>
              <w:autoSpaceDN w:val="0"/>
              <w:adjustRightInd w:val="0"/>
              <w:jc w:val="center"/>
              <w:rPr>
                <w:sz w:val="18"/>
                <w:szCs w:val="18"/>
              </w:rPr>
            </w:pPr>
            <w:r w:rsidRPr="00D97D01">
              <w:rPr>
                <w:sz w:val="18"/>
                <w:szCs w:val="18"/>
              </w:rPr>
              <w:t>(6.29)</w:t>
            </w:r>
          </w:p>
        </w:tc>
        <w:tc>
          <w:tcPr>
            <w:tcW w:w="0" w:type="auto"/>
            <w:tcBorders>
              <w:top w:val="nil"/>
              <w:left w:val="nil"/>
              <w:bottom w:val="nil"/>
              <w:right w:val="nil"/>
            </w:tcBorders>
          </w:tcPr>
          <w:p w14:paraId="7F5A4E70" w14:textId="6094E249" w:rsidR="009F2FFE" w:rsidRPr="00306C2B" w:rsidRDefault="009F2FFE" w:rsidP="009F2FFE">
            <w:pPr>
              <w:widowControl w:val="0"/>
              <w:autoSpaceDE w:val="0"/>
              <w:autoSpaceDN w:val="0"/>
              <w:adjustRightInd w:val="0"/>
              <w:jc w:val="center"/>
              <w:rPr>
                <w:sz w:val="18"/>
                <w:szCs w:val="18"/>
              </w:rPr>
            </w:pPr>
            <w:r w:rsidRPr="00D97D01">
              <w:rPr>
                <w:sz w:val="18"/>
                <w:szCs w:val="18"/>
              </w:rPr>
              <w:t>(6.29)</w:t>
            </w:r>
          </w:p>
        </w:tc>
      </w:tr>
      <w:tr w:rsidR="009F2FFE" w:rsidRPr="00306C2B" w14:paraId="5C5FBF06" w14:textId="77777777" w:rsidTr="00830C24">
        <w:trPr>
          <w:jc w:val="center"/>
        </w:trPr>
        <w:tc>
          <w:tcPr>
            <w:tcW w:w="0" w:type="auto"/>
            <w:tcBorders>
              <w:top w:val="nil"/>
              <w:left w:val="nil"/>
              <w:bottom w:val="nil"/>
              <w:right w:val="nil"/>
            </w:tcBorders>
          </w:tcPr>
          <w:p w14:paraId="3AA9D3F6" w14:textId="77777777" w:rsidR="009F2FFE" w:rsidRPr="00306C2B" w:rsidRDefault="009F2FFE" w:rsidP="009F2FFE">
            <w:pPr>
              <w:widowControl w:val="0"/>
              <w:autoSpaceDE w:val="0"/>
              <w:autoSpaceDN w:val="0"/>
              <w:adjustRightInd w:val="0"/>
              <w:rPr>
                <w:sz w:val="18"/>
                <w:szCs w:val="18"/>
              </w:rPr>
            </w:pPr>
            <w:r w:rsidRPr="00306C2B">
              <w:rPr>
                <w:sz w:val="18"/>
                <w:szCs w:val="18"/>
              </w:rPr>
              <w:t>Constant</w:t>
            </w:r>
          </w:p>
        </w:tc>
        <w:tc>
          <w:tcPr>
            <w:tcW w:w="0" w:type="auto"/>
            <w:tcBorders>
              <w:top w:val="nil"/>
              <w:left w:val="nil"/>
              <w:bottom w:val="nil"/>
              <w:right w:val="nil"/>
            </w:tcBorders>
          </w:tcPr>
          <w:p w14:paraId="20354AA7"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377DAAAE"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6B09B006" w14:textId="5B9F4AE2" w:rsidR="009F2FFE" w:rsidRPr="00306C2B" w:rsidRDefault="009F2FFE" w:rsidP="009F2FFE">
            <w:pPr>
              <w:widowControl w:val="0"/>
              <w:autoSpaceDE w:val="0"/>
              <w:autoSpaceDN w:val="0"/>
              <w:adjustRightInd w:val="0"/>
              <w:jc w:val="center"/>
              <w:rPr>
                <w:sz w:val="18"/>
                <w:szCs w:val="18"/>
              </w:rPr>
            </w:pPr>
            <w:r w:rsidRPr="00D97D01">
              <w:rPr>
                <w:sz w:val="18"/>
                <w:szCs w:val="18"/>
              </w:rPr>
              <w:t>1.103***</w:t>
            </w:r>
          </w:p>
        </w:tc>
        <w:tc>
          <w:tcPr>
            <w:tcW w:w="0" w:type="auto"/>
            <w:tcBorders>
              <w:top w:val="nil"/>
              <w:left w:val="nil"/>
              <w:bottom w:val="nil"/>
              <w:right w:val="nil"/>
            </w:tcBorders>
          </w:tcPr>
          <w:p w14:paraId="6DB2B5B6" w14:textId="29824A2C" w:rsidR="009F2FFE" w:rsidRPr="00306C2B" w:rsidRDefault="009F2FFE" w:rsidP="009F2FFE">
            <w:pPr>
              <w:widowControl w:val="0"/>
              <w:autoSpaceDE w:val="0"/>
              <w:autoSpaceDN w:val="0"/>
              <w:adjustRightInd w:val="0"/>
              <w:jc w:val="center"/>
              <w:rPr>
                <w:sz w:val="18"/>
                <w:szCs w:val="18"/>
              </w:rPr>
            </w:pPr>
            <w:r w:rsidRPr="00D97D01">
              <w:rPr>
                <w:sz w:val="18"/>
                <w:szCs w:val="18"/>
              </w:rPr>
              <w:t>1.101***</w:t>
            </w:r>
          </w:p>
        </w:tc>
        <w:tc>
          <w:tcPr>
            <w:tcW w:w="0" w:type="auto"/>
            <w:tcBorders>
              <w:top w:val="nil"/>
              <w:left w:val="nil"/>
              <w:bottom w:val="nil"/>
              <w:right w:val="nil"/>
            </w:tcBorders>
          </w:tcPr>
          <w:p w14:paraId="7BF1F7BB" w14:textId="51891BFB" w:rsidR="009F2FFE" w:rsidRPr="00306C2B" w:rsidRDefault="009F2FFE" w:rsidP="009F2FFE">
            <w:pPr>
              <w:widowControl w:val="0"/>
              <w:autoSpaceDE w:val="0"/>
              <w:autoSpaceDN w:val="0"/>
              <w:adjustRightInd w:val="0"/>
              <w:jc w:val="center"/>
              <w:rPr>
                <w:sz w:val="18"/>
                <w:szCs w:val="18"/>
              </w:rPr>
            </w:pPr>
            <w:r w:rsidRPr="00D97D01">
              <w:rPr>
                <w:sz w:val="18"/>
                <w:szCs w:val="18"/>
              </w:rPr>
              <w:t>1.102***</w:t>
            </w:r>
          </w:p>
        </w:tc>
        <w:tc>
          <w:tcPr>
            <w:tcW w:w="0" w:type="auto"/>
            <w:tcBorders>
              <w:top w:val="nil"/>
              <w:left w:val="nil"/>
              <w:bottom w:val="nil"/>
              <w:right w:val="nil"/>
            </w:tcBorders>
          </w:tcPr>
          <w:p w14:paraId="0CB9C170" w14:textId="5BCD6F6C" w:rsidR="009F2FFE" w:rsidRPr="00306C2B" w:rsidRDefault="009F2FFE" w:rsidP="009F2FFE">
            <w:pPr>
              <w:widowControl w:val="0"/>
              <w:autoSpaceDE w:val="0"/>
              <w:autoSpaceDN w:val="0"/>
              <w:adjustRightInd w:val="0"/>
              <w:jc w:val="center"/>
              <w:rPr>
                <w:sz w:val="18"/>
                <w:szCs w:val="18"/>
              </w:rPr>
            </w:pPr>
            <w:r w:rsidRPr="00D97D01">
              <w:rPr>
                <w:sz w:val="18"/>
                <w:szCs w:val="18"/>
              </w:rPr>
              <w:t>1.103***</w:t>
            </w:r>
          </w:p>
        </w:tc>
        <w:tc>
          <w:tcPr>
            <w:tcW w:w="0" w:type="auto"/>
            <w:tcBorders>
              <w:top w:val="nil"/>
              <w:left w:val="nil"/>
              <w:bottom w:val="nil"/>
              <w:right w:val="nil"/>
            </w:tcBorders>
          </w:tcPr>
          <w:p w14:paraId="4D3EACF2" w14:textId="53D51AB6" w:rsidR="009F2FFE" w:rsidRPr="00306C2B" w:rsidRDefault="009F2FFE" w:rsidP="009F2FFE">
            <w:pPr>
              <w:widowControl w:val="0"/>
              <w:autoSpaceDE w:val="0"/>
              <w:autoSpaceDN w:val="0"/>
              <w:adjustRightInd w:val="0"/>
              <w:jc w:val="center"/>
              <w:rPr>
                <w:sz w:val="18"/>
                <w:szCs w:val="18"/>
              </w:rPr>
            </w:pPr>
            <w:r w:rsidRPr="00D97D01">
              <w:rPr>
                <w:sz w:val="18"/>
                <w:szCs w:val="18"/>
              </w:rPr>
              <w:t>1.106***</w:t>
            </w:r>
          </w:p>
        </w:tc>
        <w:tc>
          <w:tcPr>
            <w:tcW w:w="0" w:type="auto"/>
            <w:tcBorders>
              <w:top w:val="nil"/>
              <w:left w:val="nil"/>
              <w:bottom w:val="nil"/>
              <w:right w:val="nil"/>
            </w:tcBorders>
          </w:tcPr>
          <w:p w14:paraId="787D8FC9" w14:textId="7C5A9938" w:rsidR="009F2FFE" w:rsidRPr="00306C2B" w:rsidRDefault="009F2FFE" w:rsidP="009F2FFE">
            <w:pPr>
              <w:widowControl w:val="0"/>
              <w:autoSpaceDE w:val="0"/>
              <w:autoSpaceDN w:val="0"/>
              <w:adjustRightInd w:val="0"/>
              <w:jc w:val="center"/>
              <w:rPr>
                <w:sz w:val="18"/>
                <w:szCs w:val="18"/>
              </w:rPr>
            </w:pPr>
            <w:r w:rsidRPr="00D97D01">
              <w:rPr>
                <w:sz w:val="18"/>
                <w:szCs w:val="18"/>
              </w:rPr>
              <w:t>1.104***</w:t>
            </w:r>
          </w:p>
        </w:tc>
        <w:tc>
          <w:tcPr>
            <w:tcW w:w="0" w:type="auto"/>
            <w:tcBorders>
              <w:top w:val="nil"/>
              <w:left w:val="nil"/>
              <w:bottom w:val="nil"/>
              <w:right w:val="nil"/>
            </w:tcBorders>
          </w:tcPr>
          <w:p w14:paraId="040203FD" w14:textId="4DE16A11" w:rsidR="009F2FFE" w:rsidRPr="00306C2B" w:rsidRDefault="009F2FFE" w:rsidP="009F2FFE">
            <w:pPr>
              <w:widowControl w:val="0"/>
              <w:autoSpaceDE w:val="0"/>
              <w:autoSpaceDN w:val="0"/>
              <w:adjustRightInd w:val="0"/>
              <w:jc w:val="center"/>
              <w:rPr>
                <w:sz w:val="18"/>
                <w:szCs w:val="18"/>
              </w:rPr>
            </w:pPr>
            <w:r w:rsidRPr="00D97D01">
              <w:rPr>
                <w:sz w:val="18"/>
                <w:szCs w:val="18"/>
              </w:rPr>
              <w:t>1.102***</w:t>
            </w:r>
          </w:p>
        </w:tc>
      </w:tr>
      <w:tr w:rsidR="009F2FFE" w:rsidRPr="00306C2B" w14:paraId="5A29A9B6" w14:textId="77777777" w:rsidTr="00830C24">
        <w:trPr>
          <w:jc w:val="center"/>
        </w:trPr>
        <w:tc>
          <w:tcPr>
            <w:tcW w:w="0" w:type="auto"/>
            <w:tcBorders>
              <w:top w:val="nil"/>
              <w:left w:val="nil"/>
              <w:bottom w:val="nil"/>
              <w:right w:val="nil"/>
            </w:tcBorders>
          </w:tcPr>
          <w:p w14:paraId="60303945" w14:textId="77777777" w:rsidR="009F2FFE" w:rsidRPr="00306C2B" w:rsidRDefault="009F2FFE" w:rsidP="009F2FFE">
            <w:pPr>
              <w:widowControl w:val="0"/>
              <w:autoSpaceDE w:val="0"/>
              <w:autoSpaceDN w:val="0"/>
              <w:adjustRightInd w:val="0"/>
              <w:rPr>
                <w:sz w:val="18"/>
                <w:szCs w:val="18"/>
              </w:rPr>
            </w:pPr>
          </w:p>
        </w:tc>
        <w:tc>
          <w:tcPr>
            <w:tcW w:w="0" w:type="auto"/>
            <w:tcBorders>
              <w:top w:val="nil"/>
              <w:left w:val="nil"/>
              <w:bottom w:val="nil"/>
              <w:right w:val="nil"/>
            </w:tcBorders>
          </w:tcPr>
          <w:p w14:paraId="35120214"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0EE69654"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nil"/>
              <w:right w:val="nil"/>
            </w:tcBorders>
          </w:tcPr>
          <w:p w14:paraId="3F21DEEB" w14:textId="6396EA20" w:rsidR="009F2FFE" w:rsidRPr="00306C2B" w:rsidRDefault="009F2FFE" w:rsidP="009F2FFE">
            <w:pPr>
              <w:widowControl w:val="0"/>
              <w:autoSpaceDE w:val="0"/>
              <w:autoSpaceDN w:val="0"/>
              <w:adjustRightInd w:val="0"/>
              <w:jc w:val="center"/>
              <w:rPr>
                <w:sz w:val="18"/>
                <w:szCs w:val="18"/>
              </w:rPr>
            </w:pPr>
            <w:r w:rsidRPr="00D97D01">
              <w:rPr>
                <w:sz w:val="18"/>
                <w:szCs w:val="18"/>
              </w:rPr>
              <w:t>(14.34)</w:t>
            </w:r>
          </w:p>
        </w:tc>
        <w:tc>
          <w:tcPr>
            <w:tcW w:w="0" w:type="auto"/>
            <w:tcBorders>
              <w:top w:val="nil"/>
              <w:left w:val="nil"/>
              <w:bottom w:val="nil"/>
              <w:right w:val="nil"/>
            </w:tcBorders>
          </w:tcPr>
          <w:p w14:paraId="1171C560" w14:textId="46A633F5" w:rsidR="009F2FFE" w:rsidRPr="00306C2B" w:rsidRDefault="009F2FFE" w:rsidP="009F2FFE">
            <w:pPr>
              <w:widowControl w:val="0"/>
              <w:autoSpaceDE w:val="0"/>
              <w:autoSpaceDN w:val="0"/>
              <w:adjustRightInd w:val="0"/>
              <w:jc w:val="center"/>
              <w:rPr>
                <w:sz w:val="18"/>
                <w:szCs w:val="18"/>
              </w:rPr>
            </w:pPr>
            <w:r w:rsidRPr="00D97D01">
              <w:rPr>
                <w:sz w:val="18"/>
                <w:szCs w:val="18"/>
              </w:rPr>
              <w:t>(14.29)</w:t>
            </w:r>
          </w:p>
        </w:tc>
        <w:tc>
          <w:tcPr>
            <w:tcW w:w="0" w:type="auto"/>
            <w:tcBorders>
              <w:top w:val="nil"/>
              <w:left w:val="nil"/>
              <w:bottom w:val="nil"/>
              <w:right w:val="nil"/>
            </w:tcBorders>
          </w:tcPr>
          <w:p w14:paraId="54ADABD8" w14:textId="0E048A0E" w:rsidR="009F2FFE" w:rsidRPr="00306C2B" w:rsidRDefault="009F2FFE" w:rsidP="009F2FFE">
            <w:pPr>
              <w:widowControl w:val="0"/>
              <w:autoSpaceDE w:val="0"/>
              <w:autoSpaceDN w:val="0"/>
              <w:adjustRightInd w:val="0"/>
              <w:jc w:val="center"/>
              <w:rPr>
                <w:sz w:val="18"/>
                <w:szCs w:val="18"/>
              </w:rPr>
            </w:pPr>
            <w:r w:rsidRPr="00D97D01">
              <w:rPr>
                <w:sz w:val="18"/>
                <w:szCs w:val="18"/>
              </w:rPr>
              <w:t>(14.24)</w:t>
            </w:r>
          </w:p>
        </w:tc>
        <w:tc>
          <w:tcPr>
            <w:tcW w:w="0" w:type="auto"/>
            <w:tcBorders>
              <w:top w:val="nil"/>
              <w:left w:val="nil"/>
              <w:bottom w:val="nil"/>
              <w:right w:val="nil"/>
            </w:tcBorders>
          </w:tcPr>
          <w:p w14:paraId="25A6719C" w14:textId="714E723A" w:rsidR="009F2FFE" w:rsidRPr="00306C2B" w:rsidRDefault="009F2FFE" w:rsidP="009F2FFE">
            <w:pPr>
              <w:widowControl w:val="0"/>
              <w:autoSpaceDE w:val="0"/>
              <w:autoSpaceDN w:val="0"/>
              <w:adjustRightInd w:val="0"/>
              <w:jc w:val="center"/>
              <w:rPr>
                <w:sz w:val="18"/>
                <w:szCs w:val="18"/>
              </w:rPr>
            </w:pPr>
            <w:r w:rsidRPr="00D97D01">
              <w:rPr>
                <w:sz w:val="18"/>
                <w:szCs w:val="18"/>
              </w:rPr>
              <w:t>(14.37)</w:t>
            </w:r>
          </w:p>
        </w:tc>
        <w:tc>
          <w:tcPr>
            <w:tcW w:w="0" w:type="auto"/>
            <w:tcBorders>
              <w:top w:val="nil"/>
              <w:left w:val="nil"/>
              <w:bottom w:val="nil"/>
              <w:right w:val="nil"/>
            </w:tcBorders>
          </w:tcPr>
          <w:p w14:paraId="7D6135F9" w14:textId="15EC819D" w:rsidR="009F2FFE" w:rsidRPr="00306C2B" w:rsidRDefault="009F2FFE" w:rsidP="009F2FFE">
            <w:pPr>
              <w:widowControl w:val="0"/>
              <w:autoSpaceDE w:val="0"/>
              <w:autoSpaceDN w:val="0"/>
              <w:adjustRightInd w:val="0"/>
              <w:jc w:val="center"/>
              <w:rPr>
                <w:sz w:val="18"/>
                <w:szCs w:val="18"/>
              </w:rPr>
            </w:pPr>
            <w:r w:rsidRPr="00D97D01">
              <w:rPr>
                <w:sz w:val="18"/>
                <w:szCs w:val="18"/>
              </w:rPr>
              <w:t>(14.35)</w:t>
            </w:r>
          </w:p>
        </w:tc>
        <w:tc>
          <w:tcPr>
            <w:tcW w:w="0" w:type="auto"/>
            <w:tcBorders>
              <w:top w:val="nil"/>
              <w:left w:val="nil"/>
              <w:bottom w:val="nil"/>
              <w:right w:val="nil"/>
            </w:tcBorders>
          </w:tcPr>
          <w:p w14:paraId="15609C87" w14:textId="6C4C064C" w:rsidR="009F2FFE" w:rsidRPr="00306C2B" w:rsidRDefault="009F2FFE" w:rsidP="009F2FFE">
            <w:pPr>
              <w:widowControl w:val="0"/>
              <w:autoSpaceDE w:val="0"/>
              <w:autoSpaceDN w:val="0"/>
              <w:adjustRightInd w:val="0"/>
              <w:jc w:val="center"/>
              <w:rPr>
                <w:sz w:val="18"/>
                <w:szCs w:val="18"/>
              </w:rPr>
            </w:pPr>
            <w:r w:rsidRPr="00D97D01">
              <w:rPr>
                <w:sz w:val="18"/>
                <w:szCs w:val="18"/>
              </w:rPr>
              <w:t>(14.36)</w:t>
            </w:r>
          </w:p>
        </w:tc>
        <w:tc>
          <w:tcPr>
            <w:tcW w:w="0" w:type="auto"/>
            <w:tcBorders>
              <w:top w:val="nil"/>
              <w:left w:val="nil"/>
              <w:bottom w:val="nil"/>
              <w:right w:val="nil"/>
            </w:tcBorders>
          </w:tcPr>
          <w:p w14:paraId="36619F51" w14:textId="32AAD7F7" w:rsidR="009F2FFE" w:rsidRPr="00306C2B" w:rsidRDefault="009F2FFE" w:rsidP="009F2FFE">
            <w:pPr>
              <w:widowControl w:val="0"/>
              <w:autoSpaceDE w:val="0"/>
              <w:autoSpaceDN w:val="0"/>
              <w:adjustRightInd w:val="0"/>
              <w:jc w:val="center"/>
              <w:rPr>
                <w:sz w:val="18"/>
                <w:szCs w:val="18"/>
              </w:rPr>
            </w:pPr>
            <w:r w:rsidRPr="00D97D01">
              <w:rPr>
                <w:sz w:val="18"/>
                <w:szCs w:val="18"/>
              </w:rPr>
              <w:t>(14.29)</w:t>
            </w:r>
          </w:p>
        </w:tc>
      </w:tr>
      <w:tr w:rsidR="00306C2B" w:rsidRPr="00306C2B" w14:paraId="11B20D25" w14:textId="77777777" w:rsidTr="00830C24">
        <w:trPr>
          <w:jc w:val="center"/>
        </w:trPr>
        <w:tc>
          <w:tcPr>
            <w:tcW w:w="0" w:type="auto"/>
            <w:tcBorders>
              <w:top w:val="nil"/>
              <w:left w:val="nil"/>
              <w:bottom w:val="nil"/>
              <w:right w:val="nil"/>
            </w:tcBorders>
          </w:tcPr>
          <w:p w14:paraId="0B60894E" w14:textId="77777777" w:rsidR="00306C2B" w:rsidRPr="00306C2B" w:rsidRDefault="00306C2B" w:rsidP="00830C24">
            <w:pPr>
              <w:widowControl w:val="0"/>
              <w:autoSpaceDE w:val="0"/>
              <w:autoSpaceDN w:val="0"/>
              <w:adjustRightInd w:val="0"/>
              <w:rPr>
                <w:sz w:val="18"/>
                <w:szCs w:val="18"/>
              </w:rPr>
            </w:pPr>
          </w:p>
        </w:tc>
        <w:tc>
          <w:tcPr>
            <w:tcW w:w="0" w:type="auto"/>
            <w:tcBorders>
              <w:top w:val="nil"/>
              <w:left w:val="nil"/>
              <w:bottom w:val="nil"/>
              <w:right w:val="nil"/>
            </w:tcBorders>
          </w:tcPr>
          <w:p w14:paraId="1180352E"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7E84CFE4"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48286825"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51303945"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4211E023"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42D070E9"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51887E73"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7C67D984"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371091B1" w14:textId="77777777" w:rsidR="00306C2B" w:rsidRPr="00306C2B" w:rsidRDefault="00306C2B" w:rsidP="00830C24">
            <w:pPr>
              <w:widowControl w:val="0"/>
              <w:autoSpaceDE w:val="0"/>
              <w:autoSpaceDN w:val="0"/>
              <w:adjustRightInd w:val="0"/>
              <w:jc w:val="center"/>
              <w:rPr>
                <w:sz w:val="18"/>
                <w:szCs w:val="18"/>
              </w:rPr>
            </w:pPr>
          </w:p>
        </w:tc>
      </w:tr>
      <w:tr w:rsidR="00306C2B" w:rsidRPr="00306C2B" w14:paraId="72053073" w14:textId="77777777" w:rsidTr="00830C24">
        <w:trPr>
          <w:jc w:val="center"/>
        </w:trPr>
        <w:tc>
          <w:tcPr>
            <w:tcW w:w="0" w:type="auto"/>
            <w:tcBorders>
              <w:top w:val="nil"/>
              <w:left w:val="nil"/>
              <w:bottom w:val="nil"/>
              <w:right w:val="nil"/>
            </w:tcBorders>
          </w:tcPr>
          <w:p w14:paraId="76AEEFBF" w14:textId="77777777" w:rsidR="00306C2B" w:rsidRPr="00306C2B" w:rsidRDefault="00306C2B" w:rsidP="00830C24">
            <w:pPr>
              <w:widowControl w:val="0"/>
              <w:autoSpaceDE w:val="0"/>
              <w:autoSpaceDN w:val="0"/>
              <w:adjustRightInd w:val="0"/>
              <w:rPr>
                <w:sz w:val="18"/>
                <w:szCs w:val="18"/>
              </w:rPr>
            </w:pPr>
            <w:r w:rsidRPr="00306C2B">
              <w:rPr>
                <w:sz w:val="18"/>
                <w:szCs w:val="18"/>
              </w:rPr>
              <w:t>Subsample</w:t>
            </w:r>
          </w:p>
        </w:tc>
        <w:tc>
          <w:tcPr>
            <w:tcW w:w="0" w:type="auto"/>
            <w:tcBorders>
              <w:top w:val="nil"/>
              <w:left w:val="nil"/>
              <w:bottom w:val="nil"/>
              <w:right w:val="nil"/>
            </w:tcBorders>
          </w:tcPr>
          <w:p w14:paraId="30307224"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4D979D61"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4C7D64F5"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All</w:t>
            </w:r>
          </w:p>
        </w:tc>
        <w:tc>
          <w:tcPr>
            <w:tcW w:w="0" w:type="auto"/>
            <w:tcBorders>
              <w:top w:val="nil"/>
              <w:left w:val="nil"/>
              <w:bottom w:val="nil"/>
              <w:right w:val="nil"/>
            </w:tcBorders>
          </w:tcPr>
          <w:p w14:paraId="0196F93A"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[-1,+1]</w:t>
            </w:r>
          </w:p>
        </w:tc>
        <w:tc>
          <w:tcPr>
            <w:tcW w:w="0" w:type="auto"/>
            <w:tcBorders>
              <w:top w:val="nil"/>
              <w:left w:val="nil"/>
              <w:bottom w:val="nil"/>
              <w:right w:val="nil"/>
            </w:tcBorders>
          </w:tcPr>
          <w:p w14:paraId="17E3E0F7"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[-2,+2]</w:t>
            </w:r>
          </w:p>
        </w:tc>
        <w:tc>
          <w:tcPr>
            <w:tcW w:w="0" w:type="auto"/>
            <w:tcBorders>
              <w:top w:val="nil"/>
              <w:left w:val="nil"/>
              <w:bottom w:val="nil"/>
              <w:right w:val="nil"/>
            </w:tcBorders>
          </w:tcPr>
          <w:p w14:paraId="1C3A34BB"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[0,+21]</w:t>
            </w:r>
          </w:p>
        </w:tc>
        <w:tc>
          <w:tcPr>
            <w:tcW w:w="0" w:type="auto"/>
            <w:tcBorders>
              <w:top w:val="nil"/>
              <w:left w:val="nil"/>
              <w:bottom w:val="nil"/>
              <w:right w:val="nil"/>
            </w:tcBorders>
          </w:tcPr>
          <w:p w14:paraId="0005B67A"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[0,+63]</w:t>
            </w:r>
          </w:p>
        </w:tc>
        <w:tc>
          <w:tcPr>
            <w:tcW w:w="0" w:type="auto"/>
            <w:tcBorders>
              <w:top w:val="nil"/>
              <w:left w:val="nil"/>
              <w:bottom w:val="nil"/>
              <w:right w:val="nil"/>
            </w:tcBorders>
          </w:tcPr>
          <w:p w14:paraId="76361B8E"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[0,+126]</w:t>
            </w:r>
          </w:p>
        </w:tc>
        <w:tc>
          <w:tcPr>
            <w:tcW w:w="0" w:type="auto"/>
            <w:tcBorders>
              <w:top w:val="nil"/>
              <w:left w:val="nil"/>
              <w:bottom w:val="nil"/>
              <w:right w:val="nil"/>
            </w:tcBorders>
          </w:tcPr>
          <w:p w14:paraId="14CC05BF"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[0,+252]</w:t>
            </w:r>
          </w:p>
        </w:tc>
      </w:tr>
      <w:tr w:rsidR="00306C2B" w:rsidRPr="00306C2B" w14:paraId="2EB3F970" w14:textId="77777777" w:rsidTr="00830C24">
        <w:trPr>
          <w:jc w:val="center"/>
        </w:trPr>
        <w:tc>
          <w:tcPr>
            <w:tcW w:w="0" w:type="auto"/>
            <w:tcBorders>
              <w:top w:val="nil"/>
              <w:left w:val="nil"/>
              <w:bottom w:val="nil"/>
              <w:right w:val="nil"/>
            </w:tcBorders>
          </w:tcPr>
          <w:p w14:paraId="4C20913B" w14:textId="77777777" w:rsidR="00306C2B" w:rsidRPr="00306C2B" w:rsidRDefault="00306C2B" w:rsidP="00830C24">
            <w:pPr>
              <w:widowControl w:val="0"/>
              <w:autoSpaceDE w:val="0"/>
              <w:autoSpaceDN w:val="0"/>
              <w:adjustRightInd w:val="0"/>
              <w:rPr>
                <w:sz w:val="18"/>
                <w:szCs w:val="18"/>
              </w:rPr>
            </w:pPr>
            <w:r w:rsidRPr="00306C2B">
              <w:rPr>
                <w:sz w:val="18"/>
                <w:szCs w:val="18"/>
              </w:rPr>
              <w:t>Firm fixed effects</w:t>
            </w:r>
          </w:p>
        </w:tc>
        <w:tc>
          <w:tcPr>
            <w:tcW w:w="0" w:type="auto"/>
            <w:tcBorders>
              <w:top w:val="nil"/>
              <w:left w:val="nil"/>
              <w:bottom w:val="nil"/>
              <w:right w:val="nil"/>
            </w:tcBorders>
          </w:tcPr>
          <w:p w14:paraId="18705C2D"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298CF8B9"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202EAAE6"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395EFD4A"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0C27E185"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7103526D"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277E18C2"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2B889961"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3270DBFB"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r>
      <w:tr w:rsidR="00306C2B" w:rsidRPr="00306C2B" w14:paraId="796B2738" w14:textId="77777777" w:rsidTr="00830C24">
        <w:trPr>
          <w:jc w:val="center"/>
        </w:trPr>
        <w:tc>
          <w:tcPr>
            <w:tcW w:w="0" w:type="auto"/>
            <w:tcBorders>
              <w:top w:val="nil"/>
              <w:left w:val="nil"/>
              <w:bottom w:val="nil"/>
              <w:right w:val="nil"/>
            </w:tcBorders>
          </w:tcPr>
          <w:p w14:paraId="4974FB94" w14:textId="77777777" w:rsidR="00306C2B" w:rsidRPr="00306C2B" w:rsidRDefault="00306C2B" w:rsidP="00830C24">
            <w:pPr>
              <w:widowControl w:val="0"/>
              <w:autoSpaceDE w:val="0"/>
              <w:autoSpaceDN w:val="0"/>
              <w:adjustRightInd w:val="0"/>
              <w:rPr>
                <w:sz w:val="18"/>
                <w:szCs w:val="18"/>
              </w:rPr>
            </w:pPr>
            <w:r w:rsidRPr="00306C2B">
              <w:rPr>
                <w:sz w:val="18"/>
                <w:szCs w:val="18"/>
              </w:rPr>
              <w:t>Year fixed effects</w:t>
            </w:r>
          </w:p>
        </w:tc>
        <w:tc>
          <w:tcPr>
            <w:tcW w:w="0" w:type="auto"/>
            <w:tcBorders>
              <w:top w:val="nil"/>
              <w:left w:val="nil"/>
              <w:bottom w:val="nil"/>
              <w:right w:val="nil"/>
            </w:tcBorders>
          </w:tcPr>
          <w:p w14:paraId="27E437F5"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794367A6"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29EC4D9B"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696A085A"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23CF44C1"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618D74B5"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0AC3205E"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7ABD7D1A"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c>
          <w:tcPr>
            <w:tcW w:w="0" w:type="auto"/>
            <w:tcBorders>
              <w:top w:val="nil"/>
              <w:left w:val="nil"/>
              <w:bottom w:val="nil"/>
              <w:right w:val="nil"/>
            </w:tcBorders>
          </w:tcPr>
          <w:p w14:paraId="52754F2C"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Yes</w:t>
            </w:r>
          </w:p>
        </w:tc>
      </w:tr>
      <w:tr w:rsidR="00306C2B" w:rsidRPr="00306C2B" w14:paraId="5D8561F3" w14:textId="77777777" w:rsidTr="00830C24">
        <w:trPr>
          <w:jc w:val="center"/>
        </w:trPr>
        <w:tc>
          <w:tcPr>
            <w:tcW w:w="0" w:type="auto"/>
            <w:tcBorders>
              <w:top w:val="nil"/>
              <w:left w:val="nil"/>
              <w:right w:val="nil"/>
            </w:tcBorders>
          </w:tcPr>
          <w:p w14:paraId="1ECC8030" w14:textId="77777777" w:rsidR="00306C2B" w:rsidRPr="00306C2B" w:rsidRDefault="00306C2B" w:rsidP="00830C24">
            <w:pPr>
              <w:widowControl w:val="0"/>
              <w:autoSpaceDE w:val="0"/>
              <w:autoSpaceDN w:val="0"/>
              <w:adjustRightInd w:val="0"/>
              <w:rPr>
                <w:sz w:val="18"/>
                <w:szCs w:val="18"/>
              </w:rPr>
            </w:pPr>
            <w:r w:rsidRPr="00306C2B">
              <w:rPr>
                <w:sz w:val="18"/>
                <w:szCs w:val="18"/>
              </w:rPr>
              <w:t>Observations</w:t>
            </w:r>
          </w:p>
        </w:tc>
        <w:tc>
          <w:tcPr>
            <w:tcW w:w="0" w:type="auto"/>
            <w:tcBorders>
              <w:top w:val="nil"/>
              <w:left w:val="nil"/>
              <w:right w:val="nil"/>
            </w:tcBorders>
          </w:tcPr>
          <w:p w14:paraId="265E7A32"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right w:val="nil"/>
            </w:tcBorders>
          </w:tcPr>
          <w:p w14:paraId="118291F4"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right w:val="nil"/>
            </w:tcBorders>
          </w:tcPr>
          <w:p w14:paraId="5926038C"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41,918</w:t>
            </w:r>
          </w:p>
        </w:tc>
        <w:tc>
          <w:tcPr>
            <w:tcW w:w="0" w:type="auto"/>
            <w:tcBorders>
              <w:top w:val="nil"/>
              <w:left w:val="nil"/>
              <w:right w:val="nil"/>
            </w:tcBorders>
          </w:tcPr>
          <w:p w14:paraId="2262FDC2"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41,850</w:t>
            </w:r>
          </w:p>
        </w:tc>
        <w:tc>
          <w:tcPr>
            <w:tcW w:w="0" w:type="auto"/>
            <w:tcBorders>
              <w:top w:val="nil"/>
              <w:left w:val="nil"/>
              <w:right w:val="nil"/>
            </w:tcBorders>
          </w:tcPr>
          <w:p w14:paraId="4AADC488" w14:textId="77777777" w:rsidR="00306C2B" w:rsidRPr="00306C2B" w:rsidRDefault="00306C2B" w:rsidP="00830C24">
            <w:pPr>
              <w:widowControl w:val="0"/>
              <w:autoSpaceDE w:val="0"/>
              <w:autoSpaceDN w:val="0"/>
              <w:adjustRightInd w:val="0"/>
              <w:jc w:val="center"/>
              <w:rPr>
                <w:sz w:val="18"/>
                <w:szCs w:val="18"/>
              </w:rPr>
            </w:pPr>
            <w:r w:rsidRPr="00306C2B">
              <w:rPr>
                <w:sz w:val="18"/>
                <w:szCs w:val="18"/>
              </w:rPr>
              <w:t>41,612</w:t>
            </w:r>
          </w:p>
        </w:tc>
        <w:tc>
          <w:tcPr>
            <w:tcW w:w="0" w:type="auto"/>
            <w:tcBorders>
              <w:top w:val="nil"/>
              <w:left w:val="nil"/>
              <w:right w:val="nil"/>
            </w:tcBorders>
          </w:tcPr>
          <w:p w14:paraId="07597312" w14:textId="2F97707B" w:rsidR="00306C2B" w:rsidRPr="00306C2B" w:rsidRDefault="009F2FFE" w:rsidP="00830C24">
            <w:pPr>
              <w:widowControl w:val="0"/>
              <w:autoSpaceDE w:val="0"/>
              <w:autoSpaceDN w:val="0"/>
              <w:adjustRightInd w:val="0"/>
              <w:jc w:val="center"/>
              <w:rPr>
                <w:sz w:val="18"/>
                <w:szCs w:val="18"/>
              </w:rPr>
            </w:pPr>
            <w:r w:rsidRPr="009F2FFE">
              <w:rPr>
                <w:sz w:val="18"/>
                <w:szCs w:val="18"/>
              </w:rPr>
              <w:t>41,801</w:t>
            </w:r>
          </w:p>
        </w:tc>
        <w:tc>
          <w:tcPr>
            <w:tcW w:w="0" w:type="auto"/>
            <w:tcBorders>
              <w:top w:val="nil"/>
              <w:left w:val="nil"/>
              <w:right w:val="nil"/>
            </w:tcBorders>
          </w:tcPr>
          <w:p w14:paraId="0DA02EF7" w14:textId="1D28D0D7" w:rsidR="00306C2B" w:rsidRPr="00306C2B" w:rsidRDefault="009F2FFE" w:rsidP="00830C24">
            <w:pPr>
              <w:widowControl w:val="0"/>
              <w:autoSpaceDE w:val="0"/>
              <w:autoSpaceDN w:val="0"/>
              <w:adjustRightInd w:val="0"/>
              <w:jc w:val="center"/>
              <w:rPr>
                <w:sz w:val="18"/>
                <w:szCs w:val="18"/>
              </w:rPr>
            </w:pPr>
            <w:r w:rsidRPr="009F2FFE">
              <w:rPr>
                <w:sz w:val="18"/>
                <w:szCs w:val="18"/>
              </w:rPr>
              <w:t>41,626</w:t>
            </w:r>
          </w:p>
        </w:tc>
        <w:tc>
          <w:tcPr>
            <w:tcW w:w="0" w:type="auto"/>
            <w:tcBorders>
              <w:top w:val="nil"/>
              <w:left w:val="nil"/>
              <w:right w:val="nil"/>
            </w:tcBorders>
          </w:tcPr>
          <w:p w14:paraId="553680C3" w14:textId="67C43465" w:rsidR="00306C2B" w:rsidRPr="00306C2B" w:rsidRDefault="009F2FFE" w:rsidP="00830C24">
            <w:pPr>
              <w:widowControl w:val="0"/>
              <w:autoSpaceDE w:val="0"/>
              <w:autoSpaceDN w:val="0"/>
              <w:adjustRightInd w:val="0"/>
              <w:jc w:val="center"/>
              <w:rPr>
                <w:sz w:val="18"/>
                <w:szCs w:val="18"/>
              </w:rPr>
            </w:pPr>
            <w:r w:rsidRPr="009F2FFE">
              <w:rPr>
                <w:sz w:val="18"/>
                <w:szCs w:val="18"/>
              </w:rPr>
              <w:t>41,779</w:t>
            </w:r>
          </w:p>
        </w:tc>
        <w:tc>
          <w:tcPr>
            <w:tcW w:w="0" w:type="auto"/>
            <w:tcBorders>
              <w:top w:val="nil"/>
              <w:left w:val="nil"/>
              <w:right w:val="nil"/>
            </w:tcBorders>
          </w:tcPr>
          <w:p w14:paraId="26F69A2C" w14:textId="2778132A" w:rsidR="00306C2B" w:rsidRPr="00306C2B" w:rsidRDefault="009F2FFE" w:rsidP="00830C24">
            <w:pPr>
              <w:widowControl w:val="0"/>
              <w:autoSpaceDE w:val="0"/>
              <w:autoSpaceDN w:val="0"/>
              <w:adjustRightInd w:val="0"/>
              <w:jc w:val="center"/>
              <w:rPr>
                <w:sz w:val="18"/>
                <w:szCs w:val="18"/>
              </w:rPr>
            </w:pPr>
            <w:r w:rsidRPr="009F2FFE">
              <w:rPr>
                <w:sz w:val="18"/>
                <w:szCs w:val="18"/>
              </w:rPr>
              <w:t>41,672</w:t>
            </w:r>
          </w:p>
        </w:tc>
      </w:tr>
      <w:tr w:rsidR="009F2FFE" w:rsidRPr="00306C2B" w14:paraId="7D0088E9" w14:textId="77777777" w:rsidTr="00830C24">
        <w:tblPrEx>
          <w:tblBorders>
            <w:bottom w:val="single" w:sz="6" w:space="0" w:color="auto"/>
          </w:tblBorders>
        </w:tblPrEx>
        <w:trPr>
          <w:jc w:val="center"/>
        </w:trPr>
        <w:tc>
          <w:tcPr>
            <w:tcW w:w="0" w:type="auto"/>
            <w:tcBorders>
              <w:top w:val="nil"/>
              <w:left w:val="nil"/>
              <w:bottom w:val="single" w:sz="4" w:space="0" w:color="auto"/>
              <w:right w:val="nil"/>
            </w:tcBorders>
          </w:tcPr>
          <w:p w14:paraId="610B8A8E" w14:textId="77777777" w:rsidR="009F2FFE" w:rsidRPr="00306C2B" w:rsidRDefault="009F2FFE" w:rsidP="009F2FFE">
            <w:pPr>
              <w:widowControl w:val="0"/>
              <w:autoSpaceDE w:val="0"/>
              <w:autoSpaceDN w:val="0"/>
              <w:adjustRightInd w:val="0"/>
              <w:rPr>
                <w:sz w:val="18"/>
                <w:szCs w:val="18"/>
              </w:rPr>
            </w:pPr>
            <w:r w:rsidRPr="00306C2B">
              <w:rPr>
                <w:sz w:val="18"/>
                <w:szCs w:val="18"/>
              </w:rPr>
              <w:t>Adjusted R-squared</w:t>
            </w:r>
          </w:p>
        </w:tc>
        <w:tc>
          <w:tcPr>
            <w:tcW w:w="0" w:type="auto"/>
            <w:tcBorders>
              <w:top w:val="nil"/>
              <w:left w:val="nil"/>
              <w:bottom w:val="single" w:sz="4" w:space="0" w:color="auto"/>
              <w:right w:val="nil"/>
            </w:tcBorders>
          </w:tcPr>
          <w:p w14:paraId="12CF5D47"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single" w:sz="4" w:space="0" w:color="auto"/>
              <w:right w:val="nil"/>
            </w:tcBorders>
          </w:tcPr>
          <w:p w14:paraId="383A31A7" w14:textId="77777777" w:rsidR="009F2FFE" w:rsidRPr="00306C2B" w:rsidRDefault="009F2FFE" w:rsidP="009F2FFE">
            <w:pPr>
              <w:widowControl w:val="0"/>
              <w:autoSpaceDE w:val="0"/>
              <w:autoSpaceDN w:val="0"/>
              <w:adjustRightInd w:val="0"/>
              <w:jc w:val="center"/>
              <w:rPr>
                <w:sz w:val="18"/>
                <w:szCs w:val="18"/>
              </w:rPr>
            </w:pPr>
          </w:p>
        </w:tc>
        <w:tc>
          <w:tcPr>
            <w:tcW w:w="0" w:type="auto"/>
            <w:tcBorders>
              <w:top w:val="nil"/>
              <w:left w:val="nil"/>
              <w:bottom w:val="single" w:sz="4" w:space="0" w:color="auto"/>
              <w:right w:val="nil"/>
            </w:tcBorders>
          </w:tcPr>
          <w:p w14:paraId="2B8FAABC" w14:textId="45B9CD8A" w:rsidR="009F2FFE" w:rsidRPr="00306C2B" w:rsidRDefault="009F2FFE" w:rsidP="009F2FFE">
            <w:pPr>
              <w:widowControl w:val="0"/>
              <w:autoSpaceDE w:val="0"/>
              <w:autoSpaceDN w:val="0"/>
              <w:adjustRightInd w:val="0"/>
              <w:jc w:val="center"/>
              <w:rPr>
                <w:sz w:val="18"/>
                <w:szCs w:val="18"/>
              </w:rPr>
            </w:pPr>
            <w:r w:rsidRPr="00D97D01">
              <w:rPr>
                <w:sz w:val="18"/>
                <w:szCs w:val="18"/>
              </w:rPr>
              <w:t>0.2101</w:t>
            </w:r>
          </w:p>
        </w:tc>
        <w:tc>
          <w:tcPr>
            <w:tcW w:w="0" w:type="auto"/>
            <w:tcBorders>
              <w:top w:val="nil"/>
              <w:left w:val="nil"/>
              <w:bottom w:val="single" w:sz="4" w:space="0" w:color="auto"/>
              <w:right w:val="nil"/>
            </w:tcBorders>
          </w:tcPr>
          <w:p w14:paraId="4195CAAF" w14:textId="4F8B17C8" w:rsidR="009F2FFE" w:rsidRPr="00306C2B" w:rsidRDefault="009F2FFE" w:rsidP="009F2FFE">
            <w:pPr>
              <w:widowControl w:val="0"/>
              <w:autoSpaceDE w:val="0"/>
              <w:autoSpaceDN w:val="0"/>
              <w:adjustRightInd w:val="0"/>
              <w:jc w:val="center"/>
              <w:rPr>
                <w:sz w:val="18"/>
                <w:szCs w:val="18"/>
              </w:rPr>
            </w:pPr>
            <w:r w:rsidRPr="00D97D01">
              <w:rPr>
                <w:sz w:val="18"/>
                <w:szCs w:val="18"/>
              </w:rPr>
              <w:t>0.2101</w:t>
            </w:r>
          </w:p>
        </w:tc>
        <w:tc>
          <w:tcPr>
            <w:tcW w:w="0" w:type="auto"/>
            <w:tcBorders>
              <w:top w:val="nil"/>
              <w:left w:val="nil"/>
              <w:bottom w:val="single" w:sz="4" w:space="0" w:color="auto"/>
              <w:right w:val="nil"/>
            </w:tcBorders>
          </w:tcPr>
          <w:p w14:paraId="2A8D73FE" w14:textId="244ED8B0" w:rsidR="009F2FFE" w:rsidRPr="00306C2B" w:rsidRDefault="009F2FFE" w:rsidP="009F2FFE">
            <w:pPr>
              <w:widowControl w:val="0"/>
              <w:autoSpaceDE w:val="0"/>
              <w:autoSpaceDN w:val="0"/>
              <w:adjustRightInd w:val="0"/>
              <w:jc w:val="center"/>
              <w:rPr>
                <w:sz w:val="18"/>
                <w:szCs w:val="18"/>
              </w:rPr>
            </w:pPr>
            <w:r w:rsidRPr="00D97D01">
              <w:rPr>
                <w:sz w:val="18"/>
                <w:szCs w:val="18"/>
              </w:rPr>
              <w:t>0.2134</w:t>
            </w:r>
          </w:p>
        </w:tc>
        <w:tc>
          <w:tcPr>
            <w:tcW w:w="0" w:type="auto"/>
            <w:tcBorders>
              <w:top w:val="nil"/>
              <w:left w:val="nil"/>
              <w:bottom w:val="single" w:sz="4" w:space="0" w:color="auto"/>
              <w:right w:val="nil"/>
            </w:tcBorders>
          </w:tcPr>
          <w:p w14:paraId="0FA797A4" w14:textId="2629A00B" w:rsidR="009F2FFE" w:rsidRPr="00306C2B" w:rsidRDefault="009F2FFE" w:rsidP="009F2FFE">
            <w:pPr>
              <w:widowControl w:val="0"/>
              <w:autoSpaceDE w:val="0"/>
              <w:autoSpaceDN w:val="0"/>
              <w:adjustRightInd w:val="0"/>
              <w:jc w:val="center"/>
              <w:rPr>
                <w:sz w:val="18"/>
                <w:szCs w:val="18"/>
              </w:rPr>
            </w:pPr>
            <w:r w:rsidRPr="00D97D01">
              <w:rPr>
                <w:sz w:val="18"/>
                <w:szCs w:val="18"/>
              </w:rPr>
              <w:t>0.2099</w:t>
            </w:r>
          </w:p>
        </w:tc>
        <w:tc>
          <w:tcPr>
            <w:tcW w:w="0" w:type="auto"/>
            <w:tcBorders>
              <w:top w:val="nil"/>
              <w:left w:val="nil"/>
              <w:bottom w:val="single" w:sz="4" w:space="0" w:color="auto"/>
              <w:right w:val="nil"/>
            </w:tcBorders>
          </w:tcPr>
          <w:p w14:paraId="2B71232E" w14:textId="22E3E26C" w:rsidR="009F2FFE" w:rsidRPr="00306C2B" w:rsidRDefault="009F2FFE" w:rsidP="009F2FFE">
            <w:pPr>
              <w:widowControl w:val="0"/>
              <w:autoSpaceDE w:val="0"/>
              <w:autoSpaceDN w:val="0"/>
              <w:adjustRightInd w:val="0"/>
              <w:jc w:val="center"/>
              <w:rPr>
                <w:sz w:val="18"/>
                <w:szCs w:val="18"/>
              </w:rPr>
            </w:pPr>
            <w:r w:rsidRPr="00D97D01">
              <w:rPr>
                <w:sz w:val="18"/>
                <w:szCs w:val="18"/>
              </w:rPr>
              <w:t>0.2092</w:t>
            </w:r>
          </w:p>
        </w:tc>
        <w:tc>
          <w:tcPr>
            <w:tcW w:w="0" w:type="auto"/>
            <w:tcBorders>
              <w:top w:val="nil"/>
              <w:left w:val="nil"/>
              <w:bottom w:val="single" w:sz="4" w:space="0" w:color="auto"/>
              <w:right w:val="nil"/>
            </w:tcBorders>
          </w:tcPr>
          <w:p w14:paraId="2E5F62D2" w14:textId="03C12CB3" w:rsidR="009F2FFE" w:rsidRPr="00306C2B" w:rsidRDefault="009F2FFE" w:rsidP="009F2FFE">
            <w:pPr>
              <w:widowControl w:val="0"/>
              <w:autoSpaceDE w:val="0"/>
              <w:autoSpaceDN w:val="0"/>
              <w:adjustRightInd w:val="0"/>
              <w:jc w:val="center"/>
              <w:rPr>
                <w:sz w:val="18"/>
                <w:szCs w:val="18"/>
              </w:rPr>
            </w:pPr>
            <w:r w:rsidRPr="00D97D01">
              <w:rPr>
                <w:sz w:val="18"/>
                <w:szCs w:val="18"/>
              </w:rPr>
              <w:t>0.2099</w:t>
            </w:r>
          </w:p>
        </w:tc>
        <w:tc>
          <w:tcPr>
            <w:tcW w:w="0" w:type="auto"/>
            <w:tcBorders>
              <w:top w:val="nil"/>
              <w:left w:val="nil"/>
              <w:bottom w:val="single" w:sz="4" w:space="0" w:color="auto"/>
              <w:right w:val="nil"/>
            </w:tcBorders>
          </w:tcPr>
          <w:p w14:paraId="1C5ED43A" w14:textId="3BD4D189" w:rsidR="009F2FFE" w:rsidRPr="00306C2B" w:rsidRDefault="009F2FFE" w:rsidP="009F2FFE">
            <w:pPr>
              <w:widowControl w:val="0"/>
              <w:autoSpaceDE w:val="0"/>
              <w:autoSpaceDN w:val="0"/>
              <w:adjustRightInd w:val="0"/>
              <w:jc w:val="center"/>
              <w:rPr>
                <w:sz w:val="18"/>
                <w:szCs w:val="18"/>
              </w:rPr>
            </w:pPr>
            <w:r w:rsidRPr="00D97D01">
              <w:rPr>
                <w:sz w:val="18"/>
                <w:szCs w:val="18"/>
              </w:rPr>
              <w:t>0.2091</w:t>
            </w:r>
          </w:p>
        </w:tc>
      </w:tr>
      <w:tr w:rsidR="00306C2B" w:rsidRPr="00306C2B" w14:paraId="08B86599" w14:textId="77777777" w:rsidTr="00830C24">
        <w:tblPrEx>
          <w:tblBorders>
            <w:bottom w:val="single" w:sz="6" w:space="0" w:color="auto"/>
          </w:tblBorders>
        </w:tblPrEx>
        <w:trPr>
          <w:jc w:val="center"/>
        </w:trPr>
        <w:tc>
          <w:tcPr>
            <w:tcW w:w="0" w:type="auto"/>
            <w:tcBorders>
              <w:top w:val="single" w:sz="4" w:space="0" w:color="auto"/>
              <w:left w:val="nil"/>
              <w:bottom w:val="nil"/>
              <w:right w:val="nil"/>
            </w:tcBorders>
          </w:tcPr>
          <w:p w14:paraId="18915CAA" w14:textId="77777777" w:rsidR="00306C2B" w:rsidRPr="00306C2B" w:rsidRDefault="00306C2B" w:rsidP="00830C24">
            <w:pPr>
              <w:widowControl w:val="0"/>
              <w:autoSpaceDE w:val="0"/>
              <w:autoSpaceDN w:val="0"/>
              <w:adjustRightInd w:val="0"/>
              <w:rPr>
                <w:sz w:val="18"/>
                <w:szCs w:val="18"/>
              </w:rPr>
            </w:pPr>
          </w:p>
        </w:tc>
        <w:tc>
          <w:tcPr>
            <w:tcW w:w="0" w:type="auto"/>
            <w:tcBorders>
              <w:top w:val="single" w:sz="4" w:space="0" w:color="auto"/>
              <w:left w:val="nil"/>
              <w:bottom w:val="nil"/>
              <w:right w:val="nil"/>
            </w:tcBorders>
          </w:tcPr>
          <w:p w14:paraId="1B9CAFB7"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650DBDAB"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5B32402E"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31D5169A"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56D0EF61"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287C497C"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431BED71"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2170E843"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single" w:sz="4" w:space="0" w:color="auto"/>
              <w:left w:val="nil"/>
              <w:bottom w:val="nil"/>
              <w:right w:val="nil"/>
            </w:tcBorders>
          </w:tcPr>
          <w:p w14:paraId="038B0E83" w14:textId="77777777" w:rsidR="00306C2B" w:rsidRPr="00306C2B" w:rsidRDefault="00306C2B" w:rsidP="00830C24">
            <w:pPr>
              <w:widowControl w:val="0"/>
              <w:autoSpaceDE w:val="0"/>
              <w:autoSpaceDN w:val="0"/>
              <w:adjustRightInd w:val="0"/>
              <w:jc w:val="center"/>
              <w:rPr>
                <w:sz w:val="18"/>
                <w:szCs w:val="18"/>
              </w:rPr>
            </w:pPr>
          </w:p>
        </w:tc>
      </w:tr>
      <w:tr w:rsidR="00306C2B" w:rsidRPr="00306C2B" w14:paraId="1A46F835" w14:textId="77777777" w:rsidTr="00830C24">
        <w:tblPrEx>
          <w:tblBorders>
            <w:bottom w:val="single" w:sz="6" w:space="0" w:color="auto"/>
          </w:tblBorders>
        </w:tblPrEx>
        <w:trPr>
          <w:jc w:val="center"/>
        </w:trPr>
        <w:tc>
          <w:tcPr>
            <w:tcW w:w="0" w:type="auto"/>
            <w:gridSpan w:val="10"/>
            <w:tcBorders>
              <w:top w:val="nil"/>
              <w:left w:val="nil"/>
              <w:bottom w:val="nil"/>
              <w:right w:val="nil"/>
            </w:tcBorders>
          </w:tcPr>
          <w:p w14:paraId="251E664A" w14:textId="0C71B608" w:rsidR="00306C2B" w:rsidRPr="00306C2B" w:rsidRDefault="00306C2B" w:rsidP="00830C24">
            <w:pPr>
              <w:widowControl w:val="0"/>
              <w:autoSpaceDE w:val="0"/>
              <w:autoSpaceDN w:val="0"/>
              <w:adjustRightInd w:val="0"/>
              <w:jc w:val="both"/>
              <w:rPr>
                <w:sz w:val="18"/>
                <w:szCs w:val="18"/>
              </w:rPr>
            </w:pPr>
            <w:r w:rsidRPr="00306C2B">
              <w:rPr>
                <w:bCs/>
                <w:sz w:val="18"/>
                <w:szCs w:val="18"/>
              </w:rPr>
              <w:t>This table presents</w:t>
            </w:r>
            <w:r w:rsidRPr="00306C2B">
              <w:rPr>
                <w:sz w:val="18"/>
                <w:szCs w:val="18"/>
              </w:rPr>
              <w:t xml:space="preserve"> the results of the difference-and-differences analysis comparing investments of the treatment group to investments of the control group. The treatment group is restricted to only industries with negative market reaction</w:t>
            </w:r>
            <w:r>
              <w:rPr>
                <w:sz w:val="18"/>
                <w:szCs w:val="18"/>
              </w:rPr>
              <w:t>s</w:t>
            </w:r>
            <w:r w:rsidRPr="00306C2B">
              <w:rPr>
                <w:sz w:val="18"/>
                <w:szCs w:val="18"/>
              </w:rPr>
              <w:t xml:space="preserve"> after CFIUS interventions</w:t>
            </w:r>
            <w:r>
              <w:rPr>
                <w:sz w:val="18"/>
                <w:szCs w:val="18"/>
              </w:rPr>
              <w:t xml:space="preserve"> </w:t>
            </w:r>
            <w:r w:rsidRPr="00306C2B">
              <w:rPr>
                <w:sz w:val="18"/>
                <w:szCs w:val="18"/>
              </w:rPr>
              <w:t xml:space="preserve">using the </w:t>
            </w:r>
            <w:r>
              <w:rPr>
                <w:sz w:val="18"/>
                <w:szCs w:val="18"/>
              </w:rPr>
              <w:t>Fama-French plus momentum model</w:t>
            </w:r>
            <w:r w:rsidRPr="00306C2B">
              <w:rPr>
                <w:sz w:val="18"/>
                <w:szCs w:val="18"/>
              </w:rPr>
              <w:t>. Please refer to Appendix C for variable definitions and data sources. All continuous variables are winsorized at the 1st and the 99th percentiles. All regressions include firm and year fixed effects. Standard errors are clustered at industry level (t-stat in brackets). ***, **, and * indicate statistical significance at the 1%, 5%, and 10% two-tails levels respectively.</w:t>
            </w:r>
          </w:p>
        </w:tc>
      </w:tr>
      <w:tr w:rsidR="00306C2B" w:rsidRPr="00306C2B" w14:paraId="2C75AF65" w14:textId="77777777" w:rsidTr="00830C24">
        <w:tblPrEx>
          <w:tblBorders>
            <w:bottom w:val="single" w:sz="6" w:space="0" w:color="auto"/>
          </w:tblBorders>
        </w:tblPrEx>
        <w:trPr>
          <w:jc w:val="center"/>
        </w:trPr>
        <w:tc>
          <w:tcPr>
            <w:tcW w:w="0" w:type="auto"/>
            <w:tcBorders>
              <w:top w:val="nil"/>
              <w:left w:val="nil"/>
              <w:bottom w:val="nil"/>
              <w:right w:val="nil"/>
            </w:tcBorders>
          </w:tcPr>
          <w:p w14:paraId="2FACBC22" w14:textId="77777777" w:rsidR="00306C2B" w:rsidRPr="00306C2B" w:rsidRDefault="00306C2B" w:rsidP="00830C24">
            <w:pPr>
              <w:widowControl w:val="0"/>
              <w:autoSpaceDE w:val="0"/>
              <w:autoSpaceDN w:val="0"/>
              <w:adjustRightInd w:val="0"/>
              <w:rPr>
                <w:sz w:val="18"/>
                <w:szCs w:val="18"/>
              </w:rPr>
            </w:pPr>
          </w:p>
        </w:tc>
        <w:tc>
          <w:tcPr>
            <w:tcW w:w="0" w:type="auto"/>
            <w:tcBorders>
              <w:top w:val="nil"/>
              <w:left w:val="nil"/>
              <w:bottom w:val="nil"/>
              <w:right w:val="nil"/>
            </w:tcBorders>
          </w:tcPr>
          <w:p w14:paraId="10BA24A5"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501C7B92"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6FBD81A1"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5422E56A"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59C7EAF3"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658D4524"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77A26040"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2B535FDA" w14:textId="77777777" w:rsidR="00306C2B" w:rsidRPr="00306C2B" w:rsidRDefault="00306C2B" w:rsidP="00830C24">
            <w:pPr>
              <w:widowControl w:val="0"/>
              <w:autoSpaceDE w:val="0"/>
              <w:autoSpaceDN w:val="0"/>
              <w:adjustRightInd w:val="0"/>
              <w:jc w:val="center"/>
              <w:rPr>
                <w:sz w:val="18"/>
                <w:szCs w:val="18"/>
              </w:rPr>
            </w:pPr>
          </w:p>
        </w:tc>
        <w:tc>
          <w:tcPr>
            <w:tcW w:w="0" w:type="auto"/>
            <w:tcBorders>
              <w:top w:val="nil"/>
              <w:left w:val="nil"/>
              <w:bottom w:val="nil"/>
              <w:right w:val="nil"/>
            </w:tcBorders>
          </w:tcPr>
          <w:p w14:paraId="3890F78D" w14:textId="77777777" w:rsidR="00306C2B" w:rsidRPr="00306C2B" w:rsidRDefault="00306C2B" w:rsidP="00830C24">
            <w:pPr>
              <w:widowControl w:val="0"/>
              <w:autoSpaceDE w:val="0"/>
              <w:autoSpaceDN w:val="0"/>
              <w:adjustRightInd w:val="0"/>
              <w:jc w:val="center"/>
              <w:rPr>
                <w:sz w:val="18"/>
                <w:szCs w:val="18"/>
              </w:rPr>
            </w:pPr>
          </w:p>
        </w:tc>
      </w:tr>
    </w:tbl>
    <w:p w14:paraId="31661122" w14:textId="6DCE14B1" w:rsidR="00306C2B" w:rsidRDefault="00306C2B">
      <w:pPr>
        <w:spacing w:after="160" w:line="259" w:lineRule="auto"/>
        <w:rPr>
          <w:sz w:val="22"/>
          <w:szCs w:val="22"/>
        </w:rPr>
      </w:pPr>
    </w:p>
    <w:p w14:paraId="15FCBBBF" w14:textId="19627200" w:rsidR="00306C2B" w:rsidRDefault="00306C2B">
      <w:pPr>
        <w:spacing w:after="160" w:line="259" w:lineRule="auto"/>
        <w:rPr>
          <w:sz w:val="22"/>
          <w:szCs w:val="22"/>
        </w:rPr>
      </w:pPr>
      <w:r>
        <w:rPr>
          <w:sz w:val="22"/>
          <w:szCs w:val="22"/>
        </w:rPr>
        <w:br w:type="page"/>
      </w:r>
    </w:p>
    <w:p w14:paraId="69B846AF" w14:textId="77777777" w:rsidR="00A50F60" w:rsidRDefault="00A50F60">
      <w:pPr>
        <w:spacing w:after="160" w:line="259" w:lineRule="auto"/>
        <w:rPr>
          <w:sz w:val="22"/>
          <w:szCs w:val="22"/>
        </w:rPr>
      </w:pPr>
    </w:p>
    <w:p w14:paraId="161C3C8C" w14:textId="093BEB24" w:rsidR="00641D6D" w:rsidRPr="00AD55AA" w:rsidRDefault="0020179E" w:rsidP="007B6916">
      <w:pPr>
        <w:spacing w:after="160" w:line="259" w:lineRule="auto"/>
        <w:rPr>
          <w:rStyle w:val="Normal2Car"/>
        </w:rPr>
      </w:pPr>
      <w:r w:rsidRPr="00AD55AA">
        <w:rPr>
          <w:b/>
        </w:rPr>
        <w:t xml:space="preserve">Appendix A – Data </w:t>
      </w:r>
      <w:r w:rsidR="00D819EE">
        <w:rPr>
          <w:b/>
        </w:rPr>
        <w:t>c</w:t>
      </w:r>
      <w:r w:rsidRPr="00AD55AA">
        <w:rPr>
          <w:b/>
        </w:rPr>
        <w:t>onstruction</w:t>
      </w:r>
      <w:r w:rsidR="00D819EE">
        <w:rPr>
          <w:b/>
        </w:rPr>
        <w:t xml:space="preserve"> p</w:t>
      </w:r>
      <w:r w:rsidR="009A2F4F" w:rsidRPr="00AD55AA">
        <w:rPr>
          <w:b/>
        </w:rPr>
        <w:t>rocess</w:t>
      </w:r>
    </w:p>
    <w:p w14:paraId="2A9CEF3E" w14:textId="77777777" w:rsidR="009A2F4F" w:rsidRPr="00AD55AA" w:rsidRDefault="009A2F4F" w:rsidP="009A2F4F">
      <w:pPr>
        <w:spacing w:after="160" w:line="259" w:lineRule="auto"/>
        <w:rPr>
          <w:rStyle w:val="Normal2Car"/>
        </w:rPr>
      </w:pPr>
    </w:p>
    <w:tbl>
      <w:tblPr>
        <w:tblW w:w="5000" w:type="pct"/>
        <w:tblLook w:val="04A0" w:firstRow="1" w:lastRow="0" w:firstColumn="1" w:lastColumn="0" w:noHBand="0" w:noVBand="1"/>
      </w:tblPr>
      <w:tblGrid>
        <w:gridCol w:w="1720"/>
        <w:gridCol w:w="1599"/>
        <w:gridCol w:w="2172"/>
        <w:gridCol w:w="1683"/>
        <w:gridCol w:w="1893"/>
      </w:tblGrid>
      <w:tr w:rsidR="009A2F4F" w:rsidRPr="00AD55AA" w14:paraId="5D8783B3" w14:textId="77777777" w:rsidTr="00BC2838">
        <w:tc>
          <w:tcPr>
            <w:tcW w:w="5000" w:type="pct"/>
            <w:gridSpan w:val="5"/>
            <w:tcBorders>
              <w:top w:val="nil"/>
              <w:left w:val="nil"/>
              <w:right w:val="nil"/>
            </w:tcBorders>
          </w:tcPr>
          <w:p w14:paraId="6192F32A" w14:textId="579CA4F0" w:rsidR="009A2F4F" w:rsidRPr="00AD55AA" w:rsidRDefault="009A2F4F" w:rsidP="00AB6C46">
            <w:pPr>
              <w:widowControl w:val="0"/>
              <w:autoSpaceDE w:val="0"/>
              <w:autoSpaceDN w:val="0"/>
              <w:adjustRightInd w:val="0"/>
              <w:rPr>
                <w:sz w:val="20"/>
                <w:szCs w:val="20"/>
              </w:rPr>
            </w:pPr>
            <w:r w:rsidRPr="00AD55AA">
              <w:rPr>
                <w:b/>
                <w:bCs/>
                <w:sz w:val="20"/>
                <w:szCs w:val="20"/>
              </w:rPr>
              <w:t xml:space="preserve">Table </w:t>
            </w:r>
            <w:r w:rsidR="0022037D">
              <w:rPr>
                <w:b/>
                <w:bCs/>
                <w:sz w:val="20"/>
                <w:szCs w:val="20"/>
              </w:rPr>
              <w:t>A1</w:t>
            </w:r>
          </w:p>
        </w:tc>
      </w:tr>
      <w:tr w:rsidR="00BC2838" w:rsidRPr="00AD55AA" w14:paraId="7FBDCB71" w14:textId="77777777" w:rsidTr="00BC2838">
        <w:tc>
          <w:tcPr>
            <w:tcW w:w="5000" w:type="pct"/>
            <w:gridSpan w:val="5"/>
            <w:tcBorders>
              <w:top w:val="nil"/>
              <w:left w:val="nil"/>
              <w:bottom w:val="single" w:sz="4" w:space="0" w:color="auto"/>
              <w:right w:val="nil"/>
            </w:tcBorders>
          </w:tcPr>
          <w:p w14:paraId="1D00D3FD" w14:textId="7FE9F301" w:rsidR="008B7A8E" w:rsidRPr="00AD55AA" w:rsidRDefault="00D819EE" w:rsidP="00AB6C46">
            <w:pPr>
              <w:widowControl w:val="0"/>
              <w:autoSpaceDE w:val="0"/>
              <w:autoSpaceDN w:val="0"/>
              <w:adjustRightInd w:val="0"/>
              <w:rPr>
                <w:b/>
                <w:bCs/>
                <w:sz w:val="20"/>
                <w:szCs w:val="20"/>
              </w:rPr>
            </w:pPr>
            <w:r>
              <w:rPr>
                <w:b/>
                <w:bCs/>
                <w:sz w:val="20"/>
                <w:szCs w:val="20"/>
              </w:rPr>
              <w:t>CFIUS a</w:t>
            </w:r>
            <w:r w:rsidR="00BC2838" w:rsidRPr="00AD55AA">
              <w:rPr>
                <w:b/>
                <w:bCs/>
                <w:sz w:val="20"/>
                <w:szCs w:val="20"/>
              </w:rPr>
              <w:t>ctivities during FINSA</w:t>
            </w:r>
          </w:p>
          <w:p w14:paraId="7D3545A5" w14:textId="5AB133BD" w:rsidR="008B7A8E" w:rsidRPr="00AD55AA" w:rsidRDefault="008B7A8E" w:rsidP="008B7A8E">
            <w:pPr>
              <w:widowControl w:val="0"/>
              <w:autoSpaceDE w:val="0"/>
              <w:autoSpaceDN w:val="0"/>
              <w:adjustRightInd w:val="0"/>
              <w:jc w:val="both"/>
              <w:rPr>
                <w:sz w:val="20"/>
                <w:szCs w:val="20"/>
              </w:rPr>
            </w:pPr>
          </w:p>
        </w:tc>
      </w:tr>
      <w:tr w:rsidR="009A2F4F" w:rsidRPr="00AD55AA" w14:paraId="5D665757" w14:textId="77777777" w:rsidTr="00BC2838">
        <w:tc>
          <w:tcPr>
            <w:tcW w:w="948" w:type="pct"/>
            <w:tcBorders>
              <w:top w:val="single" w:sz="4" w:space="0" w:color="auto"/>
              <w:left w:val="nil"/>
              <w:bottom w:val="single" w:sz="4" w:space="0" w:color="auto"/>
              <w:right w:val="nil"/>
            </w:tcBorders>
            <w:hideMark/>
          </w:tcPr>
          <w:p w14:paraId="32D44404"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CFIUS annual report</w:t>
            </w:r>
          </w:p>
        </w:tc>
        <w:tc>
          <w:tcPr>
            <w:tcW w:w="882" w:type="pct"/>
            <w:tcBorders>
              <w:top w:val="single" w:sz="4" w:space="0" w:color="auto"/>
              <w:left w:val="nil"/>
              <w:bottom w:val="single" w:sz="4" w:space="0" w:color="auto"/>
              <w:right w:val="nil"/>
            </w:tcBorders>
          </w:tcPr>
          <w:p w14:paraId="14422D11"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Number of notices</w:t>
            </w:r>
          </w:p>
        </w:tc>
        <w:tc>
          <w:tcPr>
            <w:tcW w:w="1198" w:type="pct"/>
            <w:tcBorders>
              <w:top w:val="single" w:sz="4" w:space="0" w:color="auto"/>
              <w:left w:val="nil"/>
              <w:bottom w:val="single" w:sz="4" w:space="0" w:color="auto"/>
              <w:right w:val="nil"/>
            </w:tcBorders>
          </w:tcPr>
          <w:p w14:paraId="49C78FF6"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Number of investigations</w:t>
            </w:r>
          </w:p>
        </w:tc>
        <w:tc>
          <w:tcPr>
            <w:tcW w:w="928" w:type="pct"/>
            <w:tcBorders>
              <w:top w:val="single" w:sz="4" w:space="0" w:color="auto"/>
              <w:left w:val="nil"/>
              <w:bottom w:val="single" w:sz="4" w:space="0" w:color="auto"/>
              <w:right w:val="nil"/>
            </w:tcBorders>
          </w:tcPr>
          <w:p w14:paraId="07EA9F58"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Notices withdrawn</w:t>
            </w:r>
          </w:p>
        </w:tc>
        <w:tc>
          <w:tcPr>
            <w:tcW w:w="1043" w:type="pct"/>
            <w:tcBorders>
              <w:top w:val="single" w:sz="4" w:space="0" w:color="auto"/>
              <w:left w:val="nil"/>
              <w:bottom w:val="single" w:sz="4" w:space="0" w:color="auto"/>
              <w:right w:val="nil"/>
            </w:tcBorders>
          </w:tcPr>
          <w:p w14:paraId="4EEFB7AD"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Of which resubmitted</w:t>
            </w:r>
          </w:p>
        </w:tc>
      </w:tr>
      <w:tr w:rsidR="009A2F4F" w:rsidRPr="00AD55AA" w14:paraId="330B5F13" w14:textId="77777777" w:rsidTr="009A2F4F">
        <w:tc>
          <w:tcPr>
            <w:tcW w:w="948" w:type="pct"/>
            <w:hideMark/>
          </w:tcPr>
          <w:p w14:paraId="3A31893C" w14:textId="77777777" w:rsidR="009A2F4F" w:rsidRPr="00AD55AA" w:rsidRDefault="009A2F4F" w:rsidP="00AB6C46">
            <w:pPr>
              <w:widowControl w:val="0"/>
              <w:autoSpaceDE w:val="0"/>
              <w:autoSpaceDN w:val="0"/>
              <w:adjustRightInd w:val="0"/>
              <w:rPr>
                <w:sz w:val="20"/>
                <w:szCs w:val="20"/>
              </w:rPr>
            </w:pPr>
            <w:r w:rsidRPr="00AD55AA">
              <w:rPr>
                <w:sz w:val="20"/>
                <w:szCs w:val="20"/>
              </w:rPr>
              <w:t>2008</w:t>
            </w:r>
          </w:p>
        </w:tc>
        <w:tc>
          <w:tcPr>
            <w:tcW w:w="882" w:type="pct"/>
          </w:tcPr>
          <w:p w14:paraId="196A9A77"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155</w:t>
            </w:r>
          </w:p>
        </w:tc>
        <w:tc>
          <w:tcPr>
            <w:tcW w:w="1198" w:type="pct"/>
          </w:tcPr>
          <w:p w14:paraId="29B48EA4"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23</w:t>
            </w:r>
          </w:p>
        </w:tc>
        <w:tc>
          <w:tcPr>
            <w:tcW w:w="928" w:type="pct"/>
          </w:tcPr>
          <w:p w14:paraId="0ED0E107"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23</w:t>
            </w:r>
          </w:p>
        </w:tc>
        <w:tc>
          <w:tcPr>
            <w:tcW w:w="1043" w:type="pct"/>
          </w:tcPr>
          <w:p w14:paraId="7E558CE6"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5</w:t>
            </w:r>
          </w:p>
        </w:tc>
      </w:tr>
      <w:tr w:rsidR="009A2F4F" w:rsidRPr="00AD55AA" w14:paraId="21CFB354" w14:textId="77777777" w:rsidTr="009A2F4F">
        <w:tc>
          <w:tcPr>
            <w:tcW w:w="948" w:type="pct"/>
            <w:hideMark/>
          </w:tcPr>
          <w:p w14:paraId="564B17C5" w14:textId="77777777" w:rsidR="009A2F4F" w:rsidRPr="00AD55AA" w:rsidRDefault="009A2F4F" w:rsidP="00AB6C46">
            <w:pPr>
              <w:widowControl w:val="0"/>
              <w:autoSpaceDE w:val="0"/>
              <w:autoSpaceDN w:val="0"/>
              <w:adjustRightInd w:val="0"/>
              <w:rPr>
                <w:sz w:val="20"/>
                <w:szCs w:val="20"/>
              </w:rPr>
            </w:pPr>
            <w:r w:rsidRPr="00AD55AA">
              <w:rPr>
                <w:sz w:val="20"/>
                <w:szCs w:val="20"/>
              </w:rPr>
              <w:t>2009</w:t>
            </w:r>
          </w:p>
        </w:tc>
        <w:tc>
          <w:tcPr>
            <w:tcW w:w="882" w:type="pct"/>
          </w:tcPr>
          <w:p w14:paraId="19DBBF6E"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65</w:t>
            </w:r>
          </w:p>
        </w:tc>
        <w:tc>
          <w:tcPr>
            <w:tcW w:w="1198" w:type="pct"/>
          </w:tcPr>
          <w:p w14:paraId="1E4B90CA"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25</w:t>
            </w:r>
          </w:p>
        </w:tc>
        <w:tc>
          <w:tcPr>
            <w:tcW w:w="928" w:type="pct"/>
          </w:tcPr>
          <w:p w14:paraId="53FE6734"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7</w:t>
            </w:r>
          </w:p>
        </w:tc>
        <w:tc>
          <w:tcPr>
            <w:tcW w:w="1043" w:type="pct"/>
          </w:tcPr>
          <w:p w14:paraId="61CA1D37"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4</w:t>
            </w:r>
          </w:p>
        </w:tc>
      </w:tr>
      <w:tr w:rsidR="009A2F4F" w:rsidRPr="00AD55AA" w14:paraId="51E3C2E7" w14:textId="77777777" w:rsidTr="009A2F4F">
        <w:tc>
          <w:tcPr>
            <w:tcW w:w="948" w:type="pct"/>
            <w:hideMark/>
          </w:tcPr>
          <w:p w14:paraId="381F6A05" w14:textId="77777777" w:rsidR="009A2F4F" w:rsidRPr="00AD55AA" w:rsidRDefault="009A2F4F" w:rsidP="00AB6C46">
            <w:pPr>
              <w:widowControl w:val="0"/>
              <w:autoSpaceDE w:val="0"/>
              <w:autoSpaceDN w:val="0"/>
              <w:adjustRightInd w:val="0"/>
              <w:rPr>
                <w:sz w:val="20"/>
                <w:szCs w:val="20"/>
              </w:rPr>
            </w:pPr>
            <w:r w:rsidRPr="00AD55AA">
              <w:rPr>
                <w:sz w:val="20"/>
                <w:szCs w:val="20"/>
              </w:rPr>
              <w:t>2010</w:t>
            </w:r>
          </w:p>
        </w:tc>
        <w:tc>
          <w:tcPr>
            <w:tcW w:w="882" w:type="pct"/>
          </w:tcPr>
          <w:p w14:paraId="283306C1"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93</w:t>
            </w:r>
          </w:p>
        </w:tc>
        <w:tc>
          <w:tcPr>
            <w:tcW w:w="1198" w:type="pct"/>
          </w:tcPr>
          <w:p w14:paraId="4896D1C9"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35</w:t>
            </w:r>
          </w:p>
        </w:tc>
        <w:tc>
          <w:tcPr>
            <w:tcW w:w="928" w:type="pct"/>
          </w:tcPr>
          <w:p w14:paraId="5CFAE449"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12</w:t>
            </w:r>
          </w:p>
        </w:tc>
        <w:tc>
          <w:tcPr>
            <w:tcW w:w="1043" w:type="pct"/>
          </w:tcPr>
          <w:p w14:paraId="20149D50"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7</w:t>
            </w:r>
          </w:p>
        </w:tc>
      </w:tr>
      <w:tr w:rsidR="009A2F4F" w:rsidRPr="00AD55AA" w14:paraId="27A41A08" w14:textId="77777777" w:rsidTr="009A2F4F">
        <w:tc>
          <w:tcPr>
            <w:tcW w:w="948" w:type="pct"/>
            <w:hideMark/>
          </w:tcPr>
          <w:p w14:paraId="29B904A4" w14:textId="77777777" w:rsidR="009A2F4F" w:rsidRPr="00AD55AA" w:rsidRDefault="009A2F4F" w:rsidP="00AB6C46">
            <w:pPr>
              <w:widowControl w:val="0"/>
              <w:autoSpaceDE w:val="0"/>
              <w:autoSpaceDN w:val="0"/>
              <w:adjustRightInd w:val="0"/>
              <w:rPr>
                <w:sz w:val="20"/>
                <w:szCs w:val="20"/>
              </w:rPr>
            </w:pPr>
            <w:r w:rsidRPr="00AD55AA">
              <w:rPr>
                <w:sz w:val="20"/>
                <w:szCs w:val="20"/>
              </w:rPr>
              <w:t>2011</w:t>
            </w:r>
          </w:p>
        </w:tc>
        <w:tc>
          <w:tcPr>
            <w:tcW w:w="882" w:type="pct"/>
          </w:tcPr>
          <w:p w14:paraId="39F3D08F"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111</w:t>
            </w:r>
          </w:p>
        </w:tc>
        <w:tc>
          <w:tcPr>
            <w:tcW w:w="1198" w:type="pct"/>
          </w:tcPr>
          <w:p w14:paraId="5994D4A4"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40</w:t>
            </w:r>
          </w:p>
        </w:tc>
        <w:tc>
          <w:tcPr>
            <w:tcW w:w="928" w:type="pct"/>
          </w:tcPr>
          <w:p w14:paraId="3DAE777D"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6</w:t>
            </w:r>
          </w:p>
        </w:tc>
        <w:tc>
          <w:tcPr>
            <w:tcW w:w="1043" w:type="pct"/>
          </w:tcPr>
          <w:p w14:paraId="692ABD11"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6</w:t>
            </w:r>
          </w:p>
        </w:tc>
      </w:tr>
      <w:tr w:rsidR="009A2F4F" w:rsidRPr="00AD55AA" w14:paraId="010A1658" w14:textId="77777777" w:rsidTr="009A2F4F">
        <w:tc>
          <w:tcPr>
            <w:tcW w:w="948" w:type="pct"/>
            <w:hideMark/>
          </w:tcPr>
          <w:p w14:paraId="5D876B1D" w14:textId="77777777" w:rsidR="009A2F4F" w:rsidRPr="00AD55AA" w:rsidRDefault="009A2F4F" w:rsidP="00AB6C46">
            <w:pPr>
              <w:widowControl w:val="0"/>
              <w:autoSpaceDE w:val="0"/>
              <w:autoSpaceDN w:val="0"/>
              <w:adjustRightInd w:val="0"/>
              <w:rPr>
                <w:sz w:val="20"/>
                <w:szCs w:val="20"/>
              </w:rPr>
            </w:pPr>
            <w:r w:rsidRPr="00AD55AA">
              <w:rPr>
                <w:sz w:val="20"/>
                <w:szCs w:val="20"/>
              </w:rPr>
              <w:t>2012</w:t>
            </w:r>
          </w:p>
        </w:tc>
        <w:tc>
          <w:tcPr>
            <w:tcW w:w="882" w:type="pct"/>
          </w:tcPr>
          <w:p w14:paraId="2F2518F1"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114</w:t>
            </w:r>
          </w:p>
        </w:tc>
        <w:tc>
          <w:tcPr>
            <w:tcW w:w="1198" w:type="pct"/>
          </w:tcPr>
          <w:p w14:paraId="3D3AB47C"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45</w:t>
            </w:r>
          </w:p>
        </w:tc>
        <w:tc>
          <w:tcPr>
            <w:tcW w:w="928" w:type="pct"/>
          </w:tcPr>
          <w:p w14:paraId="102AD836"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22</w:t>
            </w:r>
          </w:p>
        </w:tc>
        <w:tc>
          <w:tcPr>
            <w:tcW w:w="1043" w:type="pct"/>
          </w:tcPr>
          <w:p w14:paraId="56B536F4"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12</w:t>
            </w:r>
          </w:p>
        </w:tc>
      </w:tr>
      <w:tr w:rsidR="009A2F4F" w:rsidRPr="00AD55AA" w14:paraId="34C651F3" w14:textId="77777777" w:rsidTr="009A2F4F">
        <w:tc>
          <w:tcPr>
            <w:tcW w:w="948" w:type="pct"/>
            <w:hideMark/>
          </w:tcPr>
          <w:p w14:paraId="7B07F06D" w14:textId="77777777" w:rsidR="009A2F4F" w:rsidRPr="00AD55AA" w:rsidRDefault="009A2F4F" w:rsidP="00AB6C46">
            <w:pPr>
              <w:widowControl w:val="0"/>
              <w:autoSpaceDE w:val="0"/>
              <w:autoSpaceDN w:val="0"/>
              <w:adjustRightInd w:val="0"/>
              <w:rPr>
                <w:sz w:val="20"/>
                <w:szCs w:val="20"/>
              </w:rPr>
            </w:pPr>
            <w:r w:rsidRPr="00AD55AA">
              <w:rPr>
                <w:sz w:val="20"/>
                <w:szCs w:val="20"/>
              </w:rPr>
              <w:t>2013</w:t>
            </w:r>
          </w:p>
        </w:tc>
        <w:tc>
          <w:tcPr>
            <w:tcW w:w="882" w:type="pct"/>
          </w:tcPr>
          <w:p w14:paraId="7A9F8A38"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97</w:t>
            </w:r>
          </w:p>
        </w:tc>
        <w:tc>
          <w:tcPr>
            <w:tcW w:w="1198" w:type="pct"/>
          </w:tcPr>
          <w:p w14:paraId="55867F0D"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48</w:t>
            </w:r>
          </w:p>
        </w:tc>
        <w:tc>
          <w:tcPr>
            <w:tcW w:w="928" w:type="pct"/>
          </w:tcPr>
          <w:p w14:paraId="23C5078A"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8</w:t>
            </w:r>
          </w:p>
        </w:tc>
        <w:tc>
          <w:tcPr>
            <w:tcW w:w="1043" w:type="pct"/>
          </w:tcPr>
          <w:p w14:paraId="58BF0F99"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NA</w:t>
            </w:r>
          </w:p>
        </w:tc>
      </w:tr>
      <w:tr w:rsidR="009A2F4F" w:rsidRPr="00AD55AA" w14:paraId="44390D2A" w14:textId="77777777" w:rsidTr="009A2F4F">
        <w:tc>
          <w:tcPr>
            <w:tcW w:w="948" w:type="pct"/>
            <w:hideMark/>
          </w:tcPr>
          <w:p w14:paraId="3742AA4C" w14:textId="77777777" w:rsidR="009A2F4F" w:rsidRPr="00AD55AA" w:rsidRDefault="009A2F4F" w:rsidP="00AB6C46">
            <w:pPr>
              <w:widowControl w:val="0"/>
              <w:autoSpaceDE w:val="0"/>
              <w:autoSpaceDN w:val="0"/>
              <w:adjustRightInd w:val="0"/>
              <w:rPr>
                <w:sz w:val="20"/>
                <w:szCs w:val="20"/>
              </w:rPr>
            </w:pPr>
            <w:r w:rsidRPr="00AD55AA">
              <w:rPr>
                <w:sz w:val="20"/>
                <w:szCs w:val="20"/>
              </w:rPr>
              <w:t>2014</w:t>
            </w:r>
          </w:p>
        </w:tc>
        <w:tc>
          <w:tcPr>
            <w:tcW w:w="882" w:type="pct"/>
          </w:tcPr>
          <w:p w14:paraId="138C0958"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147</w:t>
            </w:r>
          </w:p>
        </w:tc>
        <w:tc>
          <w:tcPr>
            <w:tcW w:w="1198" w:type="pct"/>
          </w:tcPr>
          <w:p w14:paraId="7E4F1F60"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51</w:t>
            </w:r>
          </w:p>
        </w:tc>
        <w:tc>
          <w:tcPr>
            <w:tcW w:w="928" w:type="pct"/>
          </w:tcPr>
          <w:p w14:paraId="3C739EBC"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12</w:t>
            </w:r>
          </w:p>
        </w:tc>
        <w:tc>
          <w:tcPr>
            <w:tcW w:w="1043" w:type="pct"/>
          </w:tcPr>
          <w:p w14:paraId="3A9D6BB0"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NA</w:t>
            </w:r>
          </w:p>
        </w:tc>
      </w:tr>
      <w:tr w:rsidR="009A2F4F" w:rsidRPr="00AD55AA" w14:paraId="275ACBD1" w14:textId="77777777" w:rsidTr="009A2F4F">
        <w:tc>
          <w:tcPr>
            <w:tcW w:w="948" w:type="pct"/>
            <w:hideMark/>
          </w:tcPr>
          <w:p w14:paraId="5BBAD002" w14:textId="77777777" w:rsidR="009A2F4F" w:rsidRPr="00AD55AA" w:rsidRDefault="009A2F4F" w:rsidP="00AB6C46">
            <w:pPr>
              <w:widowControl w:val="0"/>
              <w:autoSpaceDE w:val="0"/>
              <w:autoSpaceDN w:val="0"/>
              <w:adjustRightInd w:val="0"/>
              <w:rPr>
                <w:sz w:val="20"/>
                <w:szCs w:val="20"/>
              </w:rPr>
            </w:pPr>
            <w:r w:rsidRPr="00AD55AA">
              <w:rPr>
                <w:sz w:val="20"/>
                <w:szCs w:val="20"/>
              </w:rPr>
              <w:t>2015</w:t>
            </w:r>
          </w:p>
        </w:tc>
        <w:tc>
          <w:tcPr>
            <w:tcW w:w="882" w:type="pct"/>
          </w:tcPr>
          <w:p w14:paraId="28CACF12"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143</w:t>
            </w:r>
          </w:p>
        </w:tc>
        <w:tc>
          <w:tcPr>
            <w:tcW w:w="1198" w:type="pct"/>
          </w:tcPr>
          <w:p w14:paraId="0776A010"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66</w:t>
            </w:r>
          </w:p>
        </w:tc>
        <w:tc>
          <w:tcPr>
            <w:tcW w:w="928" w:type="pct"/>
          </w:tcPr>
          <w:p w14:paraId="6CE733F7"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13</w:t>
            </w:r>
          </w:p>
        </w:tc>
        <w:tc>
          <w:tcPr>
            <w:tcW w:w="1043" w:type="pct"/>
          </w:tcPr>
          <w:p w14:paraId="7CC186BC"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9</w:t>
            </w:r>
          </w:p>
        </w:tc>
      </w:tr>
      <w:tr w:rsidR="009A2F4F" w:rsidRPr="00AD55AA" w14:paraId="663D8360" w14:textId="77777777" w:rsidTr="009A2F4F">
        <w:tc>
          <w:tcPr>
            <w:tcW w:w="948" w:type="pct"/>
            <w:hideMark/>
          </w:tcPr>
          <w:p w14:paraId="6149CB98" w14:textId="77777777" w:rsidR="009A2F4F" w:rsidRPr="00AD55AA" w:rsidRDefault="009A2F4F" w:rsidP="00AB6C46">
            <w:pPr>
              <w:widowControl w:val="0"/>
              <w:autoSpaceDE w:val="0"/>
              <w:autoSpaceDN w:val="0"/>
              <w:adjustRightInd w:val="0"/>
              <w:rPr>
                <w:sz w:val="20"/>
                <w:szCs w:val="20"/>
              </w:rPr>
            </w:pPr>
            <w:r w:rsidRPr="00AD55AA">
              <w:rPr>
                <w:sz w:val="20"/>
                <w:szCs w:val="20"/>
              </w:rPr>
              <w:t>2016</w:t>
            </w:r>
          </w:p>
        </w:tc>
        <w:tc>
          <w:tcPr>
            <w:tcW w:w="882" w:type="pct"/>
          </w:tcPr>
          <w:p w14:paraId="671468AC"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172</w:t>
            </w:r>
          </w:p>
        </w:tc>
        <w:tc>
          <w:tcPr>
            <w:tcW w:w="1198" w:type="pct"/>
          </w:tcPr>
          <w:p w14:paraId="15008240"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79</w:t>
            </w:r>
          </w:p>
        </w:tc>
        <w:tc>
          <w:tcPr>
            <w:tcW w:w="928" w:type="pct"/>
          </w:tcPr>
          <w:p w14:paraId="4F919D14"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27</w:t>
            </w:r>
          </w:p>
        </w:tc>
        <w:tc>
          <w:tcPr>
            <w:tcW w:w="1043" w:type="pct"/>
          </w:tcPr>
          <w:p w14:paraId="2043DB37"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15</w:t>
            </w:r>
          </w:p>
        </w:tc>
      </w:tr>
      <w:tr w:rsidR="009A2F4F" w:rsidRPr="00AD55AA" w14:paraId="476C5396" w14:textId="77777777" w:rsidTr="009A2F4F">
        <w:tc>
          <w:tcPr>
            <w:tcW w:w="948" w:type="pct"/>
            <w:hideMark/>
          </w:tcPr>
          <w:p w14:paraId="60E5F521" w14:textId="77777777" w:rsidR="009A2F4F" w:rsidRPr="00AD55AA" w:rsidRDefault="009A2F4F" w:rsidP="00AB6C46">
            <w:pPr>
              <w:widowControl w:val="0"/>
              <w:autoSpaceDE w:val="0"/>
              <w:autoSpaceDN w:val="0"/>
              <w:adjustRightInd w:val="0"/>
              <w:rPr>
                <w:sz w:val="20"/>
                <w:szCs w:val="20"/>
              </w:rPr>
            </w:pPr>
            <w:r w:rsidRPr="00AD55AA">
              <w:rPr>
                <w:sz w:val="20"/>
                <w:szCs w:val="20"/>
              </w:rPr>
              <w:t>2017</w:t>
            </w:r>
          </w:p>
        </w:tc>
        <w:tc>
          <w:tcPr>
            <w:tcW w:w="882" w:type="pct"/>
          </w:tcPr>
          <w:p w14:paraId="70F9EB78"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237</w:t>
            </w:r>
          </w:p>
        </w:tc>
        <w:tc>
          <w:tcPr>
            <w:tcW w:w="1198" w:type="pct"/>
          </w:tcPr>
          <w:p w14:paraId="3ECB5DCB"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172</w:t>
            </w:r>
          </w:p>
        </w:tc>
        <w:tc>
          <w:tcPr>
            <w:tcW w:w="928" w:type="pct"/>
          </w:tcPr>
          <w:p w14:paraId="1ADA10B0"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74</w:t>
            </w:r>
          </w:p>
        </w:tc>
        <w:tc>
          <w:tcPr>
            <w:tcW w:w="1043" w:type="pct"/>
          </w:tcPr>
          <w:p w14:paraId="3ABEDE8B"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44</w:t>
            </w:r>
          </w:p>
        </w:tc>
      </w:tr>
      <w:tr w:rsidR="009A2F4F" w:rsidRPr="00AD55AA" w14:paraId="33CBA31A" w14:textId="77777777" w:rsidTr="009A2F4F">
        <w:tc>
          <w:tcPr>
            <w:tcW w:w="948" w:type="pct"/>
            <w:hideMark/>
          </w:tcPr>
          <w:p w14:paraId="21CF7A36" w14:textId="77777777" w:rsidR="009A2F4F" w:rsidRPr="00AD55AA" w:rsidRDefault="009A2F4F" w:rsidP="00AB6C46">
            <w:pPr>
              <w:widowControl w:val="0"/>
              <w:autoSpaceDE w:val="0"/>
              <w:autoSpaceDN w:val="0"/>
              <w:adjustRightInd w:val="0"/>
              <w:rPr>
                <w:sz w:val="20"/>
                <w:szCs w:val="20"/>
              </w:rPr>
            </w:pPr>
            <w:r w:rsidRPr="00AD55AA">
              <w:rPr>
                <w:sz w:val="20"/>
                <w:szCs w:val="20"/>
              </w:rPr>
              <w:t>2018</w:t>
            </w:r>
          </w:p>
        </w:tc>
        <w:tc>
          <w:tcPr>
            <w:tcW w:w="882" w:type="pct"/>
          </w:tcPr>
          <w:p w14:paraId="2F901F7E"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229</w:t>
            </w:r>
          </w:p>
        </w:tc>
        <w:tc>
          <w:tcPr>
            <w:tcW w:w="1198" w:type="pct"/>
          </w:tcPr>
          <w:p w14:paraId="4714EF41"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158</w:t>
            </w:r>
          </w:p>
        </w:tc>
        <w:tc>
          <w:tcPr>
            <w:tcW w:w="928" w:type="pct"/>
          </w:tcPr>
          <w:p w14:paraId="092B5939"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66</w:t>
            </w:r>
          </w:p>
        </w:tc>
        <w:tc>
          <w:tcPr>
            <w:tcW w:w="1043" w:type="pct"/>
          </w:tcPr>
          <w:p w14:paraId="5F0A938E"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42</w:t>
            </w:r>
          </w:p>
        </w:tc>
      </w:tr>
      <w:tr w:rsidR="009A2F4F" w:rsidRPr="00AD55AA" w14:paraId="7F0B01BF" w14:textId="77777777" w:rsidTr="009A2F4F">
        <w:tc>
          <w:tcPr>
            <w:tcW w:w="948" w:type="pct"/>
            <w:tcBorders>
              <w:bottom w:val="single" w:sz="4" w:space="0" w:color="auto"/>
            </w:tcBorders>
            <w:hideMark/>
          </w:tcPr>
          <w:p w14:paraId="263CE13B" w14:textId="77777777" w:rsidR="009A2F4F" w:rsidRPr="00AD55AA" w:rsidRDefault="009A2F4F" w:rsidP="00AB6C46">
            <w:pPr>
              <w:widowControl w:val="0"/>
              <w:autoSpaceDE w:val="0"/>
              <w:autoSpaceDN w:val="0"/>
              <w:adjustRightInd w:val="0"/>
              <w:rPr>
                <w:sz w:val="20"/>
                <w:szCs w:val="20"/>
              </w:rPr>
            </w:pPr>
            <w:r w:rsidRPr="00AD55AA">
              <w:rPr>
                <w:sz w:val="20"/>
                <w:szCs w:val="20"/>
              </w:rPr>
              <w:t>2019</w:t>
            </w:r>
          </w:p>
        </w:tc>
        <w:tc>
          <w:tcPr>
            <w:tcW w:w="882" w:type="pct"/>
            <w:tcBorders>
              <w:bottom w:val="single" w:sz="4" w:space="0" w:color="auto"/>
            </w:tcBorders>
          </w:tcPr>
          <w:p w14:paraId="08996489"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231</w:t>
            </w:r>
          </w:p>
        </w:tc>
        <w:tc>
          <w:tcPr>
            <w:tcW w:w="1198" w:type="pct"/>
            <w:tcBorders>
              <w:bottom w:val="single" w:sz="4" w:space="0" w:color="auto"/>
            </w:tcBorders>
          </w:tcPr>
          <w:p w14:paraId="7FB295E9"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113</w:t>
            </w:r>
          </w:p>
        </w:tc>
        <w:tc>
          <w:tcPr>
            <w:tcW w:w="928" w:type="pct"/>
            <w:tcBorders>
              <w:bottom w:val="single" w:sz="4" w:space="0" w:color="auto"/>
            </w:tcBorders>
          </w:tcPr>
          <w:p w14:paraId="012E0A0D"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30</w:t>
            </w:r>
          </w:p>
        </w:tc>
        <w:tc>
          <w:tcPr>
            <w:tcW w:w="1043" w:type="pct"/>
            <w:tcBorders>
              <w:bottom w:val="single" w:sz="4" w:space="0" w:color="auto"/>
            </w:tcBorders>
          </w:tcPr>
          <w:p w14:paraId="5E4458AE"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18</w:t>
            </w:r>
          </w:p>
        </w:tc>
      </w:tr>
      <w:tr w:rsidR="009A2F4F" w:rsidRPr="00AD55AA" w14:paraId="402A1D19" w14:textId="77777777" w:rsidTr="009A2F4F">
        <w:tc>
          <w:tcPr>
            <w:tcW w:w="948" w:type="pct"/>
            <w:tcBorders>
              <w:top w:val="single" w:sz="4" w:space="0" w:color="auto"/>
              <w:left w:val="nil"/>
              <w:bottom w:val="single" w:sz="4" w:space="0" w:color="auto"/>
              <w:right w:val="nil"/>
            </w:tcBorders>
            <w:hideMark/>
          </w:tcPr>
          <w:p w14:paraId="644EEF53" w14:textId="77777777" w:rsidR="009A2F4F" w:rsidRPr="00AD55AA" w:rsidRDefault="009A2F4F" w:rsidP="00AB6C46">
            <w:pPr>
              <w:widowControl w:val="0"/>
              <w:autoSpaceDE w:val="0"/>
              <w:autoSpaceDN w:val="0"/>
              <w:adjustRightInd w:val="0"/>
              <w:rPr>
                <w:sz w:val="20"/>
                <w:szCs w:val="20"/>
              </w:rPr>
            </w:pPr>
            <w:r w:rsidRPr="00AD55AA">
              <w:rPr>
                <w:sz w:val="20"/>
                <w:szCs w:val="20"/>
              </w:rPr>
              <w:t>Total</w:t>
            </w:r>
          </w:p>
        </w:tc>
        <w:tc>
          <w:tcPr>
            <w:tcW w:w="882" w:type="pct"/>
            <w:tcBorders>
              <w:top w:val="single" w:sz="4" w:space="0" w:color="auto"/>
              <w:left w:val="nil"/>
              <w:bottom w:val="single" w:sz="4" w:space="0" w:color="auto"/>
              <w:right w:val="nil"/>
            </w:tcBorders>
          </w:tcPr>
          <w:p w14:paraId="43403591"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1,794</w:t>
            </w:r>
          </w:p>
        </w:tc>
        <w:tc>
          <w:tcPr>
            <w:tcW w:w="1198" w:type="pct"/>
            <w:tcBorders>
              <w:top w:val="single" w:sz="4" w:space="0" w:color="auto"/>
              <w:left w:val="nil"/>
              <w:bottom w:val="single" w:sz="4" w:space="0" w:color="auto"/>
              <w:right w:val="nil"/>
            </w:tcBorders>
          </w:tcPr>
          <w:p w14:paraId="1153E388"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855</w:t>
            </w:r>
          </w:p>
        </w:tc>
        <w:tc>
          <w:tcPr>
            <w:tcW w:w="928" w:type="pct"/>
            <w:tcBorders>
              <w:top w:val="single" w:sz="4" w:space="0" w:color="auto"/>
              <w:left w:val="nil"/>
              <w:bottom w:val="single" w:sz="4" w:space="0" w:color="auto"/>
              <w:right w:val="nil"/>
            </w:tcBorders>
          </w:tcPr>
          <w:p w14:paraId="5A4C8271"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300</w:t>
            </w:r>
          </w:p>
        </w:tc>
        <w:tc>
          <w:tcPr>
            <w:tcW w:w="1043" w:type="pct"/>
            <w:tcBorders>
              <w:top w:val="single" w:sz="4" w:space="0" w:color="auto"/>
              <w:left w:val="nil"/>
              <w:bottom w:val="single" w:sz="4" w:space="0" w:color="auto"/>
              <w:right w:val="nil"/>
            </w:tcBorders>
          </w:tcPr>
          <w:p w14:paraId="4434FF12" w14:textId="77777777" w:rsidR="009A2F4F" w:rsidRPr="00AD55AA" w:rsidRDefault="009A2F4F" w:rsidP="00AB6C46">
            <w:pPr>
              <w:widowControl w:val="0"/>
              <w:autoSpaceDE w:val="0"/>
              <w:autoSpaceDN w:val="0"/>
              <w:adjustRightInd w:val="0"/>
              <w:jc w:val="center"/>
              <w:rPr>
                <w:sz w:val="20"/>
                <w:szCs w:val="20"/>
              </w:rPr>
            </w:pPr>
            <w:r w:rsidRPr="00AD55AA">
              <w:rPr>
                <w:sz w:val="20"/>
                <w:szCs w:val="20"/>
              </w:rPr>
              <w:t>162</w:t>
            </w:r>
          </w:p>
        </w:tc>
      </w:tr>
      <w:tr w:rsidR="009A2F4F" w:rsidRPr="00AD55AA" w14:paraId="7F306FB5" w14:textId="77777777" w:rsidTr="00715E6E">
        <w:trPr>
          <w:trHeight w:val="156"/>
        </w:trPr>
        <w:tc>
          <w:tcPr>
            <w:tcW w:w="5000" w:type="pct"/>
            <w:gridSpan w:val="5"/>
            <w:tcBorders>
              <w:top w:val="single" w:sz="4" w:space="0" w:color="auto"/>
              <w:left w:val="nil"/>
              <w:right w:val="nil"/>
            </w:tcBorders>
          </w:tcPr>
          <w:p w14:paraId="2AAB0D78" w14:textId="68DD4E13" w:rsidR="009A2F4F" w:rsidRPr="00AD55AA" w:rsidRDefault="009F1655" w:rsidP="00715E6E">
            <w:pPr>
              <w:widowControl w:val="0"/>
              <w:autoSpaceDE w:val="0"/>
              <w:autoSpaceDN w:val="0"/>
              <w:adjustRightInd w:val="0"/>
              <w:jc w:val="both"/>
              <w:rPr>
                <w:sz w:val="20"/>
                <w:szCs w:val="20"/>
              </w:rPr>
            </w:pPr>
            <w:r>
              <w:rPr>
                <w:sz w:val="20"/>
                <w:szCs w:val="20"/>
              </w:rPr>
              <w:t>This</w:t>
            </w:r>
            <w:r w:rsidR="00715E6E" w:rsidRPr="00F83901">
              <w:rPr>
                <w:sz w:val="20"/>
                <w:szCs w:val="20"/>
              </w:rPr>
              <w:t xml:space="preserve"> table presents </w:t>
            </w:r>
            <w:r w:rsidR="00715E6E" w:rsidRPr="00AD55AA">
              <w:rPr>
                <w:sz w:val="20"/>
                <w:szCs w:val="20"/>
              </w:rPr>
              <w:t xml:space="preserve">CFIUS activities during FINSA. </w:t>
            </w:r>
            <w:r w:rsidR="00715E6E" w:rsidRPr="00AD55AA">
              <w:rPr>
                <w:bCs/>
                <w:sz w:val="20"/>
                <w:szCs w:val="20"/>
              </w:rPr>
              <w:t>Data are collected from CFIUS annual reports.</w:t>
            </w:r>
            <w:r w:rsidR="00715E6E">
              <w:rPr>
                <w:bCs/>
                <w:sz w:val="20"/>
                <w:szCs w:val="20"/>
              </w:rPr>
              <w:t xml:space="preserve"> </w:t>
            </w:r>
            <w:r w:rsidR="009A2F4F" w:rsidRPr="00AD55AA">
              <w:rPr>
                <w:sz w:val="20"/>
                <w:szCs w:val="20"/>
              </w:rPr>
              <w:t>NA indicates that figures are not available in CFIUS annual reports.</w:t>
            </w:r>
          </w:p>
        </w:tc>
      </w:tr>
    </w:tbl>
    <w:p w14:paraId="003A7F06" w14:textId="77777777" w:rsidR="009A2F4F" w:rsidRPr="00AD55AA" w:rsidRDefault="009A2F4F" w:rsidP="009A2F4F">
      <w:pPr>
        <w:spacing w:after="160" w:line="259" w:lineRule="auto"/>
        <w:rPr>
          <w:rStyle w:val="Normal2Car"/>
          <w:sz w:val="20"/>
        </w:rPr>
      </w:pPr>
    </w:p>
    <w:p w14:paraId="5F27BDDA" w14:textId="77777777" w:rsidR="009A2F4F" w:rsidRPr="00AD55AA" w:rsidRDefault="009A2F4F" w:rsidP="009A2F4F">
      <w:pPr>
        <w:spacing w:after="160" w:line="259" w:lineRule="auto"/>
        <w:rPr>
          <w:rStyle w:val="Normal2Car"/>
          <w:sz w:val="20"/>
        </w:rPr>
      </w:pPr>
    </w:p>
    <w:tbl>
      <w:tblPr>
        <w:tblW w:w="0" w:type="auto"/>
        <w:tblLook w:val="04A0" w:firstRow="1" w:lastRow="0" w:firstColumn="1" w:lastColumn="0" w:noHBand="0" w:noVBand="1"/>
      </w:tblPr>
      <w:tblGrid>
        <w:gridCol w:w="800"/>
        <w:gridCol w:w="1084"/>
        <w:gridCol w:w="1173"/>
        <w:gridCol w:w="1217"/>
        <w:gridCol w:w="1062"/>
        <w:gridCol w:w="1175"/>
        <w:gridCol w:w="1273"/>
        <w:gridCol w:w="1283"/>
      </w:tblGrid>
      <w:tr w:rsidR="00FF46A5" w:rsidRPr="00AD55AA" w14:paraId="2A1373DC" w14:textId="77777777" w:rsidTr="00484EF3">
        <w:tc>
          <w:tcPr>
            <w:tcW w:w="0" w:type="auto"/>
            <w:gridSpan w:val="8"/>
            <w:tcBorders>
              <w:top w:val="nil"/>
              <w:left w:val="nil"/>
              <w:right w:val="nil"/>
            </w:tcBorders>
          </w:tcPr>
          <w:p w14:paraId="3631A854" w14:textId="46DA2B1E" w:rsidR="00FF46A5" w:rsidRPr="00AD55AA" w:rsidRDefault="0022037D" w:rsidP="00FF46A5">
            <w:pPr>
              <w:widowControl w:val="0"/>
              <w:autoSpaceDE w:val="0"/>
              <w:autoSpaceDN w:val="0"/>
              <w:adjustRightInd w:val="0"/>
              <w:rPr>
                <w:sz w:val="20"/>
                <w:szCs w:val="20"/>
              </w:rPr>
            </w:pPr>
            <w:r>
              <w:rPr>
                <w:b/>
                <w:bCs/>
                <w:sz w:val="20"/>
                <w:szCs w:val="20"/>
              </w:rPr>
              <w:t>Table A2</w:t>
            </w:r>
          </w:p>
        </w:tc>
      </w:tr>
      <w:tr w:rsidR="00BC2838" w:rsidRPr="00AD55AA" w14:paraId="6C33ED5A" w14:textId="77777777" w:rsidTr="00484EF3">
        <w:tc>
          <w:tcPr>
            <w:tcW w:w="0" w:type="auto"/>
            <w:gridSpan w:val="8"/>
            <w:tcBorders>
              <w:left w:val="nil"/>
              <w:bottom w:val="single" w:sz="4" w:space="0" w:color="auto"/>
              <w:right w:val="nil"/>
            </w:tcBorders>
          </w:tcPr>
          <w:p w14:paraId="4968083E" w14:textId="37B544A7" w:rsidR="00BC2838" w:rsidRPr="00AD55AA" w:rsidRDefault="00D819EE" w:rsidP="00FF46A5">
            <w:pPr>
              <w:widowControl w:val="0"/>
              <w:autoSpaceDE w:val="0"/>
              <w:autoSpaceDN w:val="0"/>
              <w:adjustRightInd w:val="0"/>
              <w:rPr>
                <w:b/>
                <w:bCs/>
                <w:sz w:val="20"/>
                <w:szCs w:val="20"/>
              </w:rPr>
            </w:pPr>
            <w:r>
              <w:rPr>
                <w:b/>
                <w:bCs/>
                <w:sz w:val="20"/>
                <w:szCs w:val="20"/>
              </w:rPr>
              <w:t xml:space="preserve">Validation CFIUS </w:t>
            </w:r>
            <w:r w:rsidR="00980E54">
              <w:rPr>
                <w:b/>
                <w:bCs/>
                <w:sz w:val="20"/>
                <w:szCs w:val="20"/>
              </w:rPr>
              <w:t>a</w:t>
            </w:r>
            <w:r w:rsidR="00980E54" w:rsidRPr="00AD55AA">
              <w:rPr>
                <w:b/>
                <w:bCs/>
                <w:sz w:val="20"/>
                <w:szCs w:val="20"/>
              </w:rPr>
              <w:t>ctivities</w:t>
            </w:r>
          </w:p>
          <w:p w14:paraId="729228CB" w14:textId="7C87F495" w:rsidR="008B7A8E" w:rsidRPr="00AD55AA" w:rsidRDefault="008B7A8E" w:rsidP="008B7A8E">
            <w:pPr>
              <w:widowControl w:val="0"/>
              <w:autoSpaceDE w:val="0"/>
              <w:autoSpaceDN w:val="0"/>
              <w:adjustRightInd w:val="0"/>
              <w:jc w:val="both"/>
              <w:rPr>
                <w:b/>
                <w:bCs/>
                <w:sz w:val="20"/>
                <w:szCs w:val="20"/>
              </w:rPr>
            </w:pPr>
          </w:p>
        </w:tc>
      </w:tr>
      <w:tr w:rsidR="00FF46A5" w:rsidRPr="00AD55AA" w14:paraId="06F17FFE" w14:textId="77777777" w:rsidTr="00484EF3">
        <w:tc>
          <w:tcPr>
            <w:tcW w:w="0" w:type="auto"/>
            <w:tcBorders>
              <w:top w:val="single" w:sz="4" w:space="0" w:color="auto"/>
              <w:left w:val="nil"/>
              <w:right w:val="nil"/>
            </w:tcBorders>
            <w:hideMark/>
          </w:tcPr>
          <w:p w14:paraId="52BC154B" w14:textId="77777777" w:rsidR="009A2F4F" w:rsidRPr="00AD55AA" w:rsidRDefault="009A2F4F" w:rsidP="009A2F4F">
            <w:pPr>
              <w:widowControl w:val="0"/>
              <w:autoSpaceDE w:val="0"/>
              <w:autoSpaceDN w:val="0"/>
              <w:adjustRightInd w:val="0"/>
              <w:jc w:val="center"/>
              <w:rPr>
                <w:sz w:val="20"/>
                <w:szCs w:val="20"/>
              </w:rPr>
            </w:pPr>
            <w:r w:rsidRPr="00AD55AA">
              <w:rPr>
                <w:sz w:val="20"/>
                <w:szCs w:val="20"/>
              </w:rPr>
              <w:t>CFIUS annual report</w:t>
            </w:r>
          </w:p>
        </w:tc>
        <w:tc>
          <w:tcPr>
            <w:tcW w:w="0" w:type="auto"/>
            <w:tcBorders>
              <w:top w:val="single" w:sz="4" w:space="0" w:color="auto"/>
              <w:left w:val="nil"/>
              <w:right w:val="nil"/>
            </w:tcBorders>
          </w:tcPr>
          <w:p w14:paraId="1489CCC5" w14:textId="5D6C0549" w:rsidR="009A2F4F" w:rsidRPr="00AD55AA" w:rsidRDefault="009A2F4F" w:rsidP="009A2F4F">
            <w:pPr>
              <w:widowControl w:val="0"/>
              <w:autoSpaceDE w:val="0"/>
              <w:autoSpaceDN w:val="0"/>
              <w:adjustRightInd w:val="0"/>
              <w:jc w:val="center"/>
              <w:rPr>
                <w:sz w:val="20"/>
                <w:szCs w:val="20"/>
              </w:rPr>
            </w:pPr>
            <w:r w:rsidRPr="00AD55AA">
              <w:rPr>
                <w:sz w:val="20"/>
                <w:szCs w:val="20"/>
              </w:rPr>
              <w:t>Notices withdrawn</w:t>
            </w:r>
          </w:p>
        </w:tc>
        <w:tc>
          <w:tcPr>
            <w:tcW w:w="0" w:type="auto"/>
            <w:tcBorders>
              <w:top w:val="single" w:sz="4" w:space="0" w:color="auto"/>
              <w:left w:val="nil"/>
              <w:right w:val="nil"/>
            </w:tcBorders>
            <w:hideMark/>
          </w:tcPr>
          <w:p w14:paraId="058151F9" w14:textId="31F27314" w:rsidR="009A2F4F" w:rsidRPr="00AD55AA" w:rsidRDefault="009A2F4F" w:rsidP="009A2F4F">
            <w:pPr>
              <w:widowControl w:val="0"/>
              <w:autoSpaceDE w:val="0"/>
              <w:autoSpaceDN w:val="0"/>
              <w:adjustRightInd w:val="0"/>
              <w:jc w:val="center"/>
              <w:rPr>
                <w:sz w:val="20"/>
                <w:szCs w:val="20"/>
              </w:rPr>
            </w:pPr>
            <w:r w:rsidRPr="00AD55AA">
              <w:rPr>
                <w:sz w:val="20"/>
                <w:szCs w:val="20"/>
              </w:rPr>
              <w:t>Notices resubmitted</w:t>
            </w:r>
          </w:p>
        </w:tc>
        <w:tc>
          <w:tcPr>
            <w:tcW w:w="0" w:type="auto"/>
            <w:tcBorders>
              <w:top w:val="single" w:sz="4" w:space="0" w:color="auto"/>
              <w:left w:val="nil"/>
              <w:right w:val="nil"/>
            </w:tcBorders>
            <w:hideMark/>
          </w:tcPr>
          <w:p w14:paraId="4D327DF8" w14:textId="1C3372DE" w:rsidR="009A2F4F" w:rsidRPr="00AD55AA" w:rsidRDefault="009A2F4F" w:rsidP="009A2F4F">
            <w:pPr>
              <w:widowControl w:val="0"/>
              <w:autoSpaceDE w:val="0"/>
              <w:autoSpaceDN w:val="0"/>
              <w:adjustRightInd w:val="0"/>
              <w:jc w:val="center"/>
              <w:rPr>
                <w:sz w:val="20"/>
                <w:szCs w:val="20"/>
              </w:rPr>
            </w:pPr>
            <w:r w:rsidRPr="00AD55AA">
              <w:rPr>
                <w:sz w:val="20"/>
                <w:szCs w:val="20"/>
              </w:rPr>
              <w:t>Commercial reasons</w:t>
            </w:r>
          </w:p>
        </w:tc>
        <w:tc>
          <w:tcPr>
            <w:tcW w:w="0" w:type="auto"/>
            <w:tcBorders>
              <w:top w:val="single" w:sz="4" w:space="0" w:color="auto"/>
              <w:left w:val="nil"/>
              <w:right w:val="nil"/>
            </w:tcBorders>
          </w:tcPr>
          <w:p w14:paraId="25177BFF" w14:textId="1E4C12E0" w:rsidR="009A2F4F" w:rsidRPr="00AD55AA" w:rsidRDefault="00715E6E" w:rsidP="009A2F4F">
            <w:pPr>
              <w:widowControl w:val="0"/>
              <w:autoSpaceDE w:val="0"/>
              <w:autoSpaceDN w:val="0"/>
              <w:adjustRightInd w:val="0"/>
              <w:jc w:val="center"/>
              <w:rPr>
                <w:sz w:val="20"/>
                <w:szCs w:val="20"/>
              </w:rPr>
            </w:pPr>
            <w:r>
              <w:rPr>
                <w:sz w:val="20"/>
                <w:szCs w:val="20"/>
              </w:rPr>
              <w:t>Denial of regulatory approval</w:t>
            </w:r>
          </w:p>
        </w:tc>
        <w:tc>
          <w:tcPr>
            <w:tcW w:w="0" w:type="auto"/>
            <w:tcBorders>
              <w:top w:val="single" w:sz="4" w:space="0" w:color="auto"/>
              <w:left w:val="nil"/>
              <w:right w:val="nil"/>
            </w:tcBorders>
          </w:tcPr>
          <w:p w14:paraId="10FCA481" w14:textId="4EF790A6" w:rsidR="009A2F4F" w:rsidRPr="00AD55AA" w:rsidRDefault="009A2F4F" w:rsidP="009A2F4F">
            <w:pPr>
              <w:widowControl w:val="0"/>
              <w:autoSpaceDE w:val="0"/>
              <w:autoSpaceDN w:val="0"/>
              <w:adjustRightInd w:val="0"/>
              <w:jc w:val="center"/>
              <w:rPr>
                <w:sz w:val="20"/>
                <w:szCs w:val="20"/>
              </w:rPr>
            </w:pPr>
            <w:r w:rsidRPr="00AD55AA">
              <w:rPr>
                <w:sz w:val="20"/>
                <w:szCs w:val="20"/>
              </w:rPr>
              <w:t>Presidential decisions</w:t>
            </w:r>
          </w:p>
        </w:tc>
        <w:tc>
          <w:tcPr>
            <w:tcW w:w="0" w:type="auto"/>
            <w:tcBorders>
              <w:top w:val="single" w:sz="4" w:space="0" w:color="auto"/>
              <w:left w:val="nil"/>
              <w:right w:val="nil"/>
            </w:tcBorders>
          </w:tcPr>
          <w:p w14:paraId="473FAB8D" w14:textId="61D48B57" w:rsidR="009A2F4F" w:rsidRPr="00AD55AA" w:rsidRDefault="009A2F4F" w:rsidP="009A2F4F">
            <w:pPr>
              <w:widowControl w:val="0"/>
              <w:autoSpaceDE w:val="0"/>
              <w:autoSpaceDN w:val="0"/>
              <w:adjustRightInd w:val="0"/>
              <w:jc w:val="center"/>
              <w:rPr>
                <w:sz w:val="20"/>
                <w:szCs w:val="20"/>
              </w:rPr>
            </w:pPr>
            <w:r w:rsidRPr="00AD55AA">
              <w:rPr>
                <w:sz w:val="20"/>
                <w:szCs w:val="20"/>
              </w:rPr>
              <w:t>CFIUS interventions</w:t>
            </w:r>
          </w:p>
        </w:tc>
        <w:tc>
          <w:tcPr>
            <w:tcW w:w="0" w:type="auto"/>
            <w:tcBorders>
              <w:top w:val="single" w:sz="4" w:space="0" w:color="auto"/>
              <w:left w:val="nil"/>
              <w:right w:val="nil"/>
            </w:tcBorders>
          </w:tcPr>
          <w:p w14:paraId="70A50D06" w14:textId="71745482" w:rsidR="009A2F4F" w:rsidRPr="00AD55AA" w:rsidRDefault="009A2F4F" w:rsidP="009A2F4F">
            <w:pPr>
              <w:widowControl w:val="0"/>
              <w:autoSpaceDE w:val="0"/>
              <w:autoSpaceDN w:val="0"/>
              <w:adjustRightInd w:val="0"/>
              <w:jc w:val="center"/>
              <w:rPr>
                <w:sz w:val="20"/>
                <w:szCs w:val="20"/>
              </w:rPr>
            </w:pPr>
            <w:r w:rsidRPr="00AD55AA">
              <w:rPr>
                <w:sz w:val="20"/>
                <w:szCs w:val="20"/>
              </w:rPr>
              <w:t xml:space="preserve">CFIUS interventions </w:t>
            </w:r>
            <w:r w:rsidR="004E5EFF">
              <w:rPr>
                <w:sz w:val="20"/>
                <w:szCs w:val="20"/>
              </w:rPr>
              <w:t>detected</w:t>
            </w:r>
          </w:p>
        </w:tc>
      </w:tr>
      <w:tr w:rsidR="00484EF3" w:rsidRPr="00AD55AA" w14:paraId="3B5B2E31" w14:textId="77777777" w:rsidTr="00484EF3">
        <w:tc>
          <w:tcPr>
            <w:tcW w:w="0" w:type="auto"/>
            <w:tcBorders>
              <w:left w:val="nil"/>
              <w:bottom w:val="single" w:sz="4" w:space="0" w:color="auto"/>
              <w:right w:val="nil"/>
            </w:tcBorders>
          </w:tcPr>
          <w:p w14:paraId="2BF46835" w14:textId="77777777" w:rsidR="00484EF3" w:rsidRPr="00AD55AA" w:rsidRDefault="00484EF3" w:rsidP="009A2F4F">
            <w:pPr>
              <w:widowControl w:val="0"/>
              <w:autoSpaceDE w:val="0"/>
              <w:autoSpaceDN w:val="0"/>
              <w:adjustRightInd w:val="0"/>
              <w:jc w:val="center"/>
              <w:rPr>
                <w:sz w:val="20"/>
                <w:szCs w:val="20"/>
              </w:rPr>
            </w:pPr>
          </w:p>
        </w:tc>
        <w:tc>
          <w:tcPr>
            <w:tcW w:w="0" w:type="auto"/>
            <w:tcBorders>
              <w:left w:val="nil"/>
              <w:bottom w:val="single" w:sz="4" w:space="0" w:color="auto"/>
              <w:right w:val="nil"/>
            </w:tcBorders>
          </w:tcPr>
          <w:p w14:paraId="5A4E7ABE" w14:textId="1CE6CDA5" w:rsidR="00484EF3" w:rsidRPr="00AD55AA" w:rsidRDefault="00484EF3" w:rsidP="009A2F4F">
            <w:pPr>
              <w:widowControl w:val="0"/>
              <w:autoSpaceDE w:val="0"/>
              <w:autoSpaceDN w:val="0"/>
              <w:adjustRightInd w:val="0"/>
              <w:jc w:val="center"/>
              <w:rPr>
                <w:sz w:val="20"/>
                <w:szCs w:val="20"/>
              </w:rPr>
            </w:pPr>
            <w:r w:rsidRPr="00AD55AA">
              <w:rPr>
                <w:sz w:val="20"/>
                <w:szCs w:val="20"/>
              </w:rPr>
              <w:t>(A = B + C+ D)</w:t>
            </w:r>
          </w:p>
        </w:tc>
        <w:tc>
          <w:tcPr>
            <w:tcW w:w="0" w:type="auto"/>
            <w:tcBorders>
              <w:left w:val="nil"/>
              <w:bottom w:val="single" w:sz="4" w:space="0" w:color="auto"/>
              <w:right w:val="nil"/>
            </w:tcBorders>
          </w:tcPr>
          <w:p w14:paraId="0FC7B26E" w14:textId="04DB1515" w:rsidR="00484EF3" w:rsidRPr="00AD55AA" w:rsidRDefault="00484EF3" w:rsidP="009A2F4F">
            <w:pPr>
              <w:widowControl w:val="0"/>
              <w:autoSpaceDE w:val="0"/>
              <w:autoSpaceDN w:val="0"/>
              <w:adjustRightInd w:val="0"/>
              <w:jc w:val="center"/>
              <w:rPr>
                <w:sz w:val="20"/>
                <w:szCs w:val="20"/>
              </w:rPr>
            </w:pPr>
            <w:r w:rsidRPr="00AD55AA">
              <w:rPr>
                <w:sz w:val="20"/>
                <w:szCs w:val="20"/>
              </w:rPr>
              <w:t>(B)</w:t>
            </w:r>
          </w:p>
        </w:tc>
        <w:tc>
          <w:tcPr>
            <w:tcW w:w="0" w:type="auto"/>
            <w:tcBorders>
              <w:left w:val="nil"/>
              <w:bottom w:val="single" w:sz="4" w:space="0" w:color="auto"/>
              <w:right w:val="nil"/>
            </w:tcBorders>
          </w:tcPr>
          <w:p w14:paraId="7B14CC8C" w14:textId="7F05CA6B" w:rsidR="00484EF3" w:rsidRPr="00AD55AA" w:rsidRDefault="00484EF3" w:rsidP="009A2F4F">
            <w:pPr>
              <w:widowControl w:val="0"/>
              <w:autoSpaceDE w:val="0"/>
              <w:autoSpaceDN w:val="0"/>
              <w:adjustRightInd w:val="0"/>
              <w:jc w:val="center"/>
              <w:rPr>
                <w:sz w:val="20"/>
                <w:szCs w:val="20"/>
              </w:rPr>
            </w:pPr>
            <w:r w:rsidRPr="00AD55AA">
              <w:rPr>
                <w:sz w:val="20"/>
                <w:szCs w:val="20"/>
              </w:rPr>
              <w:t>(C)</w:t>
            </w:r>
          </w:p>
        </w:tc>
        <w:tc>
          <w:tcPr>
            <w:tcW w:w="0" w:type="auto"/>
            <w:tcBorders>
              <w:left w:val="nil"/>
              <w:bottom w:val="single" w:sz="4" w:space="0" w:color="auto"/>
              <w:right w:val="nil"/>
            </w:tcBorders>
          </w:tcPr>
          <w:p w14:paraId="67F8059A" w14:textId="3EECEC9B" w:rsidR="00484EF3" w:rsidRPr="00AD55AA" w:rsidRDefault="00484EF3" w:rsidP="009A2F4F">
            <w:pPr>
              <w:widowControl w:val="0"/>
              <w:autoSpaceDE w:val="0"/>
              <w:autoSpaceDN w:val="0"/>
              <w:adjustRightInd w:val="0"/>
              <w:jc w:val="center"/>
              <w:rPr>
                <w:sz w:val="20"/>
                <w:szCs w:val="20"/>
              </w:rPr>
            </w:pPr>
            <w:r w:rsidRPr="00AD55AA">
              <w:rPr>
                <w:sz w:val="20"/>
                <w:szCs w:val="20"/>
              </w:rPr>
              <w:t>(D)</w:t>
            </w:r>
          </w:p>
        </w:tc>
        <w:tc>
          <w:tcPr>
            <w:tcW w:w="0" w:type="auto"/>
            <w:tcBorders>
              <w:left w:val="nil"/>
              <w:bottom w:val="single" w:sz="4" w:space="0" w:color="auto"/>
              <w:right w:val="nil"/>
            </w:tcBorders>
          </w:tcPr>
          <w:p w14:paraId="30FBD0C5" w14:textId="0CB676C8" w:rsidR="00484EF3" w:rsidRPr="00AD55AA" w:rsidRDefault="00484EF3" w:rsidP="009A2F4F">
            <w:pPr>
              <w:widowControl w:val="0"/>
              <w:autoSpaceDE w:val="0"/>
              <w:autoSpaceDN w:val="0"/>
              <w:adjustRightInd w:val="0"/>
              <w:jc w:val="center"/>
              <w:rPr>
                <w:sz w:val="20"/>
                <w:szCs w:val="20"/>
              </w:rPr>
            </w:pPr>
            <w:r w:rsidRPr="00AD55AA">
              <w:rPr>
                <w:sz w:val="20"/>
                <w:szCs w:val="20"/>
              </w:rPr>
              <w:t>(E)</w:t>
            </w:r>
          </w:p>
        </w:tc>
        <w:tc>
          <w:tcPr>
            <w:tcW w:w="0" w:type="auto"/>
            <w:tcBorders>
              <w:left w:val="nil"/>
              <w:bottom w:val="single" w:sz="4" w:space="0" w:color="auto"/>
              <w:right w:val="nil"/>
            </w:tcBorders>
          </w:tcPr>
          <w:p w14:paraId="4784D7A7" w14:textId="76E8F38E" w:rsidR="00484EF3" w:rsidRPr="00AD55AA" w:rsidRDefault="00484EF3" w:rsidP="009A2F4F">
            <w:pPr>
              <w:widowControl w:val="0"/>
              <w:autoSpaceDE w:val="0"/>
              <w:autoSpaceDN w:val="0"/>
              <w:adjustRightInd w:val="0"/>
              <w:jc w:val="center"/>
              <w:rPr>
                <w:sz w:val="20"/>
                <w:szCs w:val="20"/>
              </w:rPr>
            </w:pPr>
            <w:r w:rsidRPr="00AD55AA">
              <w:rPr>
                <w:sz w:val="20"/>
                <w:szCs w:val="20"/>
              </w:rPr>
              <w:t>(F = D + E)</w:t>
            </w:r>
          </w:p>
        </w:tc>
        <w:tc>
          <w:tcPr>
            <w:tcW w:w="0" w:type="auto"/>
            <w:tcBorders>
              <w:left w:val="nil"/>
              <w:bottom w:val="single" w:sz="4" w:space="0" w:color="auto"/>
              <w:right w:val="nil"/>
            </w:tcBorders>
          </w:tcPr>
          <w:p w14:paraId="4E520373" w14:textId="77777777" w:rsidR="00484EF3" w:rsidRPr="00AD55AA" w:rsidRDefault="00484EF3" w:rsidP="009A2F4F">
            <w:pPr>
              <w:widowControl w:val="0"/>
              <w:autoSpaceDE w:val="0"/>
              <w:autoSpaceDN w:val="0"/>
              <w:adjustRightInd w:val="0"/>
              <w:jc w:val="center"/>
              <w:rPr>
                <w:sz w:val="20"/>
                <w:szCs w:val="20"/>
              </w:rPr>
            </w:pPr>
          </w:p>
        </w:tc>
      </w:tr>
      <w:tr w:rsidR="003C386F" w:rsidRPr="00AD55AA" w14:paraId="75BD72EB" w14:textId="77777777" w:rsidTr="00F57ACE">
        <w:tc>
          <w:tcPr>
            <w:tcW w:w="0" w:type="auto"/>
            <w:tcBorders>
              <w:top w:val="single" w:sz="4" w:space="0" w:color="auto"/>
            </w:tcBorders>
            <w:vAlign w:val="center"/>
            <w:hideMark/>
          </w:tcPr>
          <w:p w14:paraId="79C7DA75"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2015</w:t>
            </w:r>
          </w:p>
        </w:tc>
        <w:tc>
          <w:tcPr>
            <w:tcW w:w="0" w:type="auto"/>
            <w:tcBorders>
              <w:top w:val="single" w:sz="4" w:space="0" w:color="auto"/>
            </w:tcBorders>
            <w:vAlign w:val="center"/>
          </w:tcPr>
          <w:p w14:paraId="0314BAA3"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13</w:t>
            </w:r>
          </w:p>
        </w:tc>
        <w:tc>
          <w:tcPr>
            <w:tcW w:w="0" w:type="auto"/>
            <w:tcBorders>
              <w:top w:val="single" w:sz="4" w:space="0" w:color="auto"/>
            </w:tcBorders>
            <w:vAlign w:val="center"/>
          </w:tcPr>
          <w:p w14:paraId="4D48A3B4"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9</w:t>
            </w:r>
          </w:p>
        </w:tc>
        <w:tc>
          <w:tcPr>
            <w:tcW w:w="0" w:type="auto"/>
            <w:tcBorders>
              <w:top w:val="single" w:sz="4" w:space="0" w:color="auto"/>
            </w:tcBorders>
            <w:vAlign w:val="center"/>
          </w:tcPr>
          <w:p w14:paraId="76BD1BD6"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w:t>
            </w:r>
          </w:p>
        </w:tc>
        <w:tc>
          <w:tcPr>
            <w:tcW w:w="0" w:type="auto"/>
            <w:tcBorders>
              <w:top w:val="single" w:sz="4" w:space="0" w:color="auto"/>
            </w:tcBorders>
            <w:vAlign w:val="center"/>
          </w:tcPr>
          <w:p w14:paraId="4FE1E3B7"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3</w:t>
            </w:r>
          </w:p>
        </w:tc>
        <w:tc>
          <w:tcPr>
            <w:tcW w:w="0" w:type="auto"/>
            <w:tcBorders>
              <w:top w:val="single" w:sz="4" w:space="0" w:color="auto"/>
            </w:tcBorders>
            <w:vAlign w:val="center"/>
          </w:tcPr>
          <w:p w14:paraId="27E9D0CD"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0</w:t>
            </w:r>
          </w:p>
        </w:tc>
        <w:tc>
          <w:tcPr>
            <w:tcW w:w="0" w:type="auto"/>
            <w:tcBorders>
              <w:top w:val="single" w:sz="4" w:space="0" w:color="auto"/>
            </w:tcBorders>
            <w:vAlign w:val="center"/>
          </w:tcPr>
          <w:p w14:paraId="4FFC22D6"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3</w:t>
            </w:r>
          </w:p>
        </w:tc>
        <w:tc>
          <w:tcPr>
            <w:tcW w:w="0" w:type="auto"/>
            <w:tcBorders>
              <w:top w:val="single" w:sz="4" w:space="0" w:color="auto"/>
            </w:tcBorders>
          </w:tcPr>
          <w:p w14:paraId="16D147D5" w14:textId="617734B7" w:rsidR="003C386F" w:rsidRPr="00AD55AA" w:rsidRDefault="003C386F" w:rsidP="003C386F">
            <w:pPr>
              <w:widowControl w:val="0"/>
              <w:autoSpaceDE w:val="0"/>
              <w:autoSpaceDN w:val="0"/>
              <w:adjustRightInd w:val="0"/>
              <w:jc w:val="center"/>
              <w:rPr>
                <w:sz w:val="20"/>
                <w:szCs w:val="20"/>
              </w:rPr>
            </w:pPr>
            <w:r>
              <w:rPr>
                <w:sz w:val="20"/>
                <w:szCs w:val="20"/>
              </w:rPr>
              <w:t>1</w:t>
            </w:r>
          </w:p>
        </w:tc>
      </w:tr>
      <w:tr w:rsidR="003C386F" w:rsidRPr="00AD55AA" w14:paraId="578C621E" w14:textId="77777777" w:rsidTr="00F57ACE">
        <w:tc>
          <w:tcPr>
            <w:tcW w:w="0" w:type="auto"/>
            <w:vAlign w:val="center"/>
            <w:hideMark/>
          </w:tcPr>
          <w:p w14:paraId="7FEE9894"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2016</w:t>
            </w:r>
          </w:p>
        </w:tc>
        <w:tc>
          <w:tcPr>
            <w:tcW w:w="0" w:type="auto"/>
            <w:vAlign w:val="center"/>
          </w:tcPr>
          <w:p w14:paraId="7F6065AA"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27</w:t>
            </w:r>
          </w:p>
        </w:tc>
        <w:tc>
          <w:tcPr>
            <w:tcW w:w="0" w:type="auto"/>
            <w:vAlign w:val="center"/>
          </w:tcPr>
          <w:p w14:paraId="30292D5C"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15</w:t>
            </w:r>
          </w:p>
        </w:tc>
        <w:tc>
          <w:tcPr>
            <w:tcW w:w="0" w:type="auto"/>
            <w:vAlign w:val="center"/>
          </w:tcPr>
          <w:p w14:paraId="36BDECFA"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4</w:t>
            </w:r>
          </w:p>
        </w:tc>
        <w:tc>
          <w:tcPr>
            <w:tcW w:w="0" w:type="auto"/>
            <w:vAlign w:val="center"/>
          </w:tcPr>
          <w:p w14:paraId="2F390265"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8</w:t>
            </w:r>
          </w:p>
        </w:tc>
        <w:tc>
          <w:tcPr>
            <w:tcW w:w="0" w:type="auto"/>
            <w:vAlign w:val="center"/>
          </w:tcPr>
          <w:p w14:paraId="391DB2C9"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w:t>
            </w:r>
          </w:p>
        </w:tc>
        <w:tc>
          <w:tcPr>
            <w:tcW w:w="0" w:type="auto"/>
            <w:vAlign w:val="center"/>
          </w:tcPr>
          <w:p w14:paraId="4360978B"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9</w:t>
            </w:r>
          </w:p>
        </w:tc>
        <w:tc>
          <w:tcPr>
            <w:tcW w:w="0" w:type="auto"/>
          </w:tcPr>
          <w:p w14:paraId="6BA2971F" w14:textId="4AC0936E" w:rsidR="003C386F" w:rsidRPr="00AD55AA" w:rsidRDefault="003C386F" w:rsidP="003C386F">
            <w:pPr>
              <w:widowControl w:val="0"/>
              <w:autoSpaceDE w:val="0"/>
              <w:autoSpaceDN w:val="0"/>
              <w:adjustRightInd w:val="0"/>
              <w:jc w:val="center"/>
              <w:rPr>
                <w:sz w:val="20"/>
                <w:szCs w:val="20"/>
              </w:rPr>
            </w:pPr>
            <w:r>
              <w:rPr>
                <w:sz w:val="20"/>
                <w:szCs w:val="20"/>
              </w:rPr>
              <w:t>9</w:t>
            </w:r>
          </w:p>
        </w:tc>
      </w:tr>
      <w:tr w:rsidR="003C386F" w:rsidRPr="00AD55AA" w14:paraId="2D5C05D6" w14:textId="77777777" w:rsidTr="00F57ACE">
        <w:tc>
          <w:tcPr>
            <w:tcW w:w="0" w:type="auto"/>
            <w:vAlign w:val="center"/>
            <w:hideMark/>
          </w:tcPr>
          <w:p w14:paraId="3F9CFB6E"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2017</w:t>
            </w:r>
          </w:p>
        </w:tc>
        <w:tc>
          <w:tcPr>
            <w:tcW w:w="0" w:type="auto"/>
            <w:vAlign w:val="center"/>
          </w:tcPr>
          <w:p w14:paraId="04667F56"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74</w:t>
            </w:r>
          </w:p>
        </w:tc>
        <w:tc>
          <w:tcPr>
            <w:tcW w:w="0" w:type="auto"/>
            <w:vAlign w:val="center"/>
          </w:tcPr>
          <w:p w14:paraId="6B2FA795"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44</w:t>
            </w:r>
          </w:p>
        </w:tc>
        <w:tc>
          <w:tcPr>
            <w:tcW w:w="0" w:type="auto"/>
            <w:vAlign w:val="center"/>
          </w:tcPr>
          <w:p w14:paraId="1E3CF8D1"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4</w:t>
            </w:r>
          </w:p>
        </w:tc>
        <w:tc>
          <w:tcPr>
            <w:tcW w:w="0" w:type="auto"/>
            <w:vAlign w:val="center"/>
          </w:tcPr>
          <w:p w14:paraId="24221CCE"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26</w:t>
            </w:r>
          </w:p>
        </w:tc>
        <w:tc>
          <w:tcPr>
            <w:tcW w:w="0" w:type="auto"/>
            <w:vAlign w:val="center"/>
          </w:tcPr>
          <w:p w14:paraId="4BB7CB20"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w:t>
            </w:r>
          </w:p>
        </w:tc>
        <w:tc>
          <w:tcPr>
            <w:tcW w:w="0" w:type="auto"/>
            <w:vAlign w:val="center"/>
          </w:tcPr>
          <w:p w14:paraId="64F85E9E"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27</w:t>
            </w:r>
          </w:p>
        </w:tc>
        <w:tc>
          <w:tcPr>
            <w:tcW w:w="0" w:type="auto"/>
          </w:tcPr>
          <w:p w14:paraId="2752C4FE" w14:textId="5A9BF119" w:rsidR="003C386F" w:rsidRPr="00AD55AA" w:rsidRDefault="003C386F" w:rsidP="003C386F">
            <w:pPr>
              <w:widowControl w:val="0"/>
              <w:autoSpaceDE w:val="0"/>
              <w:autoSpaceDN w:val="0"/>
              <w:adjustRightInd w:val="0"/>
              <w:jc w:val="center"/>
              <w:rPr>
                <w:sz w:val="20"/>
                <w:szCs w:val="20"/>
              </w:rPr>
            </w:pPr>
            <w:r>
              <w:rPr>
                <w:sz w:val="20"/>
                <w:szCs w:val="20"/>
              </w:rPr>
              <w:t>13</w:t>
            </w:r>
          </w:p>
        </w:tc>
      </w:tr>
      <w:tr w:rsidR="003C386F" w:rsidRPr="00AD55AA" w14:paraId="79CA76CD" w14:textId="77777777" w:rsidTr="00F57ACE">
        <w:tc>
          <w:tcPr>
            <w:tcW w:w="0" w:type="auto"/>
            <w:vAlign w:val="center"/>
            <w:hideMark/>
          </w:tcPr>
          <w:p w14:paraId="3E58BA1C"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2018</w:t>
            </w:r>
          </w:p>
        </w:tc>
        <w:tc>
          <w:tcPr>
            <w:tcW w:w="0" w:type="auto"/>
            <w:vAlign w:val="center"/>
          </w:tcPr>
          <w:p w14:paraId="6CE89611"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66</w:t>
            </w:r>
          </w:p>
        </w:tc>
        <w:tc>
          <w:tcPr>
            <w:tcW w:w="0" w:type="auto"/>
            <w:vAlign w:val="center"/>
          </w:tcPr>
          <w:p w14:paraId="31D1F879"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42</w:t>
            </w:r>
          </w:p>
        </w:tc>
        <w:tc>
          <w:tcPr>
            <w:tcW w:w="0" w:type="auto"/>
            <w:vAlign w:val="center"/>
          </w:tcPr>
          <w:p w14:paraId="5F35FBD1"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5</w:t>
            </w:r>
          </w:p>
        </w:tc>
        <w:tc>
          <w:tcPr>
            <w:tcW w:w="0" w:type="auto"/>
            <w:vAlign w:val="center"/>
          </w:tcPr>
          <w:p w14:paraId="350A742B"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19</w:t>
            </w:r>
          </w:p>
        </w:tc>
        <w:tc>
          <w:tcPr>
            <w:tcW w:w="0" w:type="auto"/>
            <w:vAlign w:val="center"/>
          </w:tcPr>
          <w:p w14:paraId="6D175708"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w:t>
            </w:r>
          </w:p>
        </w:tc>
        <w:tc>
          <w:tcPr>
            <w:tcW w:w="0" w:type="auto"/>
            <w:vAlign w:val="center"/>
          </w:tcPr>
          <w:p w14:paraId="3372BDB3"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20</w:t>
            </w:r>
          </w:p>
        </w:tc>
        <w:tc>
          <w:tcPr>
            <w:tcW w:w="0" w:type="auto"/>
          </w:tcPr>
          <w:p w14:paraId="53E4562A" w14:textId="7FBC4B82" w:rsidR="003C386F" w:rsidRPr="00AD55AA" w:rsidRDefault="003C386F" w:rsidP="003C386F">
            <w:pPr>
              <w:widowControl w:val="0"/>
              <w:autoSpaceDE w:val="0"/>
              <w:autoSpaceDN w:val="0"/>
              <w:adjustRightInd w:val="0"/>
              <w:jc w:val="center"/>
              <w:rPr>
                <w:sz w:val="20"/>
                <w:szCs w:val="20"/>
              </w:rPr>
            </w:pPr>
            <w:r>
              <w:rPr>
                <w:sz w:val="20"/>
                <w:szCs w:val="20"/>
              </w:rPr>
              <w:t>14</w:t>
            </w:r>
          </w:p>
        </w:tc>
      </w:tr>
      <w:tr w:rsidR="003C386F" w:rsidRPr="00AD55AA" w14:paraId="008E971D" w14:textId="77777777" w:rsidTr="00F57ACE">
        <w:tc>
          <w:tcPr>
            <w:tcW w:w="0" w:type="auto"/>
            <w:tcBorders>
              <w:bottom w:val="single" w:sz="4" w:space="0" w:color="auto"/>
            </w:tcBorders>
            <w:vAlign w:val="center"/>
            <w:hideMark/>
          </w:tcPr>
          <w:p w14:paraId="673C85BD"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2019</w:t>
            </w:r>
          </w:p>
        </w:tc>
        <w:tc>
          <w:tcPr>
            <w:tcW w:w="0" w:type="auto"/>
            <w:tcBorders>
              <w:bottom w:val="single" w:sz="4" w:space="0" w:color="auto"/>
            </w:tcBorders>
            <w:vAlign w:val="center"/>
          </w:tcPr>
          <w:p w14:paraId="17E399D3"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30</w:t>
            </w:r>
          </w:p>
        </w:tc>
        <w:tc>
          <w:tcPr>
            <w:tcW w:w="0" w:type="auto"/>
            <w:tcBorders>
              <w:bottom w:val="single" w:sz="4" w:space="0" w:color="auto"/>
            </w:tcBorders>
            <w:vAlign w:val="center"/>
          </w:tcPr>
          <w:p w14:paraId="1190F84A"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18</w:t>
            </w:r>
          </w:p>
        </w:tc>
        <w:tc>
          <w:tcPr>
            <w:tcW w:w="0" w:type="auto"/>
            <w:tcBorders>
              <w:bottom w:val="single" w:sz="4" w:space="0" w:color="auto"/>
            </w:tcBorders>
            <w:vAlign w:val="center"/>
          </w:tcPr>
          <w:p w14:paraId="0191F10C"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4</w:t>
            </w:r>
          </w:p>
        </w:tc>
        <w:tc>
          <w:tcPr>
            <w:tcW w:w="0" w:type="auto"/>
            <w:tcBorders>
              <w:bottom w:val="single" w:sz="4" w:space="0" w:color="auto"/>
            </w:tcBorders>
            <w:vAlign w:val="center"/>
          </w:tcPr>
          <w:p w14:paraId="56D91BBF"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8</w:t>
            </w:r>
          </w:p>
        </w:tc>
        <w:tc>
          <w:tcPr>
            <w:tcW w:w="0" w:type="auto"/>
            <w:tcBorders>
              <w:bottom w:val="single" w:sz="4" w:space="0" w:color="auto"/>
            </w:tcBorders>
            <w:vAlign w:val="center"/>
          </w:tcPr>
          <w:p w14:paraId="620A45AD"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w:t>
            </w:r>
          </w:p>
        </w:tc>
        <w:tc>
          <w:tcPr>
            <w:tcW w:w="0" w:type="auto"/>
            <w:tcBorders>
              <w:bottom w:val="single" w:sz="4" w:space="0" w:color="auto"/>
            </w:tcBorders>
            <w:vAlign w:val="center"/>
          </w:tcPr>
          <w:p w14:paraId="3F1FFA9B"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9</w:t>
            </w:r>
          </w:p>
        </w:tc>
        <w:tc>
          <w:tcPr>
            <w:tcW w:w="0" w:type="auto"/>
            <w:tcBorders>
              <w:bottom w:val="single" w:sz="4" w:space="0" w:color="auto"/>
            </w:tcBorders>
          </w:tcPr>
          <w:p w14:paraId="48DDD058" w14:textId="0BAF7C4B" w:rsidR="003C386F" w:rsidRPr="00AD55AA" w:rsidRDefault="003C386F" w:rsidP="003C386F">
            <w:pPr>
              <w:widowControl w:val="0"/>
              <w:autoSpaceDE w:val="0"/>
              <w:autoSpaceDN w:val="0"/>
              <w:adjustRightInd w:val="0"/>
              <w:jc w:val="center"/>
              <w:rPr>
                <w:sz w:val="20"/>
                <w:szCs w:val="20"/>
              </w:rPr>
            </w:pPr>
            <w:r>
              <w:rPr>
                <w:sz w:val="20"/>
                <w:szCs w:val="20"/>
              </w:rPr>
              <w:t>4</w:t>
            </w:r>
          </w:p>
        </w:tc>
      </w:tr>
      <w:tr w:rsidR="003C386F" w:rsidRPr="00AD55AA" w14:paraId="27DEEDBA" w14:textId="77777777" w:rsidTr="00F57ACE">
        <w:tc>
          <w:tcPr>
            <w:tcW w:w="0" w:type="auto"/>
            <w:tcBorders>
              <w:top w:val="single" w:sz="4" w:space="0" w:color="auto"/>
              <w:left w:val="nil"/>
              <w:bottom w:val="single" w:sz="4" w:space="0" w:color="auto"/>
              <w:right w:val="nil"/>
            </w:tcBorders>
            <w:vAlign w:val="center"/>
            <w:hideMark/>
          </w:tcPr>
          <w:p w14:paraId="7947F086"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Total</w:t>
            </w:r>
          </w:p>
        </w:tc>
        <w:tc>
          <w:tcPr>
            <w:tcW w:w="0" w:type="auto"/>
            <w:tcBorders>
              <w:top w:val="single" w:sz="4" w:space="0" w:color="auto"/>
              <w:left w:val="nil"/>
              <w:bottom w:val="single" w:sz="4" w:space="0" w:color="auto"/>
              <w:right w:val="nil"/>
            </w:tcBorders>
            <w:vAlign w:val="center"/>
          </w:tcPr>
          <w:p w14:paraId="57E33F56"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210</w:t>
            </w:r>
          </w:p>
        </w:tc>
        <w:tc>
          <w:tcPr>
            <w:tcW w:w="0" w:type="auto"/>
            <w:tcBorders>
              <w:top w:val="single" w:sz="4" w:space="0" w:color="auto"/>
              <w:left w:val="nil"/>
              <w:bottom w:val="single" w:sz="4" w:space="0" w:color="auto"/>
              <w:right w:val="nil"/>
            </w:tcBorders>
            <w:vAlign w:val="center"/>
          </w:tcPr>
          <w:p w14:paraId="4401B8F5"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128</w:t>
            </w:r>
          </w:p>
        </w:tc>
        <w:tc>
          <w:tcPr>
            <w:tcW w:w="0" w:type="auto"/>
            <w:tcBorders>
              <w:top w:val="single" w:sz="4" w:space="0" w:color="auto"/>
              <w:left w:val="nil"/>
              <w:bottom w:val="single" w:sz="4" w:space="0" w:color="auto"/>
              <w:right w:val="nil"/>
            </w:tcBorders>
            <w:vAlign w:val="center"/>
          </w:tcPr>
          <w:p w14:paraId="11216C5E"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18</w:t>
            </w:r>
          </w:p>
        </w:tc>
        <w:tc>
          <w:tcPr>
            <w:tcW w:w="0" w:type="auto"/>
            <w:tcBorders>
              <w:top w:val="single" w:sz="4" w:space="0" w:color="auto"/>
              <w:left w:val="nil"/>
              <w:bottom w:val="single" w:sz="4" w:space="0" w:color="auto"/>
              <w:right w:val="nil"/>
            </w:tcBorders>
            <w:vAlign w:val="center"/>
          </w:tcPr>
          <w:p w14:paraId="4A471210"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64</w:t>
            </w:r>
          </w:p>
        </w:tc>
        <w:tc>
          <w:tcPr>
            <w:tcW w:w="0" w:type="auto"/>
            <w:tcBorders>
              <w:top w:val="single" w:sz="4" w:space="0" w:color="auto"/>
              <w:left w:val="nil"/>
              <w:bottom w:val="single" w:sz="4" w:space="0" w:color="auto"/>
              <w:right w:val="nil"/>
            </w:tcBorders>
            <w:vAlign w:val="center"/>
          </w:tcPr>
          <w:p w14:paraId="238CC755"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4</w:t>
            </w:r>
          </w:p>
        </w:tc>
        <w:tc>
          <w:tcPr>
            <w:tcW w:w="0" w:type="auto"/>
            <w:tcBorders>
              <w:top w:val="single" w:sz="4" w:space="0" w:color="auto"/>
              <w:left w:val="nil"/>
              <w:bottom w:val="single" w:sz="4" w:space="0" w:color="auto"/>
              <w:right w:val="nil"/>
            </w:tcBorders>
            <w:vAlign w:val="center"/>
          </w:tcPr>
          <w:p w14:paraId="6AC7C159" w14:textId="77777777" w:rsidR="003C386F" w:rsidRPr="00AD55AA" w:rsidRDefault="003C386F" w:rsidP="003C386F">
            <w:pPr>
              <w:widowControl w:val="0"/>
              <w:autoSpaceDE w:val="0"/>
              <w:autoSpaceDN w:val="0"/>
              <w:adjustRightInd w:val="0"/>
              <w:jc w:val="center"/>
              <w:rPr>
                <w:sz w:val="20"/>
                <w:szCs w:val="20"/>
              </w:rPr>
            </w:pPr>
            <w:r w:rsidRPr="00AD55AA">
              <w:rPr>
                <w:sz w:val="20"/>
                <w:szCs w:val="20"/>
              </w:rPr>
              <w:t>68</w:t>
            </w:r>
          </w:p>
        </w:tc>
        <w:tc>
          <w:tcPr>
            <w:tcW w:w="0" w:type="auto"/>
            <w:tcBorders>
              <w:top w:val="single" w:sz="4" w:space="0" w:color="auto"/>
              <w:left w:val="nil"/>
              <w:bottom w:val="single" w:sz="4" w:space="0" w:color="auto"/>
              <w:right w:val="nil"/>
            </w:tcBorders>
          </w:tcPr>
          <w:p w14:paraId="0C515963" w14:textId="4269F8E0" w:rsidR="003C386F" w:rsidRPr="00AD55AA" w:rsidRDefault="003C386F" w:rsidP="003C386F">
            <w:pPr>
              <w:widowControl w:val="0"/>
              <w:autoSpaceDE w:val="0"/>
              <w:autoSpaceDN w:val="0"/>
              <w:adjustRightInd w:val="0"/>
              <w:jc w:val="center"/>
              <w:rPr>
                <w:sz w:val="20"/>
                <w:szCs w:val="20"/>
              </w:rPr>
            </w:pPr>
            <w:r>
              <w:rPr>
                <w:sz w:val="20"/>
                <w:szCs w:val="20"/>
              </w:rPr>
              <w:t>41 (60%)</w:t>
            </w:r>
          </w:p>
        </w:tc>
      </w:tr>
      <w:tr w:rsidR="00FF46A5" w:rsidRPr="00AD55AA" w14:paraId="69716DCC" w14:textId="77777777" w:rsidTr="00715E6E">
        <w:trPr>
          <w:trHeight w:val="47"/>
        </w:trPr>
        <w:tc>
          <w:tcPr>
            <w:tcW w:w="0" w:type="auto"/>
            <w:gridSpan w:val="8"/>
            <w:tcBorders>
              <w:top w:val="single" w:sz="4" w:space="0" w:color="auto"/>
              <w:left w:val="nil"/>
              <w:right w:val="nil"/>
            </w:tcBorders>
          </w:tcPr>
          <w:p w14:paraId="62517138" w14:textId="3BB22403" w:rsidR="00FF46A5" w:rsidRPr="00AD55AA" w:rsidRDefault="00715E6E" w:rsidP="00A50F60">
            <w:pPr>
              <w:widowControl w:val="0"/>
              <w:autoSpaceDE w:val="0"/>
              <w:autoSpaceDN w:val="0"/>
              <w:adjustRightInd w:val="0"/>
              <w:jc w:val="both"/>
              <w:rPr>
                <w:sz w:val="20"/>
                <w:szCs w:val="20"/>
              </w:rPr>
            </w:pPr>
            <w:r>
              <w:rPr>
                <w:sz w:val="20"/>
                <w:szCs w:val="20"/>
              </w:rPr>
              <w:t>This</w:t>
            </w:r>
            <w:r w:rsidRPr="00F83901">
              <w:rPr>
                <w:sz w:val="20"/>
                <w:szCs w:val="20"/>
              </w:rPr>
              <w:t xml:space="preserve"> table presents</w:t>
            </w:r>
            <w:r w:rsidRPr="003D41AE">
              <w:rPr>
                <w:bCs/>
                <w:sz w:val="22"/>
                <w:szCs w:val="22"/>
              </w:rPr>
              <w:t xml:space="preserve"> </w:t>
            </w:r>
            <w:r w:rsidRPr="00AD55AA">
              <w:rPr>
                <w:sz w:val="20"/>
                <w:szCs w:val="20"/>
              </w:rPr>
              <w:t xml:space="preserve">CFIUS </w:t>
            </w:r>
            <w:r w:rsidR="003C386F" w:rsidRPr="00AD55AA">
              <w:rPr>
                <w:sz w:val="20"/>
                <w:szCs w:val="20"/>
              </w:rPr>
              <w:t xml:space="preserve">activities </w:t>
            </w:r>
            <w:r w:rsidRPr="00AD55AA">
              <w:rPr>
                <w:sz w:val="20"/>
                <w:szCs w:val="20"/>
              </w:rPr>
              <w:t xml:space="preserve">over the period from 2015 to 2019. </w:t>
            </w:r>
            <w:r w:rsidRPr="00AD55AA">
              <w:rPr>
                <w:bCs/>
                <w:sz w:val="20"/>
                <w:szCs w:val="20"/>
              </w:rPr>
              <w:t>Data are collected from CFIUS annual reports, Factiva, SEC EDGAR, and the financial press.</w:t>
            </w:r>
            <w:r w:rsidR="003C386F">
              <w:rPr>
                <w:bCs/>
                <w:sz w:val="20"/>
                <w:szCs w:val="20"/>
              </w:rPr>
              <w:t xml:space="preserve"> CFIUS unwindings are included among d</w:t>
            </w:r>
            <w:r w:rsidR="003C386F" w:rsidRPr="003C386F">
              <w:rPr>
                <w:bCs/>
                <w:sz w:val="20"/>
                <w:szCs w:val="20"/>
              </w:rPr>
              <w:t>enial</w:t>
            </w:r>
            <w:r w:rsidR="003C386F">
              <w:rPr>
                <w:bCs/>
                <w:sz w:val="20"/>
                <w:szCs w:val="20"/>
              </w:rPr>
              <w:t>s</w:t>
            </w:r>
            <w:r w:rsidR="003C386F" w:rsidRPr="003C386F">
              <w:rPr>
                <w:bCs/>
                <w:sz w:val="20"/>
                <w:szCs w:val="20"/>
              </w:rPr>
              <w:t xml:space="preserve"> of regulatory approval</w:t>
            </w:r>
            <w:r w:rsidR="003C386F">
              <w:rPr>
                <w:bCs/>
                <w:sz w:val="20"/>
                <w:szCs w:val="20"/>
              </w:rPr>
              <w:t>.</w:t>
            </w:r>
          </w:p>
        </w:tc>
      </w:tr>
      <w:tr w:rsidR="00715E6E" w:rsidRPr="00AD55AA" w14:paraId="5238B4AF" w14:textId="77777777" w:rsidTr="00715E6E">
        <w:trPr>
          <w:trHeight w:val="47"/>
        </w:trPr>
        <w:tc>
          <w:tcPr>
            <w:tcW w:w="0" w:type="auto"/>
            <w:gridSpan w:val="8"/>
            <w:tcBorders>
              <w:left w:val="nil"/>
              <w:right w:val="nil"/>
            </w:tcBorders>
          </w:tcPr>
          <w:p w14:paraId="2D2A7E36" w14:textId="77777777" w:rsidR="00715E6E" w:rsidRPr="00AD55AA" w:rsidRDefault="00715E6E" w:rsidP="00AC2880">
            <w:pPr>
              <w:widowControl w:val="0"/>
              <w:autoSpaceDE w:val="0"/>
              <w:autoSpaceDN w:val="0"/>
              <w:adjustRightInd w:val="0"/>
              <w:jc w:val="both"/>
              <w:rPr>
                <w:sz w:val="20"/>
                <w:szCs w:val="20"/>
              </w:rPr>
            </w:pPr>
          </w:p>
        </w:tc>
      </w:tr>
    </w:tbl>
    <w:p w14:paraId="7F632C5C" w14:textId="021AE54F" w:rsidR="009A2F4F" w:rsidRPr="00AD55AA" w:rsidRDefault="009A2F4F" w:rsidP="00641D6D">
      <w:pPr>
        <w:spacing w:after="160" w:line="259" w:lineRule="auto"/>
        <w:rPr>
          <w:rStyle w:val="Normal2Car"/>
        </w:rPr>
      </w:pPr>
    </w:p>
    <w:p w14:paraId="5CDBC451" w14:textId="77777777" w:rsidR="009A2F4F" w:rsidRPr="00AD55AA" w:rsidRDefault="009A2F4F">
      <w:pPr>
        <w:spacing w:after="160" w:line="259" w:lineRule="auto"/>
        <w:rPr>
          <w:rStyle w:val="Normal2Car"/>
        </w:rPr>
      </w:pPr>
      <w:r w:rsidRPr="00AD55AA">
        <w:rPr>
          <w:rStyle w:val="Normal2Car"/>
        </w:rPr>
        <w:br w:type="page"/>
      </w:r>
    </w:p>
    <w:p w14:paraId="7D40662E" w14:textId="77777777" w:rsidR="009A2F4F" w:rsidRPr="00AD55AA" w:rsidRDefault="009A2F4F" w:rsidP="00641D6D">
      <w:pPr>
        <w:spacing w:after="160" w:line="259" w:lineRule="auto"/>
        <w:rPr>
          <w:rStyle w:val="Normal2Car"/>
        </w:rPr>
      </w:pP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50"/>
        <w:gridCol w:w="3187"/>
        <w:gridCol w:w="3045"/>
        <w:gridCol w:w="2320"/>
      </w:tblGrid>
      <w:tr w:rsidR="0093640E" w:rsidRPr="00E60668" w14:paraId="561BBBEC" w14:textId="77777777" w:rsidTr="0093640E">
        <w:trPr>
          <w:trHeight w:val="144"/>
          <w:jc w:val="center"/>
        </w:trPr>
        <w:tc>
          <w:tcPr>
            <w:tcW w:w="5000" w:type="pct"/>
            <w:gridSpan w:val="5"/>
            <w:tcBorders>
              <w:top w:val="nil"/>
              <w:left w:val="nil"/>
              <w:bottom w:val="nil"/>
              <w:right w:val="nil"/>
            </w:tcBorders>
          </w:tcPr>
          <w:p w14:paraId="01F6049D" w14:textId="77777777" w:rsidR="0093640E" w:rsidRPr="00E60668" w:rsidRDefault="0093640E" w:rsidP="0093640E">
            <w:pPr>
              <w:widowControl w:val="0"/>
              <w:autoSpaceDE w:val="0"/>
              <w:autoSpaceDN w:val="0"/>
              <w:adjustRightInd w:val="0"/>
              <w:rPr>
                <w:b/>
                <w:bCs/>
                <w:sz w:val="16"/>
                <w:szCs w:val="16"/>
              </w:rPr>
            </w:pPr>
            <w:r w:rsidRPr="00E60668">
              <w:rPr>
                <w:b/>
                <w:bCs/>
                <w:sz w:val="16"/>
                <w:szCs w:val="16"/>
              </w:rPr>
              <w:t>Table A</w:t>
            </w:r>
            <w:r>
              <w:rPr>
                <w:b/>
                <w:bCs/>
                <w:sz w:val="16"/>
                <w:szCs w:val="16"/>
              </w:rPr>
              <w:t>3</w:t>
            </w:r>
          </w:p>
        </w:tc>
      </w:tr>
      <w:tr w:rsidR="0093640E" w:rsidRPr="00E60668" w14:paraId="70D588C0" w14:textId="77777777" w:rsidTr="0093640E">
        <w:trPr>
          <w:trHeight w:val="144"/>
          <w:jc w:val="center"/>
        </w:trPr>
        <w:tc>
          <w:tcPr>
            <w:tcW w:w="5000" w:type="pct"/>
            <w:gridSpan w:val="5"/>
            <w:tcBorders>
              <w:top w:val="nil"/>
              <w:left w:val="nil"/>
              <w:bottom w:val="single" w:sz="4" w:space="0" w:color="auto"/>
              <w:right w:val="nil"/>
            </w:tcBorders>
          </w:tcPr>
          <w:p w14:paraId="0105321E" w14:textId="5F73B649" w:rsidR="0093640E" w:rsidRPr="00E60668" w:rsidRDefault="0093640E" w:rsidP="0093640E">
            <w:pPr>
              <w:widowControl w:val="0"/>
              <w:autoSpaceDE w:val="0"/>
              <w:autoSpaceDN w:val="0"/>
              <w:adjustRightInd w:val="0"/>
              <w:rPr>
                <w:b/>
                <w:bCs/>
                <w:sz w:val="16"/>
                <w:szCs w:val="16"/>
              </w:rPr>
            </w:pPr>
            <w:r w:rsidRPr="00E60668">
              <w:rPr>
                <w:b/>
                <w:bCs/>
                <w:sz w:val="16"/>
                <w:szCs w:val="16"/>
              </w:rPr>
              <w:t>List of CFIUS interventions during FINSA</w:t>
            </w:r>
          </w:p>
          <w:p w14:paraId="3F606A29" w14:textId="77777777" w:rsidR="0093640E" w:rsidRPr="00E60668" w:rsidRDefault="0093640E" w:rsidP="0093640E">
            <w:pPr>
              <w:widowControl w:val="0"/>
              <w:autoSpaceDE w:val="0"/>
              <w:autoSpaceDN w:val="0"/>
              <w:adjustRightInd w:val="0"/>
              <w:jc w:val="both"/>
              <w:rPr>
                <w:sz w:val="16"/>
                <w:szCs w:val="16"/>
              </w:rPr>
            </w:pPr>
          </w:p>
        </w:tc>
      </w:tr>
      <w:tr w:rsidR="0093640E" w:rsidRPr="00E60668" w14:paraId="1EFD568F" w14:textId="77777777" w:rsidTr="0093640E">
        <w:trPr>
          <w:trHeight w:val="144"/>
          <w:jc w:val="center"/>
        </w:trPr>
        <w:tc>
          <w:tcPr>
            <w:tcW w:w="200" w:type="pct"/>
            <w:tcBorders>
              <w:top w:val="single" w:sz="4" w:space="0" w:color="auto"/>
            </w:tcBorders>
            <w:hideMark/>
          </w:tcPr>
          <w:p w14:paraId="4AEC1B98" w14:textId="77777777" w:rsidR="0093640E" w:rsidRPr="00E60668" w:rsidRDefault="0093640E" w:rsidP="0093640E">
            <w:pPr>
              <w:widowControl w:val="0"/>
              <w:autoSpaceDE w:val="0"/>
              <w:autoSpaceDN w:val="0"/>
              <w:adjustRightInd w:val="0"/>
              <w:rPr>
                <w:sz w:val="16"/>
                <w:szCs w:val="16"/>
              </w:rPr>
            </w:pPr>
            <w:r w:rsidRPr="00E60668">
              <w:rPr>
                <w:b/>
                <w:bCs/>
                <w:sz w:val="16"/>
                <w:szCs w:val="16"/>
              </w:rPr>
              <w:t>ID</w:t>
            </w:r>
          </w:p>
        </w:tc>
        <w:tc>
          <w:tcPr>
            <w:tcW w:w="480" w:type="pct"/>
            <w:tcBorders>
              <w:top w:val="single" w:sz="4" w:space="0" w:color="auto"/>
            </w:tcBorders>
          </w:tcPr>
          <w:p w14:paraId="5EEB7B25" w14:textId="77777777" w:rsidR="0093640E" w:rsidRPr="00E60668" w:rsidRDefault="0093640E" w:rsidP="0093640E">
            <w:pPr>
              <w:widowControl w:val="0"/>
              <w:autoSpaceDE w:val="0"/>
              <w:autoSpaceDN w:val="0"/>
              <w:adjustRightInd w:val="0"/>
              <w:rPr>
                <w:sz w:val="16"/>
                <w:szCs w:val="16"/>
              </w:rPr>
            </w:pPr>
            <w:r w:rsidRPr="00E60668">
              <w:rPr>
                <w:b/>
                <w:bCs/>
                <w:sz w:val="16"/>
                <w:szCs w:val="16"/>
              </w:rPr>
              <w:t>Date</w:t>
            </w:r>
          </w:p>
        </w:tc>
        <w:tc>
          <w:tcPr>
            <w:tcW w:w="1610" w:type="pct"/>
            <w:tcBorders>
              <w:top w:val="single" w:sz="4" w:space="0" w:color="auto"/>
            </w:tcBorders>
          </w:tcPr>
          <w:p w14:paraId="0AE02DFC" w14:textId="77777777" w:rsidR="0093640E" w:rsidRPr="00E60668" w:rsidRDefault="0093640E" w:rsidP="0093640E">
            <w:pPr>
              <w:widowControl w:val="0"/>
              <w:autoSpaceDE w:val="0"/>
              <w:autoSpaceDN w:val="0"/>
              <w:adjustRightInd w:val="0"/>
              <w:rPr>
                <w:sz w:val="16"/>
                <w:szCs w:val="16"/>
              </w:rPr>
            </w:pPr>
            <w:r w:rsidRPr="00E60668">
              <w:rPr>
                <w:b/>
                <w:bCs/>
                <w:sz w:val="16"/>
                <w:szCs w:val="16"/>
              </w:rPr>
              <w:t>Buyer</w:t>
            </w:r>
          </w:p>
        </w:tc>
        <w:tc>
          <w:tcPr>
            <w:tcW w:w="1538" w:type="pct"/>
            <w:tcBorders>
              <w:top w:val="single" w:sz="4" w:space="0" w:color="auto"/>
            </w:tcBorders>
          </w:tcPr>
          <w:p w14:paraId="5550D378" w14:textId="77777777" w:rsidR="0093640E" w:rsidRPr="00E60668" w:rsidRDefault="0093640E" w:rsidP="0093640E">
            <w:pPr>
              <w:widowControl w:val="0"/>
              <w:autoSpaceDE w:val="0"/>
              <w:autoSpaceDN w:val="0"/>
              <w:adjustRightInd w:val="0"/>
              <w:rPr>
                <w:sz w:val="16"/>
                <w:szCs w:val="16"/>
              </w:rPr>
            </w:pPr>
            <w:r w:rsidRPr="00E60668">
              <w:rPr>
                <w:b/>
                <w:bCs/>
                <w:sz w:val="16"/>
                <w:szCs w:val="16"/>
              </w:rPr>
              <w:t>Target</w:t>
            </w:r>
          </w:p>
        </w:tc>
        <w:tc>
          <w:tcPr>
            <w:tcW w:w="1172" w:type="pct"/>
            <w:tcBorders>
              <w:top w:val="single" w:sz="4" w:space="0" w:color="auto"/>
            </w:tcBorders>
          </w:tcPr>
          <w:p w14:paraId="18CD81E8" w14:textId="77777777" w:rsidR="0093640E" w:rsidRPr="00E60668" w:rsidRDefault="0093640E" w:rsidP="0093640E">
            <w:pPr>
              <w:widowControl w:val="0"/>
              <w:autoSpaceDE w:val="0"/>
              <w:autoSpaceDN w:val="0"/>
              <w:adjustRightInd w:val="0"/>
              <w:rPr>
                <w:sz w:val="16"/>
                <w:szCs w:val="16"/>
              </w:rPr>
            </w:pPr>
            <w:r w:rsidRPr="00E60668">
              <w:rPr>
                <w:b/>
                <w:bCs/>
                <w:sz w:val="16"/>
                <w:szCs w:val="16"/>
              </w:rPr>
              <w:t>Description</w:t>
            </w:r>
          </w:p>
        </w:tc>
      </w:tr>
      <w:tr w:rsidR="0093640E" w:rsidRPr="00E60668" w14:paraId="3576431A" w14:textId="77777777" w:rsidTr="0093640E">
        <w:trPr>
          <w:trHeight w:val="144"/>
          <w:jc w:val="center"/>
        </w:trPr>
        <w:tc>
          <w:tcPr>
            <w:tcW w:w="200" w:type="pct"/>
          </w:tcPr>
          <w:p w14:paraId="77EE650B" w14:textId="77777777" w:rsidR="0093640E" w:rsidRPr="00E60668" w:rsidRDefault="0093640E" w:rsidP="0093640E">
            <w:pPr>
              <w:widowControl w:val="0"/>
              <w:autoSpaceDE w:val="0"/>
              <w:autoSpaceDN w:val="0"/>
              <w:adjustRightInd w:val="0"/>
              <w:rPr>
                <w:sz w:val="16"/>
                <w:szCs w:val="16"/>
              </w:rPr>
            </w:pPr>
            <w:r w:rsidRPr="00E60668">
              <w:rPr>
                <w:sz w:val="16"/>
                <w:szCs w:val="16"/>
              </w:rPr>
              <w:t>1</w:t>
            </w:r>
          </w:p>
        </w:tc>
        <w:tc>
          <w:tcPr>
            <w:tcW w:w="480" w:type="pct"/>
          </w:tcPr>
          <w:p w14:paraId="0FA74093" w14:textId="77777777" w:rsidR="0093640E" w:rsidRPr="00E60668" w:rsidRDefault="0093640E" w:rsidP="0093640E">
            <w:pPr>
              <w:widowControl w:val="0"/>
              <w:autoSpaceDE w:val="0"/>
              <w:autoSpaceDN w:val="0"/>
              <w:adjustRightInd w:val="0"/>
              <w:rPr>
                <w:sz w:val="16"/>
                <w:szCs w:val="16"/>
              </w:rPr>
            </w:pPr>
            <w:r w:rsidRPr="00E60668">
              <w:rPr>
                <w:sz w:val="16"/>
                <w:szCs w:val="16"/>
              </w:rPr>
              <w:t>2/21/2008</w:t>
            </w:r>
          </w:p>
        </w:tc>
        <w:tc>
          <w:tcPr>
            <w:tcW w:w="1610" w:type="pct"/>
          </w:tcPr>
          <w:p w14:paraId="1E64F855" w14:textId="77777777" w:rsidR="0093640E" w:rsidRPr="00E60668" w:rsidRDefault="0093640E" w:rsidP="0093640E">
            <w:pPr>
              <w:widowControl w:val="0"/>
              <w:autoSpaceDE w:val="0"/>
              <w:autoSpaceDN w:val="0"/>
              <w:adjustRightInd w:val="0"/>
              <w:rPr>
                <w:sz w:val="16"/>
                <w:szCs w:val="16"/>
              </w:rPr>
            </w:pPr>
            <w:r w:rsidRPr="00E60668">
              <w:rPr>
                <w:sz w:val="16"/>
                <w:szCs w:val="16"/>
              </w:rPr>
              <w:t>Huawei technologies co</w:t>
            </w:r>
          </w:p>
        </w:tc>
        <w:tc>
          <w:tcPr>
            <w:tcW w:w="1538" w:type="pct"/>
          </w:tcPr>
          <w:p w14:paraId="22979FCF" w14:textId="77777777" w:rsidR="0093640E" w:rsidRPr="00E60668" w:rsidRDefault="0093640E" w:rsidP="0093640E">
            <w:pPr>
              <w:widowControl w:val="0"/>
              <w:autoSpaceDE w:val="0"/>
              <w:autoSpaceDN w:val="0"/>
              <w:adjustRightInd w:val="0"/>
              <w:rPr>
                <w:sz w:val="16"/>
                <w:szCs w:val="16"/>
              </w:rPr>
            </w:pPr>
            <w:r w:rsidRPr="00E60668">
              <w:rPr>
                <w:sz w:val="16"/>
                <w:szCs w:val="16"/>
              </w:rPr>
              <w:t>3com corp</w:t>
            </w:r>
          </w:p>
        </w:tc>
        <w:tc>
          <w:tcPr>
            <w:tcW w:w="1172" w:type="pct"/>
          </w:tcPr>
          <w:p w14:paraId="2DDA9441" w14:textId="77777777" w:rsidR="0093640E" w:rsidRPr="00E60668" w:rsidRDefault="0093640E" w:rsidP="0093640E">
            <w:pPr>
              <w:widowControl w:val="0"/>
              <w:autoSpaceDE w:val="0"/>
              <w:autoSpaceDN w:val="0"/>
              <w:adjustRightInd w:val="0"/>
              <w:rPr>
                <w:sz w:val="16"/>
                <w:szCs w:val="16"/>
              </w:rPr>
            </w:pPr>
            <w:r w:rsidRPr="00E60668">
              <w:rPr>
                <w:sz w:val="16"/>
                <w:szCs w:val="16"/>
              </w:rPr>
              <w:t>Public target</w:t>
            </w:r>
          </w:p>
        </w:tc>
      </w:tr>
      <w:tr w:rsidR="0093640E" w:rsidRPr="00E60668" w14:paraId="40A2041E" w14:textId="77777777" w:rsidTr="0093640E">
        <w:trPr>
          <w:trHeight w:val="144"/>
          <w:jc w:val="center"/>
        </w:trPr>
        <w:tc>
          <w:tcPr>
            <w:tcW w:w="200" w:type="pct"/>
          </w:tcPr>
          <w:p w14:paraId="14F90CD9" w14:textId="77777777" w:rsidR="0093640E" w:rsidRPr="00E60668" w:rsidRDefault="0093640E" w:rsidP="0093640E">
            <w:pPr>
              <w:widowControl w:val="0"/>
              <w:autoSpaceDE w:val="0"/>
              <w:autoSpaceDN w:val="0"/>
              <w:adjustRightInd w:val="0"/>
              <w:rPr>
                <w:sz w:val="16"/>
                <w:szCs w:val="16"/>
              </w:rPr>
            </w:pPr>
            <w:r w:rsidRPr="00E60668">
              <w:rPr>
                <w:sz w:val="16"/>
                <w:szCs w:val="16"/>
              </w:rPr>
              <w:t>2</w:t>
            </w:r>
          </w:p>
        </w:tc>
        <w:tc>
          <w:tcPr>
            <w:tcW w:w="480" w:type="pct"/>
          </w:tcPr>
          <w:p w14:paraId="316E907D" w14:textId="77777777" w:rsidR="0093640E" w:rsidRPr="00E60668" w:rsidRDefault="0093640E" w:rsidP="0093640E">
            <w:pPr>
              <w:widowControl w:val="0"/>
              <w:autoSpaceDE w:val="0"/>
              <w:autoSpaceDN w:val="0"/>
              <w:adjustRightInd w:val="0"/>
              <w:rPr>
                <w:sz w:val="16"/>
                <w:szCs w:val="16"/>
              </w:rPr>
            </w:pPr>
            <w:r w:rsidRPr="00E60668">
              <w:rPr>
                <w:sz w:val="16"/>
                <w:szCs w:val="16"/>
              </w:rPr>
              <w:t>12/21/2009</w:t>
            </w:r>
          </w:p>
        </w:tc>
        <w:tc>
          <w:tcPr>
            <w:tcW w:w="1610" w:type="pct"/>
          </w:tcPr>
          <w:p w14:paraId="79A9D2F7" w14:textId="77777777" w:rsidR="0093640E" w:rsidRPr="00E60668" w:rsidRDefault="0093640E" w:rsidP="0093640E">
            <w:pPr>
              <w:widowControl w:val="0"/>
              <w:autoSpaceDE w:val="0"/>
              <w:autoSpaceDN w:val="0"/>
              <w:adjustRightInd w:val="0"/>
              <w:rPr>
                <w:sz w:val="16"/>
                <w:szCs w:val="16"/>
              </w:rPr>
            </w:pPr>
            <w:r w:rsidRPr="00E60668">
              <w:rPr>
                <w:sz w:val="16"/>
                <w:szCs w:val="16"/>
              </w:rPr>
              <w:t>Northwest nonferrous int. investment co</w:t>
            </w:r>
          </w:p>
        </w:tc>
        <w:tc>
          <w:tcPr>
            <w:tcW w:w="1538" w:type="pct"/>
          </w:tcPr>
          <w:p w14:paraId="030F397B" w14:textId="77777777" w:rsidR="0093640E" w:rsidRPr="00E60668" w:rsidRDefault="0093640E" w:rsidP="0093640E">
            <w:pPr>
              <w:widowControl w:val="0"/>
              <w:autoSpaceDE w:val="0"/>
              <w:autoSpaceDN w:val="0"/>
              <w:adjustRightInd w:val="0"/>
              <w:rPr>
                <w:sz w:val="16"/>
                <w:szCs w:val="16"/>
              </w:rPr>
            </w:pPr>
            <w:r w:rsidRPr="00E60668">
              <w:rPr>
                <w:sz w:val="16"/>
                <w:szCs w:val="16"/>
              </w:rPr>
              <w:t>Firstgold corp</w:t>
            </w:r>
          </w:p>
        </w:tc>
        <w:tc>
          <w:tcPr>
            <w:tcW w:w="1172" w:type="pct"/>
          </w:tcPr>
          <w:p w14:paraId="7A1CDEF3" w14:textId="77777777" w:rsidR="0093640E" w:rsidRPr="00E60668" w:rsidRDefault="0093640E" w:rsidP="0093640E">
            <w:pPr>
              <w:widowControl w:val="0"/>
              <w:autoSpaceDE w:val="0"/>
              <w:autoSpaceDN w:val="0"/>
              <w:adjustRightInd w:val="0"/>
              <w:rPr>
                <w:sz w:val="16"/>
                <w:szCs w:val="16"/>
              </w:rPr>
            </w:pPr>
            <w:r w:rsidRPr="00E60668">
              <w:rPr>
                <w:sz w:val="16"/>
                <w:szCs w:val="16"/>
              </w:rPr>
              <w:t>Proximity to military facilities</w:t>
            </w:r>
          </w:p>
        </w:tc>
      </w:tr>
      <w:tr w:rsidR="0093640E" w:rsidRPr="00E60668" w14:paraId="039A39F6" w14:textId="77777777" w:rsidTr="0093640E">
        <w:trPr>
          <w:trHeight w:val="144"/>
          <w:jc w:val="center"/>
        </w:trPr>
        <w:tc>
          <w:tcPr>
            <w:tcW w:w="200" w:type="pct"/>
          </w:tcPr>
          <w:p w14:paraId="2284DCC6" w14:textId="77777777" w:rsidR="0093640E" w:rsidRPr="00E60668" w:rsidRDefault="0093640E" w:rsidP="0093640E">
            <w:pPr>
              <w:widowControl w:val="0"/>
              <w:autoSpaceDE w:val="0"/>
              <w:autoSpaceDN w:val="0"/>
              <w:adjustRightInd w:val="0"/>
              <w:rPr>
                <w:sz w:val="16"/>
                <w:szCs w:val="16"/>
              </w:rPr>
            </w:pPr>
            <w:r w:rsidRPr="00E60668">
              <w:rPr>
                <w:sz w:val="16"/>
                <w:szCs w:val="16"/>
              </w:rPr>
              <w:t>3</w:t>
            </w:r>
          </w:p>
        </w:tc>
        <w:tc>
          <w:tcPr>
            <w:tcW w:w="480" w:type="pct"/>
          </w:tcPr>
          <w:p w14:paraId="5E1664A8" w14:textId="77777777" w:rsidR="0093640E" w:rsidRPr="00E60668" w:rsidRDefault="0093640E" w:rsidP="0093640E">
            <w:pPr>
              <w:widowControl w:val="0"/>
              <w:autoSpaceDE w:val="0"/>
              <w:autoSpaceDN w:val="0"/>
              <w:adjustRightInd w:val="0"/>
              <w:rPr>
                <w:sz w:val="16"/>
                <w:szCs w:val="16"/>
              </w:rPr>
            </w:pPr>
            <w:r w:rsidRPr="00E60668">
              <w:rPr>
                <w:sz w:val="16"/>
                <w:szCs w:val="16"/>
              </w:rPr>
              <w:t>6/24/2010</w:t>
            </w:r>
          </w:p>
        </w:tc>
        <w:tc>
          <w:tcPr>
            <w:tcW w:w="1610" w:type="pct"/>
            <w:vAlign w:val="bottom"/>
          </w:tcPr>
          <w:p w14:paraId="1C205ADF" w14:textId="77777777" w:rsidR="0093640E" w:rsidRPr="00E60668" w:rsidRDefault="0093640E" w:rsidP="0093640E">
            <w:pPr>
              <w:widowControl w:val="0"/>
              <w:autoSpaceDE w:val="0"/>
              <w:autoSpaceDN w:val="0"/>
              <w:adjustRightInd w:val="0"/>
              <w:rPr>
                <w:sz w:val="16"/>
                <w:szCs w:val="16"/>
              </w:rPr>
            </w:pPr>
            <w:r w:rsidRPr="00E60668">
              <w:rPr>
                <w:sz w:val="16"/>
                <w:szCs w:val="16"/>
              </w:rPr>
              <w:t>Tangshan caofeidian investment corp</w:t>
            </w:r>
          </w:p>
        </w:tc>
        <w:tc>
          <w:tcPr>
            <w:tcW w:w="1538" w:type="pct"/>
            <w:vAlign w:val="bottom"/>
          </w:tcPr>
          <w:p w14:paraId="204AEEB0" w14:textId="77777777" w:rsidR="0093640E" w:rsidRPr="00E60668" w:rsidRDefault="0093640E" w:rsidP="0093640E">
            <w:pPr>
              <w:widowControl w:val="0"/>
              <w:autoSpaceDE w:val="0"/>
              <w:autoSpaceDN w:val="0"/>
              <w:adjustRightInd w:val="0"/>
              <w:rPr>
                <w:sz w:val="16"/>
                <w:szCs w:val="16"/>
              </w:rPr>
            </w:pPr>
            <w:r w:rsidRPr="00E60668">
              <w:rPr>
                <w:sz w:val="16"/>
                <w:szCs w:val="16"/>
              </w:rPr>
              <w:t>Emcore corp</w:t>
            </w:r>
          </w:p>
        </w:tc>
        <w:tc>
          <w:tcPr>
            <w:tcW w:w="1172" w:type="pct"/>
          </w:tcPr>
          <w:p w14:paraId="75B388F6" w14:textId="77777777" w:rsidR="0093640E" w:rsidRPr="00E60668" w:rsidRDefault="0093640E" w:rsidP="0093640E">
            <w:pPr>
              <w:widowControl w:val="0"/>
              <w:autoSpaceDE w:val="0"/>
              <w:autoSpaceDN w:val="0"/>
              <w:adjustRightInd w:val="0"/>
              <w:rPr>
                <w:sz w:val="16"/>
                <w:szCs w:val="16"/>
              </w:rPr>
            </w:pPr>
            <w:r w:rsidRPr="00E60668">
              <w:rPr>
                <w:sz w:val="16"/>
                <w:szCs w:val="16"/>
              </w:rPr>
              <w:t>Public target</w:t>
            </w:r>
          </w:p>
        </w:tc>
      </w:tr>
      <w:tr w:rsidR="007E7B76" w:rsidRPr="00E60668" w14:paraId="3CF8A481" w14:textId="77777777" w:rsidTr="0093640E">
        <w:trPr>
          <w:trHeight w:val="144"/>
          <w:jc w:val="center"/>
        </w:trPr>
        <w:tc>
          <w:tcPr>
            <w:tcW w:w="200" w:type="pct"/>
          </w:tcPr>
          <w:p w14:paraId="63EF8A94" w14:textId="28126812" w:rsidR="007E7B76" w:rsidRPr="00E60668" w:rsidRDefault="007E7B76" w:rsidP="007E7B76">
            <w:pPr>
              <w:widowControl w:val="0"/>
              <w:autoSpaceDE w:val="0"/>
              <w:autoSpaceDN w:val="0"/>
              <w:adjustRightInd w:val="0"/>
              <w:rPr>
                <w:sz w:val="16"/>
                <w:szCs w:val="16"/>
              </w:rPr>
            </w:pPr>
            <w:r>
              <w:rPr>
                <w:sz w:val="16"/>
                <w:szCs w:val="16"/>
              </w:rPr>
              <w:t>4</w:t>
            </w:r>
          </w:p>
        </w:tc>
        <w:tc>
          <w:tcPr>
            <w:tcW w:w="480" w:type="pct"/>
          </w:tcPr>
          <w:p w14:paraId="77A43A89" w14:textId="7A279559" w:rsidR="007E7B76" w:rsidRPr="00E60668" w:rsidRDefault="007E7B76" w:rsidP="007E7B76">
            <w:pPr>
              <w:widowControl w:val="0"/>
              <w:autoSpaceDE w:val="0"/>
              <w:autoSpaceDN w:val="0"/>
              <w:adjustRightInd w:val="0"/>
              <w:rPr>
                <w:sz w:val="16"/>
                <w:szCs w:val="16"/>
              </w:rPr>
            </w:pPr>
            <w:r w:rsidRPr="00E60668">
              <w:rPr>
                <w:sz w:val="16"/>
                <w:szCs w:val="16"/>
              </w:rPr>
              <w:t>7/1/2010</w:t>
            </w:r>
          </w:p>
        </w:tc>
        <w:tc>
          <w:tcPr>
            <w:tcW w:w="1610" w:type="pct"/>
            <w:vAlign w:val="bottom"/>
          </w:tcPr>
          <w:p w14:paraId="726693C0" w14:textId="5B997F7A" w:rsidR="007E7B76" w:rsidRPr="00E60668" w:rsidRDefault="007E7B76" w:rsidP="007E7B76">
            <w:pPr>
              <w:widowControl w:val="0"/>
              <w:autoSpaceDE w:val="0"/>
              <w:autoSpaceDN w:val="0"/>
              <w:adjustRightInd w:val="0"/>
              <w:rPr>
                <w:sz w:val="16"/>
                <w:szCs w:val="16"/>
              </w:rPr>
            </w:pPr>
            <w:r w:rsidRPr="00E60668">
              <w:rPr>
                <w:sz w:val="16"/>
                <w:szCs w:val="16"/>
              </w:rPr>
              <w:t>Huawei technologies co</w:t>
            </w:r>
          </w:p>
        </w:tc>
        <w:tc>
          <w:tcPr>
            <w:tcW w:w="1538" w:type="pct"/>
            <w:vAlign w:val="bottom"/>
          </w:tcPr>
          <w:p w14:paraId="643F21DC" w14:textId="063E496C" w:rsidR="007E7B76" w:rsidRPr="00E60668" w:rsidRDefault="007E7B76" w:rsidP="00692229">
            <w:pPr>
              <w:widowControl w:val="0"/>
              <w:autoSpaceDE w:val="0"/>
              <w:autoSpaceDN w:val="0"/>
              <w:adjustRightInd w:val="0"/>
              <w:rPr>
                <w:sz w:val="16"/>
                <w:szCs w:val="16"/>
              </w:rPr>
            </w:pPr>
            <w:r w:rsidRPr="00512D14">
              <w:rPr>
                <w:sz w:val="16"/>
                <w:szCs w:val="16"/>
              </w:rPr>
              <w:t xml:space="preserve">Motorola </w:t>
            </w:r>
            <w:r w:rsidRPr="00E60668">
              <w:rPr>
                <w:sz w:val="16"/>
                <w:szCs w:val="16"/>
              </w:rPr>
              <w:t>inc</w:t>
            </w:r>
          </w:p>
        </w:tc>
        <w:tc>
          <w:tcPr>
            <w:tcW w:w="1172" w:type="pct"/>
          </w:tcPr>
          <w:p w14:paraId="6502F187" w14:textId="13F544B9"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33F02F18" w14:textId="77777777" w:rsidTr="00F57ACE">
        <w:trPr>
          <w:trHeight w:val="144"/>
          <w:jc w:val="center"/>
        </w:trPr>
        <w:tc>
          <w:tcPr>
            <w:tcW w:w="200" w:type="pct"/>
          </w:tcPr>
          <w:p w14:paraId="0944AE7C" w14:textId="652F4371" w:rsidR="007E7B76" w:rsidRPr="00E60668" w:rsidRDefault="007E7B76" w:rsidP="007E7B76">
            <w:pPr>
              <w:widowControl w:val="0"/>
              <w:autoSpaceDE w:val="0"/>
              <w:autoSpaceDN w:val="0"/>
              <w:adjustRightInd w:val="0"/>
              <w:rPr>
                <w:sz w:val="16"/>
                <w:szCs w:val="16"/>
              </w:rPr>
            </w:pPr>
            <w:r>
              <w:rPr>
                <w:sz w:val="16"/>
                <w:szCs w:val="16"/>
              </w:rPr>
              <w:t>5</w:t>
            </w:r>
          </w:p>
        </w:tc>
        <w:tc>
          <w:tcPr>
            <w:tcW w:w="480" w:type="pct"/>
          </w:tcPr>
          <w:p w14:paraId="2AE684D1" w14:textId="773C81DC" w:rsidR="007E7B76" w:rsidRPr="00E60668" w:rsidRDefault="007E7B76" w:rsidP="007E7B76">
            <w:pPr>
              <w:widowControl w:val="0"/>
              <w:autoSpaceDE w:val="0"/>
              <w:autoSpaceDN w:val="0"/>
              <w:adjustRightInd w:val="0"/>
              <w:rPr>
                <w:sz w:val="16"/>
                <w:szCs w:val="16"/>
              </w:rPr>
            </w:pPr>
            <w:r w:rsidRPr="00E60668">
              <w:rPr>
                <w:sz w:val="16"/>
                <w:szCs w:val="16"/>
              </w:rPr>
              <w:t>7/1/2010</w:t>
            </w:r>
          </w:p>
        </w:tc>
        <w:tc>
          <w:tcPr>
            <w:tcW w:w="1610" w:type="pct"/>
          </w:tcPr>
          <w:p w14:paraId="6882217C" w14:textId="674EC649" w:rsidR="007E7B76" w:rsidRPr="00E60668" w:rsidRDefault="007E7B76" w:rsidP="007E7B76">
            <w:pPr>
              <w:widowControl w:val="0"/>
              <w:autoSpaceDE w:val="0"/>
              <w:autoSpaceDN w:val="0"/>
              <w:adjustRightInd w:val="0"/>
              <w:rPr>
                <w:sz w:val="16"/>
                <w:szCs w:val="16"/>
              </w:rPr>
            </w:pPr>
            <w:r w:rsidRPr="00E60668">
              <w:rPr>
                <w:sz w:val="16"/>
                <w:szCs w:val="16"/>
              </w:rPr>
              <w:t>Huawei technologies co</w:t>
            </w:r>
          </w:p>
        </w:tc>
        <w:tc>
          <w:tcPr>
            <w:tcW w:w="1538" w:type="pct"/>
          </w:tcPr>
          <w:p w14:paraId="634B90E6" w14:textId="76197B71" w:rsidR="00692229" w:rsidRPr="00E60668" w:rsidRDefault="007E7B76" w:rsidP="00692229">
            <w:pPr>
              <w:widowControl w:val="0"/>
              <w:autoSpaceDE w:val="0"/>
              <w:autoSpaceDN w:val="0"/>
              <w:adjustRightInd w:val="0"/>
              <w:rPr>
                <w:sz w:val="16"/>
                <w:szCs w:val="16"/>
              </w:rPr>
            </w:pPr>
            <w:r w:rsidRPr="00E60668">
              <w:rPr>
                <w:sz w:val="16"/>
                <w:szCs w:val="16"/>
              </w:rPr>
              <w:t>2wire</w:t>
            </w:r>
          </w:p>
        </w:tc>
        <w:tc>
          <w:tcPr>
            <w:tcW w:w="1172" w:type="pct"/>
          </w:tcPr>
          <w:p w14:paraId="6502B53F" w14:textId="7E7F7C84"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55B41B90" w14:textId="77777777" w:rsidTr="0093640E">
        <w:trPr>
          <w:trHeight w:val="144"/>
          <w:jc w:val="center"/>
        </w:trPr>
        <w:tc>
          <w:tcPr>
            <w:tcW w:w="200" w:type="pct"/>
          </w:tcPr>
          <w:p w14:paraId="4EAE37C1" w14:textId="613B3C23" w:rsidR="007E7B76" w:rsidRPr="00E60668" w:rsidRDefault="007E7B76" w:rsidP="007E7B76">
            <w:pPr>
              <w:widowControl w:val="0"/>
              <w:autoSpaceDE w:val="0"/>
              <w:autoSpaceDN w:val="0"/>
              <w:adjustRightInd w:val="0"/>
              <w:rPr>
                <w:sz w:val="16"/>
                <w:szCs w:val="16"/>
              </w:rPr>
            </w:pPr>
            <w:r>
              <w:rPr>
                <w:sz w:val="16"/>
                <w:szCs w:val="16"/>
              </w:rPr>
              <w:t>6</w:t>
            </w:r>
          </w:p>
        </w:tc>
        <w:tc>
          <w:tcPr>
            <w:tcW w:w="480" w:type="pct"/>
          </w:tcPr>
          <w:p w14:paraId="0C9DD975" w14:textId="77777777" w:rsidR="007E7B76" w:rsidRPr="00E60668" w:rsidRDefault="007E7B76" w:rsidP="007E7B76">
            <w:pPr>
              <w:widowControl w:val="0"/>
              <w:autoSpaceDE w:val="0"/>
              <w:autoSpaceDN w:val="0"/>
              <w:adjustRightInd w:val="0"/>
              <w:rPr>
                <w:sz w:val="16"/>
                <w:szCs w:val="16"/>
              </w:rPr>
            </w:pPr>
            <w:r w:rsidRPr="00E60668">
              <w:rPr>
                <w:sz w:val="16"/>
                <w:szCs w:val="16"/>
              </w:rPr>
              <w:t>8/19/2010</w:t>
            </w:r>
          </w:p>
        </w:tc>
        <w:tc>
          <w:tcPr>
            <w:tcW w:w="1610" w:type="pct"/>
          </w:tcPr>
          <w:p w14:paraId="1EAC1806" w14:textId="77777777" w:rsidR="007E7B76" w:rsidRPr="00E60668" w:rsidRDefault="007E7B76" w:rsidP="007E7B76">
            <w:pPr>
              <w:widowControl w:val="0"/>
              <w:autoSpaceDE w:val="0"/>
              <w:autoSpaceDN w:val="0"/>
              <w:adjustRightInd w:val="0"/>
              <w:rPr>
                <w:sz w:val="16"/>
                <w:szCs w:val="16"/>
              </w:rPr>
            </w:pPr>
            <w:r w:rsidRPr="00E60668">
              <w:rPr>
                <w:sz w:val="16"/>
                <w:szCs w:val="16"/>
              </w:rPr>
              <w:t>Anshan iron &amp; steel group</w:t>
            </w:r>
          </w:p>
        </w:tc>
        <w:tc>
          <w:tcPr>
            <w:tcW w:w="1538" w:type="pct"/>
          </w:tcPr>
          <w:p w14:paraId="4B2272B3" w14:textId="77777777" w:rsidR="007E7B76" w:rsidRPr="00E60668" w:rsidRDefault="007E7B76" w:rsidP="007E7B76">
            <w:pPr>
              <w:widowControl w:val="0"/>
              <w:autoSpaceDE w:val="0"/>
              <w:autoSpaceDN w:val="0"/>
              <w:adjustRightInd w:val="0"/>
              <w:rPr>
                <w:sz w:val="16"/>
                <w:szCs w:val="16"/>
              </w:rPr>
            </w:pPr>
            <w:r w:rsidRPr="00E60668">
              <w:rPr>
                <w:sz w:val="16"/>
                <w:szCs w:val="16"/>
              </w:rPr>
              <w:t>Steel development co</w:t>
            </w:r>
          </w:p>
        </w:tc>
        <w:tc>
          <w:tcPr>
            <w:tcW w:w="1172" w:type="pct"/>
          </w:tcPr>
          <w:p w14:paraId="039712AD"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453C3147" w14:textId="77777777" w:rsidTr="0093640E">
        <w:trPr>
          <w:trHeight w:val="144"/>
          <w:jc w:val="center"/>
        </w:trPr>
        <w:tc>
          <w:tcPr>
            <w:tcW w:w="200" w:type="pct"/>
          </w:tcPr>
          <w:p w14:paraId="79923D4C" w14:textId="387EEEBF" w:rsidR="007E7B76" w:rsidRPr="00E60668" w:rsidRDefault="007E7B76" w:rsidP="007E7B76">
            <w:pPr>
              <w:widowControl w:val="0"/>
              <w:autoSpaceDE w:val="0"/>
              <w:autoSpaceDN w:val="0"/>
              <w:adjustRightInd w:val="0"/>
              <w:rPr>
                <w:sz w:val="16"/>
                <w:szCs w:val="16"/>
              </w:rPr>
            </w:pPr>
            <w:r>
              <w:rPr>
                <w:sz w:val="16"/>
                <w:szCs w:val="16"/>
              </w:rPr>
              <w:t>7</w:t>
            </w:r>
          </w:p>
        </w:tc>
        <w:tc>
          <w:tcPr>
            <w:tcW w:w="480" w:type="pct"/>
          </w:tcPr>
          <w:p w14:paraId="7A469294" w14:textId="77777777" w:rsidR="007E7B76" w:rsidRPr="00E60668" w:rsidRDefault="007E7B76" w:rsidP="007E7B76">
            <w:pPr>
              <w:widowControl w:val="0"/>
              <w:autoSpaceDE w:val="0"/>
              <w:autoSpaceDN w:val="0"/>
              <w:adjustRightInd w:val="0"/>
              <w:rPr>
                <w:sz w:val="16"/>
                <w:szCs w:val="16"/>
              </w:rPr>
            </w:pPr>
            <w:r w:rsidRPr="00E60668">
              <w:rPr>
                <w:sz w:val="16"/>
                <w:szCs w:val="16"/>
              </w:rPr>
              <w:t>10/18/2012</w:t>
            </w:r>
          </w:p>
        </w:tc>
        <w:tc>
          <w:tcPr>
            <w:tcW w:w="1610" w:type="pct"/>
            <w:vAlign w:val="bottom"/>
          </w:tcPr>
          <w:p w14:paraId="00722F48" w14:textId="77777777" w:rsidR="007E7B76" w:rsidRPr="00E60668" w:rsidRDefault="007E7B76" w:rsidP="007E7B76">
            <w:pPr>
              <w:widowControl w:val="0"/>
              <w:autoSpaceDE w:val="0"/>
              <w:autoSpaceDN w:val="0"/>
              <w:adjustRightInd w:val="0"/>
              <w:rPr>
                <w:sz w:val="16"/>
                <w:szCs w:val="16"/>
              </w:rPr>
            </w:pPr>
            <w:r w:rsidRPr="00E60668">
              <w:rPr>
                <w:sz w:val="16"/>
                <w:szCs w:val="16"/>
              </w:rPr>
              <w:t>Superior aviation beijing co</w:t>
            </w:r>
          </w:p>
        </w:tc>
        <w:tc>
          <w:tcPr>
            <w:tcW w:w="1538" w:type="pct"/>
            <w:vAlign w:val="bottom"/>
          </w:tcPr>
          <w:p w14:paraId="378C85D8" w14:textId="77777777" w:rsidR="007E7B76" w:rsidRPr="00E60668" w:rsidRDefault="007E7B76" w:rsidP="007E7B76">
            <w:pPr>
              <w:widowControl w:val="0"/>
              <w:autoSpaceDE w:val="0"/>
              <w:autoSpaceDN w:val="0"/>
              <w:adjustRightInd w:val="0"/>
              <w:rPr>
                <w:sz w:val="16"/>
                <w:szCs w:val="16"/>
              </w:rPr>
            </w:pPr>
            <w:r w:rsidRPr="00E60668">
              <w:rPr>
                <w:sz w:val="16"/>
                <w:szCs w:val="16"/>
              </w:rPr>
              <w:t>Hawker beechcraft inc</w:t>
            </w:r>
          </w:p>
        </w:tc>
        <w:tc>
          <w:tcPr>
            <w:tcW w:w="1172" w:type="pct"/>
          </w:tcPr>
          <w:p w14:paraId="24F77B26"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38F1FF0D" w14:textId="77777777" w:rsidTr="0093640E">
        <w:trPr>
          <w:trHeight w:val="144"/>
          <w:jc w:val="center"/>
        </w:trPr>
        <w:tc>
          <w:tcPr>
            <w:tcW w:w="200" w:type="pct"/>
          </w:tcPr>
          <w:p w14:paraId="313B4DC8" w14:textId="7899DBAB" w:rsidR="007E7B76" w:rsidRPr="00E60668" w:rsidRDefault="007E7B76" w:rsidP="007E7B76">
            <w:pPr>
              <w:widowControl w:val="0"/>
              <w:autoSpaceDE w:val="0"/>
              <w:autoSpaceDN w:val="0"/>
              <w:adjustRightInd w:val="0"/>
              <w:rPr>
                <w:sz w:val="16"/>
                <w:szCs w:val="16"/>
              </w:rPr>
            </w:pPr>
            <w:r>
              <w:rPr>
                <w:sz w:val="16"/>
                <w:szCs w:val="16"/>
              </w:rPr>
              <w:t>8</w:t>
            </w:r>
          </w:p>
        </w:tc>
        <w:tc>
          <w:tcPr>
            <w:tcW w:w="480" w:type="pct"/>
          </w:tcPr>
          <w:p w14:paraId="4B23B517" w14:textId="77777777" w:rsidR="007E7B76" w:rsidRPr="00E60668" w:rsidRDefault="007E7B76" w:rsidP="007E7B76">
            <w:pPr>
              <w:widowControl w:val="0"/>
              <w:autoSpaceDE w:val="0"/>
              <w:autoSpaceDN w:val="0"/>
              <w:adjustRightInd w:val="0"/>
              <w:rPr>
                <w:sz w:val="16"/>
                <w:szCs w:val="16"/>
              </w:rPr>
            </w:pPr>
            <w:r w:rsidRPr="00E60668">
              <w:rPr>
                <w:sz w:val="16"/>
                <w:szCs w:val="16"/>
              </w:rPr>
              <w:t>11/16/2013</w:t>
            </w:r>
          </w:p>
        </w:tc>
        <w:tc>
          <w:tcPr>
            <w:tcW w:w="1610" w:type="pct"/>
          </w:tcPr>
          <w:p w14:paraId="33E71F7A" w14:textId="77777777" w:rsidR="007E7B76" w:rsidRPr="00E60668" w:rsidRDefault="007E7B76" w:rsidP="007E7B76">
            <w:pPr>
              <w:widowControl w:val="0"/>
              <w:autoSpaceDE w:val="0"/>
              <w:autoSpaceDN w:val="0"/>
              <w:adjustRightInd w:val="0"/>
              <w:rPr>
                <w:sz w:val="16"/>
                <w:szCs w:val="16"/>
              </w:rPr>
            </w:pPr>
            <w:r w:rsidRPr="00E60668">
              <w:rPr>
                <w:sz w:val="16"/>
                <w:szCs w:val="16"/>
              </w:rPr>
              <w:t>Roscosmos</w:t>
            </w:r>
          </w:p>
        </w:tc>
        <w:tc>
          <w:tcPr>
            <w:tcW w:w="1538" w:type="pct"/>
          </w:tcPr>
          <w:p w14:paraId="44AF6948" w14:textId="77777777" w:rsidR="007E7B76" w:rsidRPr="00E60668" w:rsidRDefault="007E7B76" w:rsidP="007E7B76">
            <w:pPr>
              <w:widowControl w:val="0"/>
              <w:autoSpaceDE w:val="0"/>
              <w:autoSpaceDN w:val="0"/>
              <w:adjustRightInd w:val="0"/>
              <w:rPr>
                <w:sz w:val="16"/>
                <w:szCs w:val="16"/>
              </w:rPr>
            </w:pPr>
            <w:r w:rsidRPr="00E60668">
              <w:rPr>
                <w:sz w:val="16"/>
                <w:szCs w:val="16"/>
              </w:rPr>
              <w:t>6 gps sites</w:t>
            </w:r>
          </w:p>
        </w:tc>
        <w:tc>
          <w:tcPr>
            <w:tcW w:w="1172" w:type="pct"/>
          </w:tcPr>
          <w:p w14:paraId="1866C075" w14:textId="3218FA9D" w:rsidR="007E7B76" w:rsidRPr="00E60668" w:rsidRDefault="00D74FC8" w:rsidP="007E7B76">
            <w:pPr>
              <w:widowControl w:val="0"/>
              <w:autoSpaceDE w:val="0"/>
              <w:autoSpaceDN w:val="0"/>
              <w:adjustRightInd w:val="0"/>
              <w:rPr>
                <w:sz w:val="16"/>
                <w:szCs w:val="16"/>
              </w:rPr>
            </w:pPr>
            <w:r w:rsidRPr="00E60668">
              <w:rPr>
                <w:sz w:val="16"/>
                <w:szCs w:val="16"/>
              </w:rPr>
              <w:t>Proximity to military facilities</w:t>
            </w:r>
          </w:p>
        </w:tc>
      </w:tr>
      <w:tr w:rsidR="007E7B76" w:rsidRPr="00E60668" w14:paraId="7BEA5A16" w14:textId="77777777" w:rsidTr="0093640E">
        <w:trPr>
          <w:trHeight w:val="144"/>
          <w:jc w:val="center"/>
        </w:trPr>
        <w:tc>
          <w:tcPr>
            <w:tcW w:w="200" w:type="pct"/>
          </w:tcPr>
          <w:p w14:paraId="36D2788E" w14:textId="418D177F" w:rsidR="007E7B76" w:rsidRPr="00E60668" w:rsidRDefault="007E7B76" w:rsidP="007E7B76">
            <w:pPr>
              <w:widowControl w:val="0"/>
              <w:autoSpaceDE w:val="0"/>
              <w:autoSpaceDN w:val="0"/>
              <w:adjustRightInd w:val="0"/>
              <w:rPr>
                <w:sz w:val="16"/>
                <w:szCs w:val="16"/>
              </w:rPr>
            </w:pPr>
            <w:r>
              <w:rPr>
                <w:sz w:val="16"/>
                <w:szCs w:val="16"/>
              </w:rPr>
              <w:t>9</w:t>
            </w:r>
          </w:p>
        </w:tc>
        <w:tc>
          <w:tcPr>
            <w:tcW w:w="480" w:type="pct"/>
          </w:tcPr>
          <w:p w14:paraId="4367A977" w14:textId="77777777" w:rsidR="007E7B76" w:rsidRPr="00E60668" w:rsidRDefault="007E7B76" w:rsidP="007E7B76">
            <w:pPr>
              <w:widowControl w:val="0"/>
              <w:autoSpaceDE w:val="0"/>
              <w:autoSpaceDN w:val="0"/>
              <w:adjustRightInd w:val="0"/>
              <w:rPr>
                <w:sz w:val="16"/>
                <w:szCs w:val="16"/>
              </w:rPr>
            </w:pPr>
            <w:r>
              <w:rPr>
                <w:sz w:val="16"/>
                <w:szCs w:val="16"/>
              </w:rPr>
              <w:t>08/13</w:t>
            </w:r>
            <w:r w:rsidRPr="008C17ED">
              <w:rPr>
                <w:sz w:val="16"/>
                <w:szCs w:val="16"/>
              </w:rPr>
              <w:t>/2014</w:t>
            </w:r>
          </w:p>
        </w:tc>
        <w:tc>
          <w:tcPr>
            <w:tcW w:w="1610" w:type="pct"/>
          </w:tcPr>
          <w:p w14:paraId="7ADD17D0" w14:textId="77777777" w:rsidR="007E7B76" w:rsidRPr="00E60668" w:rsidRDefault="007E7B76" w:rsidP="007E7B76">
            <w:pPr>
              <w:widowControl w:val="0"/>
              <w:autoSpaceDE w:val="0"/>
              <w:autoSpaceDN w:val="0"/>
              <w:adjustRightInd w:val="0"/>
              <w:rPr>
                <w:sz w:val="16"/>
                <w:szCs w:val="16"/>
              </w:rPr>
            </w:pPr>
            <w:r>
              <w:rPr>
                <w:sz w:val="16"/>
                <w:szCs w:val="16"/>
              </w:rPr>
              <w:t>Goldleaf jewelry c</w:t>
            </w:r>
            <w:r w:rsidRPr="008C17ED">
              <w:rPr>
                <w:sz w:val="16"/>
                <w:szCs w:val="16"/>
              </w:rPr>
              <w:t>o</w:t>
            </w:r>
          </w:p>
        </w:tc>
        <w:tc>
          <w:tcPr>
            <w:tcW w:w="1538" w:type="pct"/>
          </w:tcPr>
          <w:p w14:paraId="0EE781BF" w14:textId="77777777" w:rsidR="007E7B76" w:rsidRPr="00E60668" w:rsidRDefault="007E7B76" w:rsidP="007E7B76">
            <w:pPr>
              <w:widowControl w:val="0"/>
              <w:autoSpaceDE w:val="0"/>
              <w:autoSpaceDN w:val="0"/>
              <w:adjustRightInd w:val="0"/>
              <w:rPr>
                <w:sz w:val="16"/>
                <w:szCs w:val="16"/>
              </w:rPr>
            </w:pPr>
            <w:r>
              <w:rPr>
                <w:sz w:val="16"/>
                <w:szCs w:val="16"/>
              </w:rPr>
              <w:t>E</w:t>
            </w:r>
            <w:r w:rsidRPr="008C17ED">
              <w:rPr>
                <w:sz w:val="16"/>
                <w:szCs w:val="16"/>
              </w:rPr>
              <w:t>rg resources llc</w:t>
            </w:r>
          </w:p>
        </w:tc>
        <w:tc>
          <w:tcPr>
            <w:tcW w:w="1172" w:type="pct"/>
          </w:tcPr>
          <w:p w14:paraId="6269478A" w14:textId="77777777" w:rsidR="007E7B76" w:rsidRPr="00E60668" w:rsidRDefault="007E7B76" w:rsidP="007E7B76">
            <w:pPr>
              <w:widowControl w:val="0"/>
              <w:autoSpaceDE w:val="0"/>
              <w:autoSpaceDN w:val="0"/>
              <w:adjustRightInd w:val="0"/>
              <w:rPr>
                <w:sz w:val="16"/>
                <w:szCs w:val="16"/>
              </w:rPr>
            </w:pPr>
            <w:r w:rsidRPr="00E60668">
              <w:rPr>
                <w:sz w:val="16"/>
                <w:szCs w:val="16"/>
              </w:rPr>
              <w:t>Proximity to military facilities</w:t>
            </w:r>
          </w:p>
        </w:tc>
      </w:tr>
      <w:tr w:rsidR="007E7B76" w:rsidRPr="00E60668" w14:paraId="63D0989A" w14:textId="77777777" w:rsidTr="0093640E">
        <w:trPr>
          <w:trHeight w:val="144"/>
          <w:jc w:val="center"/>
        </w:trPr>
        <w:tc>
          <w:tcPr>
            <w:tcW w:w="200" w:type="pct"/>
          </w:tcPr>
          <w:p w14:paraId="688EFFD7" w14:textId="5CCB3E06" w:rsidR="007E7B76" w:rsidRPr="00E60668" w:rsidRDefault="007E7B76" w:rsidP="007E7B76">
            <w:pPr>
              <w:widowControl w:val="0"/>
              <w:autoSpaceDE w:val="0"/>
              <w:autoSpaceDN w:val="0"/>
              <w:adjustRightInd w:val="0"/>
              <w:rPr>
                <w:sz w:val="16"/>
                <w:szCs w:val="16"/>
              </w:rPr>
            </w:pPr>
            <w:r>
              <w:rPr>
                <w:sz w:val="16"/>
                <w:szCs w:val="16"/>
              </w:rPr>
              <w:t>10</w:t>
            </w:r>
          </w:p>
        </w:tc>
        <w:tc>
          <w:tcPr>
            <w:tcW w:w="480" w:type="pct"/>
          </w:tcPr>
          <w:p w14:paraId="50F9D311" w14:textId="77777777" w:rsidR="007E7B76" w:rsidRPr="00E60668" w:rsidRDefault="007E7B76" w:rsidP="007E7B76">
            <w:pPr>
              <w:widowControl w:val="0"/>
              <w:autoSpaceDE w:val="0"/>
              <w:autoSpaceDN w:val="0"/>
              <w:adjustRightInd w:val="0"/>
              <w:rPr>
                <w:sz w:val="16"/>
                <w:szCs w:val="16"/>
              </w:rPr>
            </w:pPr>
            <w:r w:rsidRPr="00E60668">
              <w:rPr>
                <w:sz w:val="16"/>
                <w:szCs w:val="16"/>
              </w:rPr>
              <w:t>12/22/2014</w:t>
            </w:r>
          </w:p>
        </w:tc>
        <w:tc>
          <w:tcPr>
            <w:tcW w:w="1610" w:type="pct"/>
          </w:tcPr>
          <w:p w14:paraId="1B230599" w14:textId="77777777" w:rsidR="007E7B76" w:rsidRPr="00E60668" w:rsidRDefault="007E7B76" w:rsidP="007E7B76">
            <w:pPr>
              <w:widowControl w:val="0"/>
              <w:autoSpaceDE w:val="0"/>
              <w:autoSpaceDN w:val="0"/>
              <w:adjustRightInd w:val="0"/>
              <w:rPr>
                <w:sz w:val="16"/>
                <w:szCs w:val="16"/>
              </w:rPr>
            </w:pPr>
            <w:r w:rsidRPr="00E60668">
              <w:rPr>
                <w:sz w:val="16"/>
                <w:szCs w:val="16"/>
              </w:rPr>
              <w:t>Oao rosneft</w:t>
            </w:r>
          </w:p>
        </w:tc>
        <w:tc>
          <w:tcPr>
            <w:tcW w:w="1538" w:type="pct"/>
          </w:tcPr>
          <w:p w14:paraId="299A90EE" w14:textId="77777777" w:rsidR="007E7B76" w:rsidRPr="00E60668" w:rsidRDefault="007E7B76" w:rsidP="007E7B76">
            <w:pPr>
              <w:widowControl w:val="0"/>
              <w:autoSpaceDE w:val="0"/>
              <w:autoSpaceDN w:val="0"/>
              <w:adjustRightInd w:val="0"/>
              <w:rPr>
                <w:sz w:val="16"/>
                <w:szCs w:val="16"/>
              </w:rPr>
            </w:pPr>
            <w:r w:rsidRPr="00E60668">
              <w:rPr>
                <w:sz w:val="16"/>
                <w:szCs w:val="16"/>
              </w:rPr>
              <w:t>Oil-trading unit</w:t>
            </w:r>
          </w:p>
        </w:tc>
        <w:tc>
          <w:tcPr>
            <w:tcW w:w="1172" w:type="pct"/>
          </w:tcPr>
          <w:p w14:paraId="29B6C5D7" w14:textId="77777777" w:rsidR="007E7B76" w:rsidRPr="00E60668" w:rsidRDefault="007E7B76" w:rsidP="007E7B76">
            <w:pPr>
              <w:widowControl w:val="0"/>
              <w:autoSpaceDE w:val="0"/>
              <w:autoSpaceDN w:val="0"/>
              <w:adjustRightInd w:val="0"/>
              <w:rPr>
                <w:sz w:val="16"/>
                <w:szCs w:val="16"/>
              </w:rPr>
            </w:pPr>
            <w:r w:rsidRPr="00E60668">
              <w:rPr>
                <w:sz w:val="16"/>
                <w:szCs w:val="16"/>
              </w:rPr>
              <w:t>Asset deal</w:t>
            </w:r>
            <w:r>
              <w:rPr>
                <w:sz w:val="16"/>
                <w:szCs w:val="16"/>
              </w:rPr>
              <w:t xml:space="preserve"> (missing sic)</w:t>
            </w:r>
          </w:p>
        </w:tc>
      </w:tr>
      <w:tr w:rsidR="007E7B76" w:rsidRPr="00E60668" w14:paraId="1621FC91" w14:textId="77777777" w:rsidTr="0093640E">
        <w:trPr>
          <w:trHeight w:val="144"/>
          <w:jc w:val="center"/>
        </w:trPr>
        <w:tc>
          <w:tcPr>
            <w:tcW w:w="200" w:type="pct"/>
          </w:tcPr>
          <w:p w14:paraId="547B416F" w14:textId="7C1752AE" w:rsidR="007E7B76" w:rsidRPr="00E60668" w:rsidRDefault="007E7B76" w:rsidP="007E7B76">
            <w:pPr>
              <w:widowControl w:val="0"/>
              <w:autoSpaceDE w:val="0"/>
              <w:autoSpaceDN w:val="0"/>
              <w:adjustRightInd w:val="0"/>
              <w:rPr>
                <w:sz w:val="16"/>
                <w:szCs w:val="16"/>
              </w:rPr>
            </w:pPr>
            <w:r w:rsidRPr="00E60668">
              <w:rPr>
                <w:sz w:val="16"/>
                <w:szCs w:val="16"/>
              </w:rPr>
              <w:t>11</w:t>
            </w:r>
          </w:p>
        </w:tc>
        <w:tc>
          <w:tcPr>
            <w:tcW w:w="480" w:type="pct"/>
          </w:tcPr>
          <w:p w14:paraId="178A11F9" w14:textId="77777777" w:rsidR="007E7B76" w:rsidRPr="00E60668" w:rsidRDefault="007E7B76" w:rsidP="007E7B76">
            <w:pPr>
              <w:widowControl w:val="0"/>
              <w:autoSpaceDE w:val="0"/>
              <w:autoSpaceDN w:val="0"/>
              <w:adjustRightInd w:val="0"/>
              <w:rPr>
                <w:sz w:val="16"/>
                <w:szCs w:val="16"/>
              </w:rPr>
            </w:pPr>
            <w:r w:rsidRPr="00E60668">
              <w:rPr>
                <w:sz w:val="16"/>
                <w:szCs w:val="16"/>
              </w:rPr>
              <w:t>10/26/2015</w:t>
            </w:r>
          </w:p>
        </w:tc>
        <w:tc>
          <w:tcPr>
            <w:tcW w:w="1610" w:type="pct"/>
          </w:tcPr>
          <w:p w14:paraId="26E03E59" w14:textId="77777777" w:rsidR="007E7B76" w:rsidRPr="00E60668" w:rsidRDefault="007E7B76" w:rsidP="007E7B76">
            <w:pPr>
              <w:widowControl w:val="0"/>
              <w:autoSpaceDE w:val="0"/>
              <w:autoSpaceDN w:val="0"/>
              <w:adjustRightInd w:val="0"/>
              <w:rPr>
                <w:sz w:val="16"/>
                <w:szCs w:val="16"/>
              </w:rPr>
            </w:pPr>
            <w:r w:rsidRPr="00E60668">
              <w:rPr>
                <w:sz w:val="16"/>
                <w:szCs w:val="16"/>
              </w:rPr>
              <w:t>Go scale capital</w:t>
            </w:r>
          </w:p>
        </w:tc>
        <w:tc>
          <w:tcPr>
            <w:tcW w:w="1538" w:type="pct"/>
          </w:tcPr>
          <w:p w14:paraId="03C49B5A" w14:textId="77777777" w:rsidR="007E7B76" w:rsidRPr="00E60668" w:rsidRDefault="007E7B76" w:rsidP="007E7B76">
            <w:pPr>
              <w:widowControl w:val="0"/>
              <w:autoSpaceDE w:val="0"/>
              <w:autoSpaceDN w:val="0"/>
              <w:adjustRightInd w:val="0"/>
              <w:rPr>
                <w:sz w:val="16"/>
                <w:szCs w:val="16"/>
              </w:rPr>
            </w:pPr>
            <w:r w:rsidRPr="00E60668">
              <w:rPr>
                <w:sz w:val="16"/>
                <w:szCs w:val="16"/>
              </w:rPr>
              <w:t>Lumileds unit</w:t>
            </w:r>
          </w:p>
        </w:tc>
        <w:tc>
          <w:tcPr>
            <w:tcW w:w="1172" w:type="pct"/>
          </w:tcPr>
          <w:p w14:paraId="288875F5" w14:textId="77777777" w:rsidR="007E7B76" w:rsidRPr="00E60668" w:rsidRDefault="007E7B76" w:rsidP="007E7B76">
            <w:pPr>
              <w:widowControl w:val="0"/>
              <w:autoSpaceDE w:val="0"/>
              <w:autoSpaceDN w:val="0"/>
              <w:adjustRightInd w:val="0"/>
              <w:rPr>
                <w:sz w:val="16"/>
                <w:szCs w:val="16"/>
              </w:rPr>
            </w:pPr>
            <w:r w:rsidRPr="00E60668">
              <w:rPr>
                <w:sz w:val="16"/>
                <w:szCs w:val="16"/>
              </w:rPr>
              <w:t>Asset deal</w:t>
            </w:r>
            <w:r>
              <w:rPr>
                <w:sz w:val="16"/>
                <w:szCs w:val="16"/>
              </w:rPr>
              <w:t xml:space="preserve"> (missing sic)</w:t>
            </w:r>
          </w:p>
        </w:tc>
      </w:tr>
      <w:tr w:rsidR="007E7B76" w:rsidRPr="00E60668" w14:paraId="5DD91A9F" w14:textId="77777777" w:rsidTr="0093640E">
        <w:trPr>
          <w:trHeight w:val="144"/>
          <w:jc w:val="center"/>
        </w:trPr>
        <w:tc>
          <w:tcPr>
            <w:tcW w:w="200" w:type="pct"/>
          </w:tcPr>
          <w:p w14:paraId="30E301DF" w14:textId="25CBC9A2" w:rsidR="007E7B76" w:rsidRPr="00E60668" w:rsidRDefault="007E7B76" w:rsidP="007E7B76">
            <w:pPr>
              <w:widowControl w:val="0"/>
              <w:autoSpaceDE w:val="0"/>
              <w:autoSpaceDN w:val="0"/>
              <w:adjustRightInd w:val="0"/>
              <w:rPr>
                <w:sz w:val="16"/>
                <w:szCs w:val="16"/>
              </w:rPr>
            </w:pPr>
            <w:r w:rsidRPr="00E60668">
              <w:rPr>
                <w:sz w:val="16"/>
                <w:szCs w:val="16"/>
              </w:rPr>
              <w:t>12</w:t>
            </w:r>
          </w:p>
        </w:tc>
        <w:tc>
          <w:tcPr>
            <w:tcW w:w="480" w:type="pct"/>
          </w:tcPr>
          <w:p w14:paraId="0FCB8E86" w14:textId="77777777" w:rsidR="007E7B76" w:rsidRPr="00E60668" w:rsidRDefault="007E7B76" w:rsidP="007E7B76">
            <w:pPr>
              <w:widowControl w:val="0"/>
              <w:autoSpaceDE w:val="0"/>
              <w:autoSpaceDN w:val="0"/>
              <w:adjustRightInd w:val="0"/>
              <w:rPr>
                <w:sz w:val="16"/>
                <w:szCs w:val="16"/>
              </w:rPr>
            </w:pPr>
            <w:r w:rsidRPr="00E60668">
              <w:rPr>
                <w:sz w:val="16"/>
                <w:szCs w:val="16"/>
              </w:rPr>
              <w:t>2/16/2016</w:t>
            </w:r>
          </w:p>
        </w:tc>
        <w:tc>
          <w:tcPr>
            <w:tcW w:w="1610" w:type="pct"/>
            <w:vAlign w:val="bottom"/>
          </w:tcPr>
          <w:p w14:paraId="0F275B3D" w14:textId="77777777" w:rsidR="007E7B76" w:rsidRPr="00E60668" w:rsidRDefault="007E7B76" w:rsidP="007E7B76">
            <w:pPr>
              <w:widowControl w:val="0"/>
              <w:autoSpaceDE w:val="0"/>
              <w:autoSpaceDN w:val="0"/>
              <w:adjustRightInd w:val="0"/>
              <w:rPr>
                <w:sz w:val="16"/>
                <w:szCs w:val="16"/>
              </w:rPr>
            </w:pPr>
            <w:r w:rsidRPr="00E60668">
              <w:rPr>
                <w:sz w:val="16"/>
                <w:szCs w:val="16"/>
              </w:rPr>
              <w:t>China resources microelectronics ltd</w:t>
            </w:r>
          </w:p>
        </w:tc>
        <w:tc>
          <w:tcPr>
            <w:tcW w:w="1538" w:type="pct"/>
            <w:vAlign w:val="bottom"/>
          </w:tcPr>
          <w:p w14:paraId="73E3DB3E" w14:textId="77777777" w:rsidR="007E7B76" w:rsidRPr="00E60668" w:rsidRDefault="007E7B76" w:rsidP="007E7B76">
            <w:pPr>
              <w:widowControl w:val="0"/>
              <w:autoSpaceDE w:val="0"/>
              <w:autoSpaceDN w:val="0"/>
              <w:adjustRightInd w:val="0"/>
              <w:rPr>
                <w:sz w:val="16"/>
                <w:szCs w:val="16"/>
              </w:rPr>
            </w:pPr>
            <w:r w:rsidRPr="00E60668">
              <w:rPr>
                <w:sz w:val="16"/>
                <w:szCs w:val="16"/>
              </w:rPr>
              <w:t>Fairchild semiconductor inc</w:t>
            </w:r>
          </w:p>
        </w:tc>
        <w:tc>
          <w:tcPr>
            <w:tcW w:w="1172" w:type="pct"/>
          </w:tcPr>
          <w:p w14:paraId="075EE08C"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08F0B82E" w14:textId="77777777" w:rsidTr="0093640E">
        <w:trPr>
          <w:trHeight w:val="144"/>
          <w:jc w:val="center"/>
        </w:trPr>
        <w:tc>
          <w:tcPr>
            <w:tcW w:w="200" w:type="pct"/>
          </w:tcPr>
          <w:p w14:paraId="6CDF35B4" w14:textId="16031F66" w:rsidR="007E7B76" w:rsidRPr="00E60668" w:rsidRDefault="007E7B76" w:rsidP="007E7B76">
            <w:pPr>
              <w:widowControl w:val="0"/>
              <w:autoSpaceDE w:val="0"/>
              <w:autoSpaceDN w:val="0"/>
              <w:adjustRightInd w:val="0"/>
              <w:rPr>
                <w:sz w:val="16"/>
                <w:szCs w:val="16"/>
              </w:rPr>
            </w:pPr>
            <w:r>
              <w:rPr>
                <w:sz w:val="16"/>
                <w:szCs w:val="16"/>
              </w:rPr>
              <w:t>13</w:t>
            </w:r>
          </w:p>
        </w:tc>
        <w:tc>
          <w:tcPr>
            <w:tcW w:w="480" w:type="pct"/>
          </w:tcPr>
          <w:p w14:paraId="4A1C2277" w14:textId="77777777" w:rsidR="007E7B76" w:rsidRPr="00E60668" w:rsidRDefault="007E7B76" w:rsidP="007E7B76">
            <w:pPr>
              <w:widowControl w:val="0"/>
              <w:autoSpaceDE w:val="0"/>
              <w:autoSpaceDN w:val="0"/>
              <w:adjustRightInd w:val="0"/>
              <w:rPr>
                <w:sz w:val="16"/>
                <w:szCs w:val="16"/>
              </w:rPr>
            </w:pPr>
            <w:r w:rsidRPr="00E60668">
              <w:rPr>
                <w:sz w:val="16"/>
                <w:szCs w:val="16"/>
              </w:rPr>
              <w:t>2/23/2016</w:t>
            </w:r>
          </w:p>
        </w:tc>
        <w:tc>
          <w:tcPr>
            <w:tcW w:w="1610" w:type="pct"/>
            <w:vAlign w:val="bottom"/>
          </w:tcPr>
          <w:p w14:paraId="3463149C" w14:textId="77777777" w:rsidR="007E7B76" w:rsidRPr="00E60668" w:rsidRDefault="007E7B76" w:rsidP="007E7B76">
            <w:pPr>
              <w:widowControl w:val="0"/>
              <w:autoSpaceDE w:val="0"/>
              <w:autoSpaceDN w:val="0"/>
              <w:adjustRightInd w:val="0"/>
              <w:rPr>
                <w:sz w:val="16"/>
                <w:szCs w:val="16"/>
              </w:rPr>
            </w:pPr>
            <w:r w:rsidRPr="00E60668">
              <w:rPr>
                <w:sz w:val="16"/>
                <w:szCs w:val="16"/>
              </w:rPr>
              <w:t>Unisplendour corporation</w:t>
            </w:r>
          </w:p>
        </w:tc>
        <w:tc>
          <w:tcPr>
            <w:tcW w:w="1538" w:type="pct"/>
            <w:vAlign w:val="bottom"/>
          </w:tcPr>
          <w:p w14:paraId="581A754B" w14:textId="77777777" w:rsidR="007E7B76" w:rsidRPr="00E60668" w:rsidRDefault="007E7B76" w:rsidP="007E7B76">
            <w:pPr>
              <w:widowControl w:val="0"/>
              <w:autoSpaceDE w:val="0"/>
              <w:autoSpaceDN w:val="0"/>
              <w:adjustRightInd w:val="0"/>
              <w:rPr>
                <w:sz w:val="16"/>
                <w:szCs w:val="16"/>
              </w:rPr>
            </w:pPr>
            <w:r w:rsidRPr="00E60668">
              <w:rPr>
                <w:sz w:val="16"/>
                <w:szCs w:val="16"/>
              </w:rPr>
              <w:t>Western digital corp</w:t>
            </w:r>
          </w:p>
        </w:tc>
        <w:tc>
          <w:tcPr>
            <w:tcW w:w="1172" w:type="pct"/>
          </w:tcPr>
          <w:p w14:paraId="0A12A92C"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555B73AD" w14:textId="77777777" w:rsidTr="0093640E">
        <w:trPr>
          <w:trHeight w:val="144"/>
          <w:jc w:val="center"/>
        </w:trPr>
        <w:tc>
          <w:tcPr>
            <w:tcW w:w="200" w:type="pct"/>
          </w:tcPr>
          <w:p w14:paraId="15D68339" w14:textId="10D853D7" w:rsidR="007E7B76" w:rsidRPr="00E60668" w:rsidRDefault="007E7B76" w:rsidP="007E7B76">
            <w:pPr>
              <w:widowControl w:val="0"/>
              <w:autoSpaceDE w:val="0"/>
              <w:autoSpaceDN w:val="0"/>
              <w:adjustRightInd w:val="0"/>
              <w:rPr>
                <w:sz w:val="16"/>
                <w:szCs w:val="16"/>
              </w:rPr>
            </w:pPr>
            <w:r w:rsidRPr="00E60668">
              <w:rPr>
                <w:sz w:val="16"/>
                <w:szCs w:val="16"/>
              </w:rPr>
              <w:t>14</w:t>
            </w:r>
          </w:p>
        </w:tc>
        <w:tc>
          <w:tcPr>
            <w:tcW w:w="480" w:type="pct"/>
          </w:tcPr>
          <w:p w14:paraId="6174D242" w14:textId="77777777" w:rsidR="007E7B76" w:rsidRPr="00E60668" w:rsidRDefault="007E7B76" w:rsidP="007E7B76">
            <w:pPr>
              <w:widowControl w:val="0"/>
              <w:autoSpaceDE w:val="0"/>
              <w:autoSpaceDN w:val="0"/>
              <w:adjustRightInd w:val="0"/>
              <w:rPr>
                <w:sz w:val="16"/>
                <w:szCs w:val="16"/>
              </w:rPr>
            </w:pPr>
            <w:r w:rsidRPr="00E60668">
              <w:rPr>
                <w:sz w:val="16"/>
                <w:szCs w:val="16"/>
              </w:rPr>
              <w:t>3/28/2016</w:t>
            </w:r>
          </w:p>
        </w:tc>
        <w:tc>
          <w:tcPr>
            <w:tcW w:w="1610" w:type="pct"/>
            <w:vAlign w:val="bottom"/>
          </w:tcPr>
          <w:p w14:paraId="59B322CA" w14:textId="77777777" w:rsidR="007E7B76" w:rsidRPr="00E60668" w:rsidRDefault="007E7B76" w:rsidP="007E7B76">
            <w:pPr>
              <w:widowControl w:val="0"/>
              <w:autoSpaceDE w:val="0"/>
              <w:autoSpaceDN w:val="0"/>
              <w:adjustRightInd w:val="0"/>
              <w:rPr>
                <w:sz w:val="16"/>
                <w:szCs w:val="16"/>
              </w:rPr>
            </w:pPr>
            <w:r w:rsidRPr="00E60668">
              <w:rPr>
                <w:sz w:val="16"/>
                <w:szCs w:val="16"/>
              </w:rPr>
              <w:t>Origin technologies corp</w:t>
            </w:r>
          </w:p>
        </w:tc>
        <w:tc>
          <w:tcPr>
            <w:tcW w:w="1538" w:type="pct"/>
            <w:vAlign w:val="bottom"/>
          </w:tcPr>
          <w:p w14:paraId="484A800A" w14:textId="77777777" w:rsidR="007E7B76" w:rsidRPr="00E60668" w:rsidRDefault="007E7B76" w:rsidP="007E7B76">
            <w:pPr>
              <w:widowControl w:val="0"/>
              <w:autoSpaceDE w:val="0"/>
              <w:autoSpaceDN w:val="0"/>
              <w:adjustRightInd w:val="0"/>
              <w:rPr>
                <w:sz w:val="16"/>
                <w:szCs w:val="16"/>
              </w:rPr>
            </w:pPr>
            <w:r w:rsidRPr="00E60668">
              <w:rPr>
                <w:sz w:val="16"/>
                <w:szCs w:val="16"/>
              </w:rPr>
              <w:t>Affymetrix inc</w:t>
            </w:r>
          </w:p>
        </w:tc>
        <w:tc>
          <w:tcPr>
            <w:tcW w:w="1172" w:type="pct"/>
          </w:tcPr>
          <w:p w14:paraId="6D1EE59C"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6FFFC8DF" w14:textId="77777777" w:rsidTr="0093640E">
        <w:trPr>
          <w:trHeight w:val="144"/>
          <w:jc w:val="center"/>
        </w:trPr>
        <w:tc>
          <w:tcPr>
            <w:tcW w:w="200" w:type="pct"/>
          </w:tcPr>
          <w:p w14:paraId="3071A42B" w14:textId="56151308" w:rsidR="007E7B76" w:rsidRPr="00E60668" w:rsidRDefault="007E7B76" w:rsidP="007E7B76">
            <w:pPr>
              <w:widowControl w:val="0"/>
              <w:autoSpaceDE w:val="0"/>
              <w:autoSpaceDN w:val="0"/>
              <w:adjustRightInd w:val="0"/>
              <w:rPr>
                <w:sz w:val="16"/>
                <w:szCs w:val="16"/>
              </w:rPr>
            </w:pPr>
            <w:r w:rsidRPr="00E60668">
              <w:rPr>
                <w:sz w:val="16"/>
                <w:szCs w:val="16"/>
              </w:rPr>
              <w:t>15</w:t>
            </w:r>
          </w:p>
        </w:tc>
        <w:tc>
          <w:tcPr>
            <w:tcW w:w="480" w:type="pct"/>
          </w:tcPr>
          <w:p w14:paraId="12B3C3D1" w14:textId="77777777" w:rsidR="007E7B76" w:rsidRPr="00E60668" w:rsidRDefault="007E7B76" w:rsidP="007E7B76">
            <w:pPr>
              <w:widowControl w:val="0"/>
              <w:autoSpaceDE w:val="0"/>
              <w:autoSpaceDN w:val="0"/>
              <w:adjustRightInd w:val="0"/>
              <w:rPr>
                <w:sz w:val="16"/>
                <w:szCs w:val="16"/>
              </w:rPr>
            </w:pPr>
            <w:r w:rsidRPr="00E60668">
              <w:rPr>
                <w:sz w:val="16"/>
                <w:szCs w:val="16"/>
              </w:rPr>
              <w:t>5/27/2016</w:t>
            </w:r>
          </w:p>
        </w:tc>
        <w:tc>
          <w:tcPr>
            <w:tcW w:w="1610" w:type="pct"/>
            <w:vAlign w:val="bottom"/>
          </w:tcPr>
          <w:p w14:paraId="156BD343" w14:textId="77777777" w:rsidR="007E7B76" w:rsidRPr="00E60668" w:rsidRDefault="007E7B76" w:rsidP="007E7B76">
            <w:pPr>
              <w:widowControl w:val="0"/>
              <w:autoSpaceDE w:val="0"/>
              <w:autoSpaceDN w:val="0"/>
              <w:adjustRightInd w:val="0"/>
              <w:rPr>
                <w:sz w:val="16"/>
                <w:szCs w:val="16"/>
              </w:rPr>
            </w:pPr>
            <w:r w:rsidRPr="00E60668">
              <w:rPr>
                <w:sz w:val="16"/>
                <w:szCs w:val="16"/>
              </w:rPr>
              <w:t>Zoomlion heavy industry science and tech.</w:t>
            </w:r>
          </w:p>
        </w:tc>
        <w:tc>
          <w:tcPr>
            <w:tcW w:w="1538" w:type="pct"/>
            <w:vAlign w:val="bottom"/>
          </w:tcPr>
          <w:p w14:paraId="64947CDE" w14:textId="77777777" w:rsidR="007E7B76" w:rsidRPr="00E60668" w:rsidRDefault="007E7B76" w:rsidP="007E7B76">
            <w:pPr>
              <w:widowControl w:val="0"/>
              <w:autoSpaceDE w:val="0"/>
              <w:autoSpaceDN w:val="0"/>
              <w:adjustRightInd w:val="0"/>
              <w:rPr>
                <w:sz w:val="16"/>
                <w:szCs w:val="16"/>
              </w:rPr>
            </w:pPr>
            <w:r w:rsidRPr="00E60668">
              <w:rPr>
                <w:sz w:val="16"/>
                <w:szCs w:val="16"/>
              </w:rPr>
              <w:t>Terex corp</w:t>
            </w:r>
          </w:p>
        </w:tc>
        <w:tc>
          <w:tcPr>
            <w:tcW w:w="1172" w:type="pct"/>
          </w:tcPr>
          <w:p w14:paraId="2F872E16"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53348056" w14:textId="77777777" w:rsidTr="0093640E">
        <w:trPr>
          <w:trHeight w:val="144"/>
          <w:jc w:val="center"/>
        </w:trPr>
        <w:tc>
          <w:tcPr>
            <w:tcW w:w="200" w:type="pct"/>
          </w:tcPr>
          <w:p w14:paraId="42CA0CC5" w14:textId="0187EF07" w:rsidR="007E7B76" w:rsidRPr="00E60668" w:rsidRDefault="007E7B76" w:rsidP="007E7B76">
            <w:pPr>
              <w:widowControl w:val="0"/>
              <w:autoSpaceDE w:val="0"/>
              <w:autoSpaceDN w:val="0"/>
              <w:adjustRightInd w:val="0"/>
              <w:rPr>
                <w:sz w:val="16"/>
                <w:szCs w:val="16"/>
              </w:rPr>
            </w:pPr>
            <w:r w:rsidRPr="00E60668">
              <w:rPr>
                <w:sz w:val="16"/>
                <w:szCs w:val="16"/>
              </w:rPr>
              <w:t>16</w:t>
            </w:r>
          </w:p>
        </w:tc>
        <w:tc>
          <w:tcPr>
            <w:tcW w:w="480" w:type="pct"/>
          </w:tcPr>
          <w:p w14:paraId="5C58C1D9" w14:textId="77777777" w:rsidR="007E7B76" w:rsidRPr="00E60668" w:rsidRDefault="007E7B76" w:rsidP="007E7B76">
            <w:pPr>
              <w:widowControl w:val="0"/>
              <w:autoSpaceDE w:val="0"/>
              <w:autoSpaceDN w:val="0"/>
              <w:adjustRightInd w:val="0"/>
              <w:rPr>
                <w:sz w:val="16"/>
                <w:szCs w:val="16"/>
              </w:rPr>
            </w:pPr>
            <w:r w:rsidRPr="00E60668">
              <w:rPr>
                <w:sz w:val="16"/>
                <w:szCs w:val="16"/>
              </w:rPr>
              <w:t>8/1/2016</w:t>
            </w:r>
          </w:p>
        </w:tc>
        <w:tc>
          <w:tcPr>
            <w:tcW w:w="1610" w:type="pct"/>
          </w:tcPr>
          <w:p w14:paraId="54118B55" w14:textId="77777777" w:rsidR="007E7B76" w:rsidRPr="00E60668" w:rsidRDefault="007E7B76" w:rsidP="007E7B76">
            <w:pPr>
              <w:widowControl w:val="0"/>
              <w:autoSpaceDE w:val="0"/>
              <w:autoSpaceDN w:val="0"/>
              <w:adjustRightInd w:val="0"/>
              <w:rPr>
                <w:sz w:val="16"/>
                <w:szCs w:val="16"/>
              </w:rPr>
            </w:pPr>
            <w:r w:rsidRPr="00E60668">
              <w:rPr>
                <w:sz w:val="16"/>
                <w:szCs w:val="16"/>
              </w:rPr>
              <w:t>San’an optoelectronics co ltd</w:t>
            </w:r>
          </w:p>
        </w:tc>
        <w:tc>
          <w:tcPr>
            <w:tcW w:w="1538" w:type="pct"/>
          </w:tcPr>
          <w:p w14:paraId="401B0C21" w14:textId="77777777" w:rsidR="007E7B76" w:rsidRPr="00E60668" w:rsidRDefault="007E7B76" w:rsidP="007E7B76">
            <w:pPr>
              <w:widowControl w:val="0"/>
              <w:autoSpaceDE w:val="0"/>
              <w:autoSpaceDN w:val="0"/>
              <w:adjustRightInd w:val="0"/>
              <w:rPr>
                <w:sz w:val="16"/>
                <w:szCs w:val="16"/>
              </w:rPr>
            </w:pPr>
            <w:r w:rsidRPr="00E60668">
              <w:rPr>
                <w:sz w:val="16"/>
                <w:szCs w:val="16"/>
              </w:rPr>
              <w:t>Global communication semiconductors llc</w:t>
            </w:r>
          </w:p>
        </w:tc>
        <w:tc>
          <w:tcPr>
            <w:tcW w:w="1172" w:type="pct"/>
          </w:tcPr>
          <w:p w14:paraId="68AD1611"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3FEBC705" w14:textId="77777777" w:rsidTr="0093640E">
        <w:trPr>
          <w:trHeight w:val="144"/>
          <w:jc w:val="center"/>
        </w:trPr>
        <w:tc>
          <w:tcPr>
            <w:tcW w:w="200" w:type="pct"/>
          </w:tcPr>
          <w:p w14:paraId="202C4E3E" w14:textId="56E9A034" w:rsidR="007E7B76" w:rsidRPr="00E60668" w:rsidRDefault="007E7B76" w:rsidP="007E7B76">
            <w:pPr>
              <w:widowControl w:val="0"/>
              <w:autoSpaceDE w:val="0"/>
              <w:autoSpaceDN w:val="0"/>
              <w:adjustRightInd w:val="0"/>
              <w:rPr>
                <w:sz w:val="16"/>
                <w:szCs w:val="16"/>
              </w:rPr>
            </w:pPr>
            <w:r w:rsidRPr="00E60668">
              <w:rPr>
                <w:sz w:val="16"/>
                <w:szCs w:val="16"/>
              </w:rPr>
              <w:t>17</w:t>
            </w:r>
          </w:p>
        </w:tc>
        <w:tc>
          <w:tcPr>
            <w:tcW w:w="480" w:type="pct"/>
          </w:tcPr>
          <w:p w14:paraId="5EC262AF" w14:textId="77777777" w:rsidR="007E7B76" w:rsidRPr="00E60668" w:rsidRDefault="007E7B76" w:rsidP="007E7B76">
            <w:pPr>
              <w:widowControl w:val="0"/>
              <w:autoSpaceDE w:val="0"/>
              <w:autoSpaceDN w:val="0"/>
              <w:adjustRightInd w:val="0"/>
              <w:rPr>
                <w:sz w:val="16"/>
                <w:szCs w:val="16"/>
              </w:rPr>
            </w:pPr>
            <w:r w:rsidRPr="00E60668">
              <w:rPr>
                <w:sz w:val="16"/>
                <w:szCs w:val="16"/>
              </w:rPr>
              <w:t>11/5/2016</w:t>
            </w:r>
          </w:p>
        </w:tc>
        <w:tc>
          <w:tcPr>
            <w:tcW w:w="1610" w:type="pct"/>
            <w:vAlign w:val="bottom"/>
          </w:tcPr>
          <w:p w14:paraId="6250BC52" w14:textId="77777777" w:rsidR="007E7B76" w:rsidRPr="00E60668" w:rsidRDefault="007E7B76" w:rsidP="007E7B76">
            <w:pPr>
              <w:widowControl w:val="0"/>
              <w:autoSpaceDE w:val="0"/>
              <w:autoSpaceDN w:val="0"/>
              <w:adjustRightInd w:val="0"/>
              <w:rPr>
                <w:sz w:val="16"/>
                <w:szCs w:val="16"/>
              </w:rPr>
            </w:pPr>
            <w:r w:rsidRPr="00E60668">
              <w:rPr>
                <w:sz w:val="16"/>
                <w:szCs w:val="16"/>
              </w:rPr>
              <w:t>Leeco global holding</w:t>
            </w:r>
          </w:p>
        </w:tc>
        <w:tc>
          <w:tcPr>
            <w:tcW w:w="1538" w:type="pct"/>
            <w:vAlign w:val="bottom"/>
          </w:tcPr>
          <w:p w14:paraId="4E559371" w14:textId="77777777" w:rsidR="007E7B76" w:rsidRPr="00E60668" w:rsidRDefault="007E7B76" w:rsidP="007E7B76">
            <w:pPr>
              <w:widowControl w:val="0"/>
              <w:autoSpaceDE w:val="0"/>
              <w:autoSpaceDN w:val="0"/>
              <w:adjustRightInd w:val="0"/>
              <w:rPr>
                <w:sz w:val="16"/>
                <w:szCs w:val="16"/>
              </w:rPr>
            </w:pPr>
            <w:r w:rsidRPr="00E60668">
              <w:rPr>
                <w:sz w:val="16"/>
                <w:szCs w:val="16"/>
              </w:rPr>
              <w:t>Vizio holdings inc</w:t>
            </w:r>
          </w:p>
        </w:tc>
        <w:tc>
          <w:tcPr>
            <w:tcW w:w="1172" w:type="pct"/>
          </w:tcPr>
          <w:p w14:paraId="44064758"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1363E40B" w14:textId="77777777" w:rsidTr="0093640E">
        <w:trPr>
          <w:trHeight w:val="144"/>
          <w:jc w:val="center"/>
        </w:trPr>
        <w:tc>
          <w:tcPr>
            <w:tcW w:w="200" w:type="pct"/>
          </w:tcPr>
          <w:p w14:paraId="533EF2AB" w14:textId="5BB3E1BA" w:rsidR="007E7B76" w:rsidRPr="00E60668" w:rsidRDefault="007E7B76" w:rsidP="007E7B76">
            <w:pPr>
              <w:widowControl w:val="0"/>
              <w:autoSpaceDE w:val="0"/>
              <w:autoSpaceDN w:val="0"/>
              <w:adjustRightInd w:val="0"/>
              <w:rPr>
                <w:sz w:val="16"/>
                <w:szCs w:val="16"/>
              </w:rPr>
            </w:pPr>
            <w:r w:rsidRPr="00E60668">
              <w:rPr>
                <w:sz w:val="16"/>
                <w:szCs w:val="16"/>
              </w:rPr>
              <w:t>18</w:t>
            </w:r>
          </w:p>
        </w:tc>
        <w:tc>
          <w:tcPr>
            <w:tcW w:w="480" w:type="pct"/>
          </w:tcPr>
          <w:p w14:paraId="30F05A85" w14:textId="77777777" w:rsidR="007E7B76" w:rsidRPr="00E60668" w:rsidRDefault="007E7B76" w:rsidP="007E7B76">
            <w:pPr>
              <w:widowControl w:val="0"/>
              <w:autoSpaceDE w:val="0"/>
              <w:autoSpaceDN w:val="0"/>
              <w:adjustRightInd w:val="0"/>
              <w:rPr>
                <w:sz w:val="16"/>
                <w:szCs w:val="16"/>
              </w:rPr>
            </w:pPr>
            <w:r w:rsidRPr="00E60668">
              <w:rPr>
                <w:sz w:val="16"/>
                <w:szCs w:val="16"/>
              </w:rPr>
              <w:t>12/2/2016</w:t>
            </w:r>
          </w:p>
        </w:tc>
        <w:tc>
          <w:tcPr>
            <w:tcW w:w="1610" w:type="pct"/>
            <w:vAlign w:val="bottom"/>
          </w:tcPr>
          <w:p w14:paraId="0FCD7656" w14:textId="77777777" w:rsidR="007E7B76" w:rsidRPr="00E60668" w:rsidRDefault="007E7B76" w:rsidP="007E7B76">
            <w:pPr>
              <w:widowControl w:val="0"/>
              <w:autoSpaceDE w:val="0"/>
              <w:autoSpaceDN w:val="0"/>
              <w:adjustRightInd w:val="0"/>
              <w:rPr>
                <w:sz w:val="16"/>
                <w:szCs w:val="16"/>
              </w:rPr>
            </w:pPr>
            <w:r w:rsidRPr="00E60668">
              <w:rPr>
                <w:sz w:val="16"/>
                <w:szCs w:val="16"/>
              </w:rPr>
              <w:t>Fujian grand chip investment fund lp</w:t>
            </w:r>
          </w:p>
        </w:tc>
        <w:tc>
          <w:tcPr>
            <w:tcW w:w="1538" w:type="pct"/>
            <w:vAlign w:val="bottom"/>
          </w:tcPr>
          <w:p w14:paraId="584188CC" w14:textId="77777777" w:rsidR="007E7B76" w:rsidRPr="00E60668" w:rsidRDefault="007E7B76" w:rsidP="007E7B76">
            <w:pPr>
              <w:widowControl w:val="0"/>
              <w:autoSpaceDE w:val="0"/>
              <w:autoSpaceDN w:val="0"/>
              <w:adjustRightInd w:val="0"/>
              <w:rPr>
                <w:sz w:val="16"/>
                <w:szCs w:val="16"/>
              </w:rPr>
            </w:pPr>
            <w:r w:rsidRPr="00E60668">
              <w:rPr>
                <w:sz w:val="16"/>
                <w:szCs w:val="16"/>
              </w:rPr>
              <w:t>Aixtron se</w:t>
            </w:r>
          </w:p>
        </w:tc>
        <w:tc>
          <w:tcPr>
            <w:tcW w:w="1172" w:type="pct"/>
          </w:tcPr>
          <w:p w14:paraId="6529E5DB"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0A3B0DE9" w14:textId="77777777" w:rsidTr="0093640E">
        <w:trPr>
          <w:trHeight w:val="144"/>
          <w:jc w:val="center"/>
        </w:trPr>
        <w:tc>
          <w:tcPr>
            <w:tcW w:w="200" w:type="pct"/>
          </w:tcPr>
          <w:p w14:paraId="7A303988" w14:textId="1EE78506" w:rsidR="007E7B76" w:rsidRPr="00E60668" w:rsidRDefault="007E7B76" w:rsidP="007E7B76">
            <w:pPr>
              <w:widowControl w:val="0"/>
              <w:autoSpaceDE w:val="0"/>
              <w:autoSpaceDN w:val="0"/>
              <w:adjustRightInd w:val="0"/>
              <w:rPr>
                <w:sz w:val="16"/>
                <w:szCs w:val="16"/>
              </w:rPr>
            </w:pPr>
            <w:r w:rsidRPr="00E60668">
              <w:rPr>
                <w:sz w:val="16"/>
                <w:szCs w:val="16"/>
              </w:rPr>
              <w:t>19</w:t>
            </w:r>
          </w:p>
        </w:tc>
        <w:tc>
          <w:tcPr>
            <w:tcW w:w="480" w:type="pct"/>
          </w:tcPr>
          <w:p w14:paraId="271C17CF" w14:textId="77777777" w:rsidR="007E7B76" w:rsidRPr="00E60668" w:rsidRDefault="007E7B76" w:rsidP="007E7B76">
            <w:pPr>
              <w:widowControl w:val="0"/>
              <w:autoSpaceDE w:val="0"/>
              <w:autoSpaceDN w:val="0"/>
              <w:adjustRightInd w:val="0"/>
              <w:rPr>
                <w:sz w:val="16"/>
                <w:szCs w:val="16"/>
              </w:rPr>
            </w:pPr>
            <w:r w:rsidRPr="00E60668">
              <w:rPr>
                <w:sz w:val="16"/>
                <w:szCs w:val="16"/>
              </w:rPr>
              <w:t>12/26/2016</w:t>
            </w:r>
          </w:p>
        </w:tc>
        <w:tc>
          <w:tcPr>
            <w:tcW w:w="1610" w:type="pct"/>
            <w:vAlign w:val="bottom"/>
          </w:tcPr>
          <w:p w14:paraId="7BCA2E59" w14:textId="77777777" w:rsidR="007E7B76" w:rsidRPr="00E60668" w:rsidRDefault="007E7B76" w:rsidP="007E7B76">
            <w:pPr>
              <w:widowControl w:val="0"/>
              <w:autoSpaceDE w:val="0"/>
              <w:autoSpaceDN w:val="0"/>
              <w:adjustRightInd w:val="0"/>
              <w:rPr>
                <w:sz w:val="16"/>
                <w:szCs w:val="16"/>
              </w:rPr>
            </w:pPr>
            <w:r w:rsidRPr="00E60668">
              <w:rPr>
                <w:sz w:val="16"/>
                <w:szCs w:val="16"/>
              </w:rPr>
              <w:t>Hybrid kinetic group limited</w:t>
            </w:r>
          </w:p>
        </w:tc>
        <w:tc>
          <w:tcPr>
            <w:tcW w:w="1538" w:type="pct"/>
            <w:vAlign w:val="bottom"/>
          </w:tcPr>
          <w:p w14:paraId="1660F77B" w14:textId="77777777" w:rsidR="007E7B76" w:rsidRPr="00E60668" w:rsidRDefault="007E7B76" w:rsidP="007E7B76">
            <w:pPr>
              <w:widowControl w:val="0"/>
              <w:autoSpaceDE w:val="0"/>
              <w:autoSpaceDN w:val="0"/>
              <w:adjustRightInd w:val="0"/>
              <w:rPr>
                <w:sz w:val="16"/>
                <w:szCs w:val="16"/>
              </w:rPr>
            </w:pPr>
            <w:r w:rsidRPr="00E60668">
              <w:rPr>
                <w:sz w:val="16"/>
                <w:szCs w:val="16"/>
              </w:rPr>
              <w:t>Uqm technologies inc</w:t>
            </w:r>
          </w:p>
        </w:tc>
        <w:tc>
          <w:tcPr>
            <w:tcW w:w="1172" w:type="pct"/>
          </w:tcPr>
          <w:p w14:paraId="2102F9EF"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2E6F5B3E" w14:textId="77777777" w:rsidTr="0093640E">
        <w:trPr>
          <w:trHeight w:val="144"/>
          <w:jc w:val="center"/>
        </w:trPr>
        <w:tc>
          <w:tcPr>
            <w:tcW w:w="200" w:type="pct"/>
          </w:tcPr>
          <w:p w14:paraId="16914D15" w14:textId="32E6F299" w:rsidR="007E7B76" w:rsidRPr="00E60668" w:rsidRDefault="007E7B76" w:rsidP="007E7B76">
            <w:pPr>
              <w:widowControl w:val="0"/>
              <w:autoSpaceDE w:val="0"/>
              <w:autoSpaceDN w:val="0"/>
              <w:adjustRightInd w:val="0"/>
              <w:rPr>
                <w:sz w:val="16"/>
                <w:szCs w:val="16"/>
              </w:rPr>
            </w:pPr>
            <w:r w:rsidRPr="00E60668">
              <w:rPr>
                <w:sz w:val="16"/>
                <w:szCs w:val="16"/>
              </w:rPr>
              <w:t>20</w:t>
            </w:r>
          </w:p>
        </w:tc>
        <w:tc>
          <w:tcPr>
            <w:tcW w:w="480" w:type="pct"/>
          </w:tcPr>
          <w:p w14:paraId="5F46E343" w14:textId="77777777" w:rsidR="007E7B76" w:rsidRPr="00E60668" w:rsidRDefault="007E7B76" w:rsidP="007E7B76">
            <w:pPr>
              <w:widowControl w:val="0"/>
              <w:autoSpaceDE w:val="0"/>
              <w:autoSpaceDN w:val="0"/>
              <w:adjustRightInd w:val="0"/>
              <w:rPr>
                <w:sz w:val="16"/>
                <w:szCs w:val="16"/>
              </w:rPr>
            </w:pPr>
            <w:r w:rsidRPr="00E60668">
              <w:rPr>
                <w:sz w:val="16"/>
                <w:szCs w:val="16"/>
              </w:rPr>
              <w:t>2/16/2017</w:t>
            </w:r>
          </w:p>
        </w:tc>
        <w:tc>
          <w:tcPr>
            <w:tcW w:w="1610" w:type="pct"/>
          </w:tcPr>
          <w:p w14:paraId="3D8969DE" w14:textId="77777777" w:rsidR="007E7B76" w:rsidRPr="00E60668" w:rsidRDefault="007E7B76" w:rsidP="007E7B76">
            <w:pPr>
              <w:widowControl w:val="0"/>
              <w:autoSpaceDE w:val="0"/>
              <w:autoSpaceDN w:val="0"/>
              <w:adjustRightInd w:val="0"/>
              <w:rPr>
                <w:sz w:val="16"/>
                <w:szCs w:val="16"/>
              </w:rPr>
            </w:pPr>
            <w:r w:rsidRPr="00E60668">
              <w:rPr>
                <w:sz w:val="16"/>
                <w:szCs w:val="16"/>
              </w:rPr>
              <w:t>Infineon technologies ag</w:t>
            </w:r>
          </w:p>
        </w:tc>
        <w:tc>
          <w:tcPr>
            <w:tcW w:w="1538" w:type="pct"/>
          </w:tcPr>
          <w:p w14:paraId="5BAF2C09" w14:textId="77777777" w:rsidR="007E7B76" w:rsidRPr="00E60668" w:rsidRDefault="007E7B76" w:rsidP="007E7B76">
            <w:pPr>
              <w:widowControl w:val="0"/>
              <w:autoSpaceDE w:val="0"/>
              <w:autoSpaceDN w:val="0"/>
              <w:adjustRightInd w:val="0"/>
              <w:rPr>
                <w:sz w:val="16"/>
                <w:szCs w:val="16"/>
              </w:rPr>
            </w:pPr>
            <w:r w:rsidRPr="00E60668">
              <w:rPr>
                <w:sz w:val="16"/>
                <w:szCs w:val="16"/>
              </w:rPr>
              <w:t>Wolfspeed power and rf division</w:t>
            </w:r>
          </w:p>
        </w:tc>
        <w:tc>
          <w:tcPr>
            <w:tcW w:w="1172" w:type="pct"/>
          </w:tcPr>
          <w:p w14:paraId="6A392C8F" w14:textId="77777777" w:rsidR="007E7B76" w:rsidRPr="00E60668" w:rsidRDefault="007E7B76" w:rsidP="007E7B76">
            <w:pPr>
              <w:widowControl w:val="0"/>
              <w:autoSpaceDE w:val="0"/>
              <w:autoSpaceDN w:val="0"/>
              <w:adjustRightInd w:val="0"/>
              <w:rPr>
                <w:sz w:val="16"/>
                <w:szCs w:val="16"/>
              </w:rPr>
            </w:pPr>
            <w:r w:rsidRPr="00E60668">
              <w:rPr>
                <w:sz w:val="16"/>
                <w:szCs w:val="16"/>
              </w:rPr>
              <w:t>Asset deal</w:t>
            </w:r>
            <w:r>
              <w:rPr>
                <w:sz w:val="16"/>
                <w:szCs w:val="16"/>
              </w:rPr>
              <w:t xml:space="preserve"> (missing sic)</w:t>
            </w:r>
          </w:p>
        </w:tc>
      </w:tr>
      <w:tr w:rsidR="007E7B76" w:rsidRPr="00E60668" w14:paraId="302B0097" w14:textId="77777777" w:rsidTr="0093640E">
        <w:trPr>
          <w:trHeight w:val="144"/>
          <w:jc w:val="center"/>
        </w:trPr>
        <w:tc>
          <w:tcPr>
            <w:tcW w:w="200" w:type="pct"/>
          </w:tcPr>
          <w:p w14:paraId="010C2594" w14:textId="60F5B2FE" w:rsidR="007E7B76" w:rsidRPr="00E60668" w:rsidRDefault="007E7B76" w:rsidP="007E7B76">
            <w:pPr>
              <w:widowControl w:val="0"/>
              <w:autoSpaceDE w:val="0"/>
              <w:autoSpaceDN w:val="0"/>
              <w:adjustRightInd w:val="0"/>
              <w:rPr>
                <w:sz w:val="16"/>
                <w:szCs w:val="16"/>
              </w:rPr>
            </w:pPr>
            <w:r w:rsidRPr="00E60668">
              <w:rPr>
                <w:sz w:val="16"/>
                <w:szCs w:val="16"/>
              </w:rPr>
              <w:t>21</w:t>
            </w:r>
          </w:p>
        </w:tc>
        <w:tc>
          <w:tcPr>
            <w:tcW w:w="480" w:type="pct"/>
          </w:tcPr>
          <w:p w14:paraId="4A0A6041" w14:textId="77777777" w:rsidR="007E7B76" w:rsidRPr="00E60668" w:rsidRDefault="007E7B76" w:rsidP="007E7B76">
            <w:pPr>
              <w:widowControl w:val="0"/>
              <w:autoSpaceDE w:val="0"/>
              <w:autoSpaceDN w:val="0"/>
              <w:adjustRightInd w:val="0"/>
              <w:rPr>
                <w:sz w:val="16"/>
                <w:szCs w:val="16"/>
              </w:rPr>
            </w:pPr>
            <w:r w:rsidRPr="00E60668">
              <w:rPr>
                <w:sz w:val="16"/>
                <w:szCs w:val="16"/>
              </w:rPr>
              <w:t>6/1/2017</w:t>
            </w:r>
          </w:p>
        </w:tc>
        <w:tc>
          <w:tcPr>
            <w:tcW w:w="1610" w:type="pct"/>
            <w:vAlign w:val="bottom"/>
          </w:tcPr>
          <w:p w14:paraId="0B1B6E04" w14:textId="77777777" w:rsidR="007E7B76" w:rsidRPr="00E60668" w:rsidRDefault="007E7B76" w:rsidP="007E7B76">
            <w:pPr>
              <w:widowControl w:val="0"/>
              <w:autoSpaceDE w:val="0"/>
              <w:autoSpaceDN w:val="0"/>
              <w:adjustRightInd w:val="0"/>
              <w:rPr>
                <w:sz w:val="16"/>
                <w:szCs w:val="16"/>
              </w:rPr>
            </w:pPr>
            <w:r w:rsidRPr="00E60668">
              <w:rPr>
                <w:sz w:val="16"/>
                <w:szCs w:val="16"/>
              </w:rPr>
              <w:t>Oneweb and softbank group corp</w:t>
            </w:r>
          </w:p>
        </w:tc>
        <w:tc>
          <w:tcPr>
            <w:tcW w:w="1538" w:type="pct"/>
            <w:vAlign w:val="bottom"/>
          </w:tcPr>
          <w:p w14:paraId="36584A93" w14:textId="77777777" w:rsidR="007E7B76" w:rsidRPr="00E60668" w:rsidRDefault="007E7B76" w:rsidP="007E7B76">
            <w:pPr>
              <w:widowControl w:val="0"/>
              <w:autoSpaceDE w:val="0"/>
              <w:autoSpaceDN w:val="0"/>
              <w:adjustRightInd w:val="0"/>
              <w:rPr>
                <w:sz w:val="16"/>
                <w:szCs w:val="16"/>
              </w:rPr>
            </w:pPr>
            <w:r w:rsidRPr="00E60668">
              <w:rPr>
                <w:sz w:val="16"/>
                <w:szCs w:val="16"/>
              </w:rPr>
              <w:t>Intelsat sa</w:t>
            </w:r>
          </w:p>
        </w:tc>
        <w:tc>
          <w:tcPr>
            <w:tcW w:w="1172" w:type="pct"/>
          </w:tcPr>
          <w:p w14:paraId="7431A8F0"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2EC61ECC" w14:textId="77777777" w:rsidTr="0093640E">
        <w:trPr>
          <w:trHeight w:val="144"/>
          <w:jc w:val="center"/>
        </w:trPr>
        <w:tc>
          <w:tcPr>
            <w:tcW w:w="200" w:type="pct"/>
          </w:tcPr>
          <w:p w14:paraId="7CC26F01" w14:textId="4CE0AB31" w:rsidR="007E7B76" w:rsidRPr="00E60668" w:rsidRDefault="007E7B76" w:rsidP="007E7B76">
            <w:pPr>
              <w:widowControl w:val="0"/>
              <w:autoSpaceDE w:val="0"/>
              <w:autoSpaceDN w:val="0"/>
              <w:adjustRightInd w:val="0"/>
              <w:rPr>
                <w:sz w:val="16"/>
                <w:szCs w:val="16"/>
              </w:rPr>
            </w:pPr>
            <w:r w:rsidRPr="00E60668">
              <w:rPr>
                <w:sz w:val="16"/>
                <w:szCs w:val="16"/>
              </w:rPr>
              <w:t>22</w:t>
            </w:r>
          </w:p>
        </w:tc>
        <w:tc>
          <w:tcPr>
            <w:tcW w:w="480" w:type="pct"/>
          </w:tcPr>
          <w:p w14:paraId="4A296483" w14:textId="77777777" w:rsidR="007E7B76" w:rsidRPr="00E60668" w:rsidRDefault="007E7B76" w:rsidP="007E7B76">
            <w:pPr>
              <w:widowControl w:val="0"/>
              <w:autoSpaceDE w:val="0"/>
              <w:autoSpaceDN w:val="0"/>
              <w:adjustRightInd w:val="0"/>
              <w:rPr>
                <w:sz w:val="16"/>
                <w:szCs w:val="16"/>
              </w:rPr>
            </w:pPr>
            <w:r w:rsidRPr="00E60668">
              <w:rPr>
                <w:sz w:val="16"/>
                <w:szCs w:val="16"/>
              </w:rPr>
              <w:t>6/7/2017</w:t>
            </w:r>
          </w:p>
        </w:tc>
        <w:tc>
          <w:tcPr>
            <w:tcW w:w="1610" w:type="pct"/>
          </w:tcPr>
          <w:p w14:paraId="3101C5D7" w14:textId="77777777" w:rsidR="007E7B76" w:rsidRPr="00E60668" w:rsidRDefault="007E7B76" w:rsidP="007E7B76">
            <w:pPr>
              <w:widowControl w:val="0"/>
              <w:autoSpaceDE w:val="0"/>
              <w:autoSpaceDN w:val="0"/>
              <w:adjustRightInd w:val="0"/>
              <w:rPr>
                <w:sz w:val="16"/>
                <w:szCs w:val="16"/>
              </w:rPr>
            </w:pPr>
            <w:r w:rsidRPr="00E60668">
              <w:rPr>
                <w:sz w:val="16"/>
                <w:szCs w:val="16"/>
              </w:rPr>
              <w:t>Tcl industries holdings</w:t>
            </w:r>
          </w:p>
        </w:tc>
        <w:tc>
          <w:tcPr>
            <w:tcW w:w="1538" w:type="pct"/>
          </w:tcPr>
          <w:p w14:paraId="2C0F9130" w14:textId="77777777" w:rsidR="007E7B76" w:rsidRPr="00E60668" w:rsidRDefault="007E7B76" w:rsidP="007E7B76">
            <w:pPr>
              <w:widowControl w:val="0"/>
              <w:autoSpaceDE w:val="0"/>
              <w:autoSpaceDN w:val="0"/>
              <w:adjustRightInd w:val="0"/>
              <w:rPr>
                <w:sz w:val="16"/>
                <w:szCs w:val="16"/>
              </w:rPr>
            </w:pPr>
            <w:r w:rsidRPr="00E60668">
              <w:rPr>
                <w:sz w:val="16"/>
                <w:szCs w:val="16"/>
              </w:rPr>
              <w:t>Novatel wireless inc</w:t>
            </w:r>
          </w:p>
        </w:tc>
        <w:tc>
          <w:tcPr>
            <w:tcW w:w="1172" w:type="pct"/>
          </w:tcPr>
          <w:p w14:paraId="6C41AE3C"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2392F9CF" w14:textId="77777777" w:rsidTr="0093640E">
        <w:trPr>
          <w:trHeight w:val="144"/>
          <w:jc w:val="center"/>
        </w:trPr>
        <w:tc>
          <w:tcPr>
            <w:tcW w:w="200" w:type="pct"/>
          </w:tcPr>
          <w:p w14:paraId="01983A46" w14:textId="6214465F" w:rsidR="007E7B76" w:rsidRPr="00E60668" w:rsidRDefault="007E7B76" w:rsidP="007E7B76">
            <w:pPr>
              <w:widowControl w:val="0"/>
              <w:autoSpaceDE w:val="0"/>
              <w:autoSpaceDN w:val="0"/>
              <w:adjustRightInd w:val="0"/>
              <w:rPr>
                <w:sz w:val="16"/>
                <w:szCs w:val="16"/>
              </w:rPr>
            </w:pPr>
            <w:r w:rsidRPr="00E60668">
              <w:rPr>
                <w:sz w:val="16"/>
                <w:szCs w:val="16"/>
              </w:rPr>
              <w:t>23</w:t>
            </w:r>
          </w:p>
        </w:tc>
        <w:tc>
          <w:tcPr>
            <w:tcW w:w="480" w:type="pct"/>
          </w:tcPr>
          <w:p w14:paraId="480051D1" w14:textId="77777777" w:rsidR="007E7B76" w:rsidRPr="00E60668" w:rsidRDefault="007E7B76" w:rsidP="007E7B76">
            <w:pPr>
              <w:widowControl w:val="0"/>
              <w:autoSpaceDE w:val="0"/>
              <w:autoSpaceDN w:val="0"/>
              <w:adjustRightInd w:val="0"/>
              <w:rPr>
                <w:sz w:val="16"/>
                <w:szCs w:val="16"/>
              </w:rPr>
            </w:pPr>
            <w:r w:rsidRPr="00E60668">
              <w:rPr>
                <w:sz w:val="16"/>
                <w:szCs w:val="16"/>
              </w:rPr>
              <w:t>7/26/2017</w:t>
            </w:r>
          </w:p>
        </w:tc>
        <w:tc>
          <w:tcPr>
            <w:tcW w:w="1610" w:type="pct"/>
            <w:vAlign w:val="bottom"/>
          </w:tcPr>
          <w:p w14:paraId="4F4F9638" w14:textId="77777777" w:rsidR="007E7B76" w:rsidRPr="00E60668" w:rsidRDefault="007E7B76" w:rsidP="007E7B76">
            <w:pPr>
              <w:widowControl w:val="0"/>
              <w:autoSpaceDE w:val="0"/>
              <w:autoSpaceDN w:val="0"/>
              <w:adjustRightInd w:val="0"/>
              <w:rPr>
                <w:sz w:val="16"/>
                <w:szCs w:val="16"/>
              </w:rPr>
            </w:pPr>
            <w:r w:rsidRPr="00E60668">
              <w:rPr>
                <w:sz w:val="16"/>
                <w:szCs w:val="16"/>
              </w:rPr>
              <w:t>Beijing shareco technologies co</w:t>
            </w:r>
          </w:p>
        </w:tc>
        <w:tc>
          <w:tcPr>
            <w:tcW w:w="1538" w:type="pct"/>
            <w:vAlign w:val="bottom"/>
          </w:tcPr>
          <w:p w14:paraId="3B42B8BD" w14:textId="77777777" w:rsidR="007E7B76" w:rsidRPr="00E60668" w:rsidRDefault="007E7B76" w:rsidP="007E7B76">
            <w:pPr>
              <w:widowControl w:val="0"/>
              <w:autoSpaceDE w:val="0"/>
              <w:autoSpaceDN w:val="0"/>
              <w:adjustRightInd w:val="0"/>
              <w:rPr>
                <w:sz w:val="16"/>
                <w:szCs w:val="16"/>
              </w:rPr>
            </w:pPr>
            <w:r w:rsidRPr="00E60668">
              <w:rPr>
                <w:sz w:val="16"/>
                <w:szCs w:val="16"/>
              </w:rPr>
              <w:t>Global eagle entertainment inc</w:t>
            </w:r>
          </w:p>
        </w:tc>
        <w:tc>
          <w:tcPr>
            <w:tcW w:w="1172" w:type="pct"/>
          </w:tcPr>
          <w:p w14:paraId="09B5EEB3"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3E707B48" w14:textId="77777777" w:rsidTr="0093640E">
        <w:trPr>
          <w:trHeight w:val="144"/>
          <w:jc w:val="center"/>
        </w:trPr>
        <w:tc>
          <w:tcPr>
            <w:tcW w:w="200" w:type="pct"/>
          </w:tcPr>
          <w:p w14:paraId="58863731" w14:textId="3EDCA6F8" w:rsidR="007E7B76" w:rsidRPr="00E60668" w:rsidRDefault="007E7B76" w:rsidP="007E7B76">
            <w:pPr>
              <w:widowControl w:val="0"/>
              <w:autoSpaceDE w:val="0"/>
              <w:autoSpaceDN w:val="0"/>
              <w:adjustRightInd w:val="0"/>
              <w:rPr>
                <w:sz w:val="16"/>
                <w:szCs w:val="16"/>
              </w:rPr>
            </w:pPr>
            <w:r w:rsidRPr="00E60668">
              <w:rPr>
                <w:sz w:val="16"/>
                <w:szCs w:val="16"/>
              </w:rPr>
              <w:t>24</w:t>
            </w:r>
          </w:p>
        </w:tc>
        <w:tc>
          <w:tcPr>
            <w:tcW w:w="480" w:type="pct"/>
          </w:tcPr>
          <w:p w14:paraId="30002719" w14:textId="77777777" w:rsidR="007E7B76" w:rsidRPr="00E60668" w:rsidRDefault="007E7B76" w:rsidP="007E7B76">
            <w:pPr>
              <w:widowControl w:val="0"/>
              <w:autoSpaceDE w:val="0"/>
              <w:autoSpaceDN w:val="0"/>
              <w:adjustRightInd w:val="0"/>
              <w:rPr>
                <w:sz w:val="16"/>
                <w:szCs w:val="16"/>
              </w:rPr>
            </w:pPr>
            <w:r w:rsidRPr="00E60668">
              <w:rPr>
                <w:sz w:val="16"/>
                <w:szCs w:val="16"/>
              </w:rPr>
              <w:t>8/3/2017</w:t>
            </w:r>
          </w:p>
        </w:tc>
        <w:tc>
          <w:tcPr>
            <w:tcW w:w="1610" w:type="pct"/>
          </w:tcPr>
          <w:p w14:paraId="10E8AAD3" w14:textId="77777777" w:rsidR="007E7B76" w:rsidRPr="00E60668" w:rsidRDefault="007E7B76" w:rsidP="007E7B76">
            <w:pPr>
              <w:widowControl w:val="0"/>
              <w:autoSpaceDE w:val="0"/>
              <w:autoSpaceDN w:val="0"/>
              <w:adjustRightInd w:val="0"/>
              <w:rPr>
                <w:sz w:val="16"/>
                <w:szCs w:val="16"/>
              </w:rPr>
            </w:pPr>
            <w:r w:rsidRPr="00E60668">
              <w:rPr>
                <w:sz w:val="16"/>
                <w:szCs w:val="16"/>
              </w:rPr>
              <w:t>Idg energy investment group ltd</w:t>
            </w:r>
          </w:p>
        </w:tc>
        <w:tc>
          <w:tcPr>
            <w:tcW w:w="1538" w:type="pct"/>
          </w:tcPr>
          <w:p w14:paraId="48EE11BB" w14:textId="77777777" w:rsidR="007E7B76" w:rsidRPr="00E60668" w:rsidRDefault="007E7B76" w:rsidP="007E7B76">
            <w:pPr>
              <w:widowControl w:val="0"/>
              <w:autoSpaceDE w:val="0"/>
              <w:autoSpaceDN w:val="0"/>
              <w:adjustRightInd w:val="0"/>
              <w:rPr>
                <w:sz w:val="16"/>
                <w:szCs w:val="16"/>
              </w:rPr>
            </w:pPr>
            <w:r w:rsidRPr="00E60668">
              <w:rPr>
                <w:sz w:val="16"/>
                <w:szCs w:val="16"/>
              </w:rPr>
              <w:t>Texas eagle ford shale</w:t>
            </w:r>
          </w:p>
        </w:tc>
        <w:tc>
          <w:tcPr>
            <w:tcW w:w="1172" w:type="pct"/>
          </w:tcPr>
          <w:p w14:paraId="702B0BCC" w14:textId="77777777" w:rsidR="007E7B76" w:rsidRPr="00E60668" w:rsidRDefault="007E7B76" w:rsidP="007E7B76">
            <w:pPr>
              <w:widowControl w:val="0"/>
              <w:autoSpaceDE w:val="0"/>
              <w:autoSpaceDN w:val="0"/>
              <w:adjustRightInd w:val="0"/>
              <w:rPr>
                <w:sz w:val="16"/>
                <w:szCs w:val="16"/>
              </w:rPr>
            </w:pPr>
            <w:r w:rsidRPr="00E60668">
              <w:rPr>
                <w:sz w:val="16"/>
                <w:szCs w:val="16"/>
              </w:rPr>
              <w:t>Asset deal</w:t>
            </w:r>
            <w:r>
              <w:rPr>
                <w:sz w:val="16"/>
                <w:szCs w:val="16"/>
              </w:rPr>
              <w:t xml:space="preserve"> (missing sic)</w:t>
            </w:r>
          </w:p>
        </w:tc>
      </w:tr>
      <w:tr w:rsidR="007E7B76" w:rsidRPr="00E60668" w14:paraId="6803CE8D" w14:textId="77777777" w:rsidTr="0093640E">
        <w:trPr>
          <w:trHeight w:val="144"/>
          <w:jc w:val="center"/>
        </w:trPr>
        <w:tc>
          <w:tcPr>
            <w:tcW w:w="200" w:type="pct"/>
          </w:tcPr>
          <w:p w14:paraId="7C3661D4" w14:textId="31FE469F" w:rsidR="007E7B76" w:rsidRPr="00E60668" w:rsidRDefault="007E7B76" w:rsidP="007E7B76">
            <w:pPr>
              <w:widowControl w:val="0"/>
              <w:autoSpaceDE w:val="0"/>
              <w:autoSpaceDN w:val="0"/>
              <w:adjustRightInd w:val="0"/>
              <w:rPr>
                <w:sz w:val="16"/>
                <w:szCs w:val="16"/>
              </w:rPr>
            </w:pPr>
            <w:r w:rsidRPr="00E60668">
              <w:rPr>
                <w:sz w:val="16"/>
                <w:szCs w:val="16"/>
              </w:rPr>
              <w:t>25</w:t>
            </w:r>
          </w:p>
        </w:tc>
        <w:tc>
          <w:tcPr>
            <w:tcW w:w="480" w:type="pct"/>
          </w:tcPr>
          <w:p w14:paraId="4D53F8B4" w14:textId="77777777" w:rsidR="007E7B76" w:rsidRPr="00E60668" w:rsidRDefault="007E7B76" w:rsidP="007E7B76">
            <w:pPr>
              <w:widowControl w:val="0"/>
              <w:autoSpaceDE w:val="0"/>
              <w:autoSpaceDN w:val="0"/>
              <w:adjustRightInd w:val="0"/>
              <w:rPr>
                <w:sz w:val="16"/>
                <w:szCs w:val="16"/>
              </w:rPr>
            </w:pPr>
            <w:r w:rsidRPr="00E60668">
              <w:rPr>
                <w:sz w:val="16"/>
                <w:szCs w:val="16"/>
              </w:rPr>
              <w:t>8/4/2017</w:t>
            </w:r>
          </w:p>
        </w:tc>
        <w:tc>
          <w:tcPr>
            <w:tcW w:w="1610" w:type="pct"/>
            <w:vAlign w:val="bottom"/>
          </w:tcPr>
          <w:p w14:paraId="2978E071" w14:textId="77777777" w:rsidR="007E7B76" w:rsidRPr="00E60668" w:rsidRDefault="007E7B76" w:rsidP="007E7B76">
            <w:pPr>
              <w:widowControl w:val="0"/>
              <w:autoSpaceDE w:val="0"/>
              <w:autoSpaceDN w:val="0"/>
              <w:adjustRightInd w:val="0"/>
              <w:rPr>
                <w:sz w:val="16"/>
                <w:szCs w:val="16"/>
              </w:rPr>
            </w:pPr>
            <w:r w:rsidRPr="00E60668">
              <w:rPr>
                <w:sz w:val="16"/>
                <w:szCs w:val="16"/>
              </w:rPr>
              <w:t>Sdic fund management co</w:t>
            </w:r>
          </w:p>
        </w:tc>
        <w:tc>
          <w:tcPr>
            <w:tcW w:w="1538" w:type="pct"/>
            <w:vAlign w:val="bottom"/>
          </w:tcPr>
          <w:p w14:paraId="1D471ABB" w14:textId="77777777" w:rsidR="007E7B76" w:rsidRPr="00E60668" w:rsidRDefault="007E7B76" w:rsidP="007E7B76">
            <w:pPr>
              <w:widowControl w:val="0"/>
              <w:autoSpaceDE w:val="0"/>
              <w:autoSpaceDN w:val="0"/>
              <w:adjustRightInd w:val="0"/>
              <w:rPr>
                <w:sz w:val="16"/>
                <w:szCs w:val="16"/>
              </w:rPr>
            </w:pPr>
            <w:r w:rsidRPr="00E60668">
              <w:rPr>
                <w:sz w:val="16"/>
                <w:szCs w:val="16"/>
              </w:rPr>
              <w:t>Maxwell technologies inc</w:t>
            </w:r>
          </w:p>
        </w:tc>
        <w:tc>
          <w:tcPr>
            <w:tcW w:w="1172" w:type="pct"/>
          </w:tcPr>
          <w:p w14:paraId="4BD93CF1"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3F98942C" w14:textId="77777777" w:rsidTr="0093640E">
        <w:trPr>
          <w:trHeight w:val="144"/>
          <w:jc w:val="center"/>
        </w:trPr>
        <w:tc>
          <w:tcPr>
            <w:tcW w:w="200" w:type="pct"/>
          </w:tcPr>
          <w:p w14:paraId="7517F1BA" w14:textId="02E80307" w:rsidR="007E7B76" w:rsidRPr="00E60668" w:rsidRDefault="007E7B76" w:rsidP="007E7B76">
            <w:pPr>
              <w:widowControl w:val="0"/>
              <w:autoSpaceDE w:val="0"/>
              <w:autoSpaceDN w:val="0"/>
              <w:adjustRightInd w:val="0"/>
              <w:rPr>
                <w:sz w:val="16"/>
                <w:szCs w:val="16"/>
              </w:rPr>
            </w:pPr>
            <w:r w:rsidRPr="00E60668">
              <w:rPr>
                <w:sz w:val="16"/>
                <w:szCs w:val="16"/>
              </w:rPr>
              <w:t>26</w:t>
            </w:r>
          </w:p>
        </w:tc>
        <w:tc>
          <w:tcPr>
            <w:tcW w:w="480" w:type="pct"/>
          </w:tcPr>
          <w:p w14:paraId="32A16C19" w14:textId="77777777" w:rsidR="007E7B76" w:rsidRPr="00E60668" w:rsidRDefault="007E7B76" w:rsidP="007E7B76">
            <w:pPr>
              <w:widowControl w:val="0"/>
              <w:autoSpaceDE w:val="0"/>
              <w:autoSpaceDN w:val="0"/>
              <w:adjustRightInd w:val="0"/>
              <w:rPr>
                <w:sz w:val="16"/>
                <w:szCs w:val="16"/>
              </w:rPr>
            </w:pPr>
            <w:r w:rsidRPr="00E60668">
              <w:rPr>
                <w:sz w:val="16"/>
                <w:szCs w:val="16"/>
              </w:rPr>
              <w:t>9/2/2017</w:t>
            </w:r>
          </w:p>
        </w:tc>
        <w:tc>
          <w:tcPr>
            <w:tcW w:w="1610" w:type="pct"/>
          </w:tcPr>
          <w:p w14:paraId="75BCDAEA" w14:textId="77777777" w:rsidR="007E7B76" w:rsidRPr="00E60668" w:rsidRDefault="007E7B76" w:rsidP="007E7B76">
            <w:pPr>
              <w:widowControl w:val="0"/>
              <w:autoSpaceDE w:val="0"/>
              <w:autoSpaceDN w:val="0"/>
              <w:adjustRightInd w:val="0"/>
              <w:rPr>
                <w:sz w:val="16"/>
                <w:szCs w:val="16"/>
              </w:rPr>
            </w:pPr>
            <w:r w:rsidRPr="00E60668">
              <w:rPr>
                <w:sz w:val="16"/>
                <w:szCs w:val="16"/>
              </w:rPr>
              <w:t>Netposa technologies</w:t>
            </w:r>
          </w:p>
        </w:tc>
        <w:tc>
          <w:tcPr>
            <w:tcW w:w="1538" w:type="pct"/>
          </w:tcPr>
          <w:p w14:paraId="6927290F" w14:textId="77777777" w:rsidR="007E7B76" w:rsidRPr="00E60668" w:rsidRDefault="007E7B76" w:rsidP="007E7B76">
            <w:pPr>
              <w:widowControl w:val="0"/>
              <w:autoSpaceDE w:val="0"/>
              <w:autoSpaceDN w:val="0"/>
              <w:adjustRightInd w:val="0"/>
              <w:rPr>
                <w:sz w:val="16"/>
                <w:szCs w:val="16"/>
              </w:rPr>
            </w:pPr>
            <w:r w:rsidRPr="00E60668">
              <w:rPr>
                <w:sz w:val="16"/>
                <w:szCs w:val="16"/>
              </w:rPr>
              <w:t>Arecont vision llc</w:t>
            </w:r>
          </w:p>
        </w:tc>
        <w:tc>
          <w:tcPr>
            <w:tcW w:w="1172" w:type="pct"/>
          </w:tcPr>
          <w:p w14:paraId="1E5F0D93"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77B1ABC9" w14:textId="77777777" w:rsidTr="0093640E">
        <w:trPr>
          <w:trHeight w:val="144"/>
          <w:jc w:val="center"/>
        </w:trPr>
        <w:tc>
          <w:tcPr>
            <w:tcW w:w="200" w:type="pct"/>
          </w:tcPr>
          <w:p w14:paraId="5B7938AB" w14:textId="19C8DF0A" w:rsidR="007E7B76" w:rsidRPr="00E60668" w:rsidRDefault="007E7B76" w:rsidP="007E7B76">
            <w:pPr>
              <w:widowControl w:val="0"/>
              <w:autoSpaceDE w:val="0"/>
              <w:autoSpaceDN w:val="0"/>
              <w:adjustRightInd w:val="0"/>
              <w:rPr>
                <w:sz w:val="16"/>
                <w:szCs w:val="16"/>
              </w:rPr>
            </w:pPr>
            <w:r w:rsidRPr="00E60668">
              <w:rPr>
                <w:sz w:val="16"/>
                <w:szCs w:val="16"/>
              </w:rPr>
              <w:t>27</w:t>
            </w:r>
          </w:p>
        </w:tc>
        <w:tc>
          <w:tcPr>
            <w:tcW w:w="480" w:type="pct"/>
          </w:tcPr>
          <w:p w14:paraId="547FEC69" w14:textId="77777777" w:rsidR="007E7B76" w:rsidRPr="00E60668" w:rsidRDefault="007E7B76" w:rsidP="007E7B76">
            <w:pPr>
              <w:widowControl w:val="0"/>
              <w:autoSpaceDE w:val="0"/>
              <w:autoSpaceDN w:val="0"/>
              <w:adjustRightInd w:val="0"/>
              <w:rPr>
                <w:sz w:val="16"/>
                <w:szCs w:val="16"/>
              </w:rPr>
            </w:pPr>
            <w:r w:rsidRPr="00E60668">
              <w:rPr>
                <w:sz w:val="16"/>
                <w:szCs w:val="16"/>
              </w:rPr>
              <w:t>9/13/2017</w:t>
            </w:r>
          </w:p>
        </w:tc>
        <w:tc>
          <w:tcPr>
            <w:tcW w:w="1610" w:type="pct"/>
            <w:vAlign w:val="bottom"/>
          </w:tcPr>
          <w:p w14:paraId="4A9D4E63" w14:textId="77777777" w:rsidR="007E7B76" w:rsidRPr="00E60668" w:rsidRDefault="007E7B76" w:rsidP="007E7B76">
            <w:pPr>
              <w:widowControl w:val="0"/>
              <w:autoSpaceDE w:val="0"/>
              <w:autoSpaceDN w:val="0"/>
              <w:adjustRightInd w:val="0"/>
              <w:rPr>
                <w:sz w:val="16"/>
                <w:szCs w:val="16"/>
              </w:rPr>
            </w:pPr>
            <w:r w:rsidRPr="00E60668">
              <w:rPr>
                <w:sz w:val="16"/>
                <w:szCs w:val="16"/>
              </w:rPr>
              <w:t>Canyon bridge capital partners</w:t>
            </w:r>
          </w:p>
        </w:tc>
        <w:tc>
          <w:tcPr>
            <w:tcW w:w="1538" w:type="pct"/>
            <w:vAlign w:val="bottom"/>
          </w:tcPr>
          <w:p w14:paraId="0FD5086E" w14:textId="77777777" w:rsidR="007E7B76" w:rsidRPr="00E60668" w:rsidRDefault="007E7B76" w:rsidP="007E7B76">
            <w:pPr>
              <w:widowControl w:val="0"/>
              <w:autoSpaceDE w:val="0"/>
              <w:autoSpaceDN w:val="0"/>
              <w:adjustRightInd w:val="0"/>
              <w:rPr>
                <w:sz w:val="16"/>
                <w:szCs w:val="16"/>
              </w:rPr>
            </w:pPr>
            <w:r w:rsidRPr="00E60668">
              <w:rPr>
                <w:sz w:val="16"/>
                <w:szCs w:val="16"/>
              </w:rPr>
              <w:t>Lattice semiconductor corp</w:t>
            </w:r>
          </w:p>
        </w:tc>
        <w:tc>
          <w:tcPr>
            <w:tcW w:w="1172" w:type="pct"/>
          </w:tcPr>
          <w:p w14:paraId="7AB11CFA"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7527CD79" w14:textId="77777777" w:rsidTr="0093640E">
        <w:trPr>
          <w:trHeight w:val="144"/>
          <w:jc w:val="center"/>
        </w:trPr>
        <w:tc>
          <w:tcPr>
            <w:tcW w:w="200" w:type="pct"/>
          </w:tcPr>
          <w:p w14:paraId="76183FB8" w14:textId="4A213EA7" w:rsidR="007E7B76" w:rsidRPr="00E60668" w:rsidRDefault="007E7B76" w:rsidP="007E7B76">
            <w:pPr>
              <w:widowControl w:val="0"/>
              <w:autoSpaceDE w:val="0"/>
              <w:autoSpaceDN w:val="0"/>
              <w:adjustRightInd w:val="0"/>
              <w:rPr>
                <w:sz w:val="16"/>
                <w:szCs w:val="16"/>
              </w:rPr>
            </w:pPr>
            <w:r w:rsidRPr="00E60668">
              <w:rPr>
                <w:sz w:val="16"/>
                <w:szCs w:val="16"/>
              </w:rPr>
              <w:t>28</w:t>
            </w:r>
          </w:p>
        </w:tc>
        <w:tc>
          <w:tcPr>
            <w:tcW w:w="480" w:type="pct"/>
          </w:tcPr>
          <w:p w14:paraId="1B515FDF" w14:textId="77777777" w:rsidR="007E7B76" w:rsidRPr="00E60668" w:rsidRDefault="007E7B76" w:rsidP="007E7B76">
            <w:pPr>
              <w:widowControl w:val="0"/>
              <w:autoSpaceDE w:val="0"/>
              <w:autoSpaceDN w:val="0"/>
              <w:adjustRightInd w:val="0"/>
              <w:rPr>
                <w:sz w:val="16"/>
                <w:szCs w:val="16"/>
              </w:rPr>
            </w:pPr>
            <w:r w:rsidRPr="00E60668">
              <w:rPr>
                <w:sz w:val="16"/>
                <w:szCs w:val="16"/>
              </w:rPr>
              <w:t>9/26/2017</w:t>
            </w:r>
          </w:p>
        </w:tc>
        <w:tc>
          <w:tcPr>
            <w:tcW w:w="1610" w:type="pct"/>
          </w:tcPr>
          <w:p w14:paraId="1BD7A264" w14:textId="77777777" w:rsidR="007E7B76" w:rsidRPr="00E60668" w:rsidRDefault="007E7B76" w:rsidP="007E7B76">
            <w:pPr>
              <w:widowControl w:val="0"/>
              <w:autoSpaceDE w:val="0"/>
              <w:autoSpaceDN w:val="0"/>
              <w:adjustRightInd w:val="0"/>
              <w:rPr>
                <w:sz w:val="16"/>
                <w:szCs w:val="16"/>
              </w:rPr>
            </w:pPr>
            <w:r w:rsidRPr="00E60668">
              <w:rPr>
                <w:sz w:val="16"/>
                <w:szCs w:val="16"/>
              </w:rPr>
              <w:t>Navinfo co ltd</w:t>
            </w:r>
          </w:p>
        </w:tc>
        <w:tc>
          <w:tcPr>
            <w:tcW w:w="1538" w:type="pct"/>
          </w:tcPr>
          <w:p w14:paraId="3A7D8888" w14:textId="77777777" w:rsidR="007E7B76" w:rsidRPr="00E60668" w:rsidRDefault="007E7B76" w:rsidP="007E7B76">
            <w:pPr>
              <w:widowControl w:val="0"/>
              <w:autoSpaceDE w:val="0"/>
              <w:autoSpaceDN w:val="0"/>
              <w:adjustRightInd w:val="0"/>
              <w:rPr>
                <w:sz w:val="16"/>
                <w:szCs w:val="16"/>
              </w:rPr>
            </w:pPr>
            <w:r w:rsidRPr="00E60668">
              <w:rPr>
                <w:sz w:val="16"/>
                <w:szCs w:val="16"/>
              </w:rPr>
              <w:t>Here europe b v</w:t>
            </w:r>
          </w:p>
        </w:tc>
        <w:tc>
          <w:tcPr>
            <w:tcW w:w="1172" w:type="pct"/>
          </w:tcPr>
          <w:p w14:paraId="7CEB97B4"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6657D3C8" w14:textId="77777777" w:rsidTr="0093640E">
        <w:trPr>
          <w:trHeight w:val="144"/>
          <w:jc w:val="center"/>
        </w:trPr>
        <w:tc>
          <w:tcPr>
            <w:tcW w:w="200" w:type="pct"/>
          </w:tcPr>
          <w:p w14:paraId="1302892E" w14:textId="786D6A1A" w:rsidR="007E7B76" w:rsidRPr="00E60668" w:rsidRDefault="007E7B76" w:rsidP="007E7B76">
            <w:pPr>
              <w:widowControl w:val="0"/>
              <w:autoSpaceDE w:val="0"/>
              <w:autoSpaceDN w:val="0"/>
              <w:adjustRightInd w:val="0"/>
              <w:rPr>
                <w:color w:val="000000"/>
                <w:sz w:val="16"/>
                <w:szCs w:val="16"/>
              </w:rPr>
            </w:pPr>
            <w:r w:rsidRPr="00E60668">
              <w:rPr>
                <w:sz w:val="16"/>
                <w:szCs w:val="16"/>
              </w:rPr>
              <w:t>29</w:t>
            </w:r>
          </w:p>
        </w:tc>
        <w:tc>
          <w:tcPr>
            <w:tcW w:w="480" w:type="pct"/>
          </w:tcPr>
          <w:p w14:paraId="635564AD" w14:textId="77777777" w:rsidR="007E7B76" w:rsidRPr="00E60668" w:rsidRDefault="007E7B76" w:rsidP="007E7B76">
            <w:pPr>
              <w:widowControl w:val="0"/>
              <w:autoSpaceDE w:val="0"/>
              <w:autoSpaceDN w:val="0"/>
              <w:adjustRightInd w:val="0"/>
              <w:rPr>
                <w:sz w:val="16"/>
                <w:szCs w:val="16"/>
              </w:rPr>
            </w:pPr>
            <w:r w:rsidRPr="00E60668">
              <w:rPr>
                <w:sz w:val="16"/>
                <w:szCs w:val="16"/>
              </w:rPr>
              <w:t>10/4/2017</w:t>
            </w:r>
          </w:p>
        </w:tc>
        <w:tc>
          <w:tcPr>
            <w:tcW w:w="1610" w:type="pct"/>
            <w:vAlign w:val="bottom"/>
          </w:tcPr>
          <w:p w14:paraId="5E043F2D" w14:textId="77777777" w:rsidR="007E7B76" w:rsidRPr="00E60668" w:rsidRDefault="007E7B76" w:rsidP="007E7B76">
            <w:pPr>
              <w:widowControl w:val="0"/>
              <w:autoSpaceDE w:val="0"/>
              <w:autoSpaceDN w:val="0"/>
              <w:adjustRightInd w:val="0"/>
              <w:rPr>
                <w:sz w:val="16"/>
                <w:szCs w:val="16"/>
              </w:rPr>
            </w:pPr>
            <w:r w:rsidRPr="00E60668">
              <w:rPr>
                <w:sz w:val="16"/>
                <w:szCs w:val="16"/>
              </w:rPr>
              <w:t>Dragon gem limited and absolute frontier ltd</w:t>
            </w:r>
          </w:p>
        </w:tc>
        <w:tc>
          <w:tcPr>
            <w:tcW w:w="1538" w:type="pct"/>
            <w:vAlign w:val="bottom"/>
          </w:tcPr>
          <w:p w14:paraId="63F884A0" w14:textId="77777777" w:rsidR="007E7B76" w:rsidRPr="00E60668" w:rsidRDefault="007E7B76" w:rsidP="007E7B76">
            <w:pPr>
              <w:widowControl w:val="0"/>
              <w:autoSpaceDE w:val="0"/>
              <w:autoSpaceDN w:val="0"/>
              <w:adjustRightInd w:val="0"/>
              <w:rPr>
                <w:sz w:val="16"/>
                <w:szCs w:val="16"/>
              </w:rPr>
            </w:pPr>
            <w:r w:rsidRPr="00E60668">
              <w:rPr>
                <w:sz w:val="16"/>
                <w:szCs w:val="16"/>
              </w:rPr>
              <w:t>Pedevco corp</w:t>
            </w:r>
          </w:p>
        </w:tc>
        <w:tc>
          <w:tcPr>
            <w:tcW w:w="1172" w:type="pct"/>
          </w:tcPr>
          <w:p w14:paraId="5004E1D0"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16ACB803" w14:textId="77777777" w:rsidTr="0093640E">
        <w:trPr>
          <w:trHeight w:val="144"/>
          <w:jc w:val="center"/>
        </w:trPr>
        <w:tc>
          <w:tcPr>
            <w:tcW w:w="200" w:type="pct"/>
          </w:tcPr>
          <w:p w14:paraId="52649D16" w14:textId="188C54B2" w:rsidR="007E7B76" w:rsidRPr="00E60668" w:rsidRDefault="007E7B76" w:rsidP="007E7B76">
            <w:pPr>
              <w:widowControl w:val="0"/>
              <w:autoSpaceDE w:val="0"/>
              <w:autoSpaceDN w:val="0"/>
              <w:adjustRightInd w:val="0"/>
              <w:rPr>
                <w:color w:val="000000"/>
                <w:sz w:val="16"/>
                <w:szCs w:val="16"/>
              </w:rPr>
            </w:pPr>
            <w:r w:rsidRPr="00E60668">
              <w:rPr>
                <w:sz w:val="16"/>
                <w:szCs w:val="16"/>
              </w:rPr>
              <w:t>30</w:t>
            </w:r>
          </w:p>
        </w:tc>
        <w:tc>
          <w:tcPr>
            <w:tcW w:w="480" w:type="pct"/>
          </w:tcPr>
          <w:p w14:paraId="78EB3160" w14:textId="77777777" w:rsidR="007E7B76" w:rsidRPr="00E60668" w:rsidRDefault="007E7B76" w:rsidP="007E7B76">
            <w:pPr>
              <w:widowControl w:val="0"/>
              <w:autoSpaceDE w:val="0"/>
              <w:autoSpaceDN w:val="0"/>
              <w:adjustRightInd w:val="0"/>
              <w:rPr>
                <w:sz w:val="16"/>
                <w:szCs w:val="16"/>
              </w:rPr>
            </w:pPr>
            <w:r w:rsidRPr="00E60668">
              <w:rPr>
                <w:sz w:val="16"/>
                <w:szCs w:val="16"/>
              </w:rPr>
              <w:t>11/13/2017</w:t>
            </w:r>
          </w:p>
        </w:tc>
        <w:tc>
          <w:tcPr>
            <w:tcW w:w="1610" w:type="pct"/>
            <w:vAlign w:val="bottom"/>
          </w:tcPr>
          <w:p w14:paraId="71D22EA7" w14:textId="77777777" w:rsidR="007E7B76" w:rsidRPr="00E60668" w:rsidRDefault="007E7B76" w:rsidP="007E7B76">
            <w:pPr>
              <w:widowControl w:val="0"/>
              <w:autoSpaceDE w:val="0"/>
              <w:autoSpaceDN w:val="0"/>
              <w:adjustRightInd w:val="0"/>
              <w:rPr>
                <w:sz w:val="16"/>
                <w:szCs w:val="16"/>
              </w:rPr>
            </w:pPr>
            <w:r w:rsidRPr="00E60668">
              <w:rPr>
                <w:sz w:val="16"/>
                <w:szCs w:val="16"/>
              </w:rPr>
              <w:t>Zhongwang</w:t>
            </w:r>
          </w:p>
        </w:tc>
        <w:tc>
          <w:tcPr>
            <w:tcW w:w="1538" w:type="pct"/>
            <w:vAlign w:val="bottom"/>
          </w:tcPr>
          <w:p w14:paraId="2754A366" w14:textId="77777777" w:rsidR="007E7B76" w:rsidRPr="00E60668" w:rsidRDefault="007E7B76" w:rsidP="007E7B76">
            <w:pPr>
              <w:widowControl w:val="0"/>
              <w:autoSpaceDE w:val="0"/>
              <w:autoSpaceDN w:val="0"/>
              <w:adjustRightInd w:val="0"/>
              <w:rPr>
                <w:sz w:val="16"/>
                <w:szCs w:val="16"/>
              </w:rPr>
            </w:pPr>
            <w:r w:rsidRPr="00E60668">
              <w:rPr>
                <w:sz w:val="16"/>
                <w:szCs w:val="16"/>
              </w:rPr>
              <w:t>Aleris corporation</w:t>
            </w:r>
          </w:p>
        </w:tc>
        <w:tc>
          <w:tcPr>
            <w:tcW w:w="1172" w:type="pct"/>
          </w:tcPr>
          <w:p w14:paraId="750D34BA"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4992BE71" w14:textId="77777777" w:rsidTr="0093640E">
        <w:trPr>
          <w:trHeight w:val="144"/>
          <w:jc w:val="center"/>
        </w:trPr>
        <w:tc>
          <w:tcPr>
            <w:tcW w:w="200" w:type="pct"/>
          </w:tcPr>
          <w:p w14:paraId="7B1C090D" w14:textId="5A99DDD8" w:rsidR="007E7B76" w:rsidRPr="00E60668" w:rsidRDefault="007E7B76" w:rsidP="007E7B76">
            <w:pPr>
              <w:widowControl w:val="0"/>
              <w:autoSpaceDE w:val="0"/>
              <w:autoSpaceDN w:val="0"/>
              <w:adjustRightInd w:val="0"/>
              <w:rPr>
                <w:color w:val="000000"/>
                <w:sz w:val="16"/>
                <w:szCs w:val="16"/>
              </w:rPr>
            </w:pPr>
            <w:r w:rsidRPr="00E60668">
              <w:rPr>
                <w:sz w:val="16"/>
                <w:szCs w:val="16"/>
              </w:rPr>
              <w:t>31</w:t>
            </w:r>
          </w:p>
        </w:tc>
        <w:tc>
          <w:tcPr>
            <w:tcW w:w="480" w:type="pct"/>
          </w:tcPr>
          <w:p w14:paraId="7D94403D" w14:textId="77777777" w:rsidR="007E7B76" w:rsidRPr="00E60668" w:rsidRDefault="007E7B76" w:rsidP="007E7B76">
            <w:pPr>
              <w:widowControl w:val="0"/>
              <w:autoSpaceDE w:val="0"/>
              <w:autoSpaceDN w:val="0"/>
              <w:adjustRightInd w:val="0"/>
              <w:rPr>
                <w:sz w:val="16"/>
                <w:szCs w:val="16"/>
              </w:rPr>
            </w:pPr>
            <w:r w:rsidRPr="00E60668">
              <w:rPr>
                <w:sz w:val="16"/>
                <w:szCs w:val="16"/>
              </w:rPr>
              <w:t>11/21/2017</w:t>
            </w:r>
          </w:p>
        </w:tc>
        <w:tc>
          <w:tcPr>
            <w:tcW w:w="1610" w:type="pct"/>
          </w:tcPr>
          <w:p w14:paraId="3B716291" w14:textId="77777777" w:rsidR="007E7B76" w:rsidRPr="00E60668" w:rsidRDefault="007E7B76" w:rsidP="007E7B76">
            <w:pPr>
              <w:widowControl w:val="0"/>
              <w:autoSpaceDE w:val="0"/>
              <w:autoSpaceDN w:val="0"/>
              <w:adjustRightInd w:val="0"/>
              <w:rPr>
                <w:sz w:val="16"/>
                <w:szCs w:val="16"/>
              </w:rPr>
            </w:pPr>
            <w:r w:rsidRPr="00E60668">
              <w:rPr>
                <w:sz w:val="16"/>
                <w:szCs w:val="16"/>
              </w:rPr>
              <w:t>Orient hontai capital</w:t>
            </w:r>
          </w:p>
        </w:tc>
        <w:tc>
          <w:tcPr>
            <w:tcW w:w="1538" w:type="pct"/>
          </w:tcPr>
          <w:p w14:paraId="07DF18A4" w14:textId="77777777" w:rsidR="007E7B76" w:rsidRPr="00E60668" w:rsidRDefault="007E7B76" w:rsidP="007E7B76">
            <w:pPr>
              <w:widowControl w:val="0"/>
              <w:autoSpaceDE w:val="0"/>
              <w:autoSpaceDN w:val="0"/>
              <w:adjustRightInd w:val="0"/>
              <w:rPr>
                <w:sz w:val="16"/>
                <w:szCs w:val="16"/>
              </w:rPr>
            </w:pPr>
            <w:r w:rsidRPr="00E60668">
              <w:rPr>
                <w:sz w:val="16"/>
                <w:szCs w:val="16"/>
              </w:rPr>
              <w:t>Applovin ltd</w:t>
            </w:r>
          </w:p>
        </w:tc>
        <w:tc>
          <w:tcPr>
            <w:tcW w:w="1172" w:type="pct"/>
          </w:tcPr>
          <w:p w14:paraId="14C0F564"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0E94487A" w14:textId="77777777" w:rsidTr="0093640E">
        <w:trPr>
          <w:trHeight w:val="144"/>
          <w:jc w:val="center"/>
        </w:trPr>
        <w:tc>
          <w:tcPr>
            <w:tcW w:w="200" w:type="pct"/>
          </w:tcPr>
          <w:p w14:paraId="1DA0C8F9" w14:textId="5BE0959D" w:rsidR="007E7B76" w:rsidRPr="00E60668" w:rsidRDefault="007E7B76" w:rsidP="007E7B76">
            <w:pPr>
              <w:widowControl w:val="0"/>
              <w:autoSpaceDE w:val="0"/>
              <w:autoSpaceDN w:val="0"/>
              <w:adjustRightInd w:val="0"/>
              <w:rPr>
                <w:color w:val="000000"/>
                <w:sz w:val="16"/>
                <w:szCs w:val="16"/>
              </w:rPr>
            </w:pPr>
            <w:r w:rsidRPr="00E60668">
              <w:rPr>
                <w:sz w:val="16"/>
                <w:szCs w:val="16"/>
              </w:rPr>
              <w:t>32</w:t>
            </w:r>
          </w:p>
        </w:tc>
        <w:tc>
          <w:tcPr>
            <w:tcW w:w="480" w:type="pct"/>
          </w:tcPr>
          <w:p w14:paraId="3C4ABCB8" w14:textId="77777777" w:rsidR="007E7B76" w:rsidRPr="00E60668" w:rsidRDefault="007E7B76" w:rsidP="007E7B76">
            <w:pPr>
              <w:widowControl w:val="0"/>
              <w:autoSpaceDE w:val="0"/>
              <w:autoSpaceDN w:val="0"/>
              <w:adjustRightInd w:val="0"/>
              <w:rPr>
                <w:sz w:val="16"/>
                <w:szCs w:val="16"/>
              </w:rPr>
            </w:pPr>
            <w:r w:rsidRPr="00E60668">
              <w:rPr>
                <w:sz w:val="16"/>
                <w:szCs w:val="16"/>
              </w:rPr>
              <w:t>12/6/2017</w:t>
            </w:r>
          </w:p>
        </w:tc>
        <w:tc>
          <w:tcPr>
            <w:tcW w:w="1610" w:type="pct"/>
          </w:tcPr>
          <w:p w14:paraId="1A36A488" w14:textId="77777777" w:rsidR="007E7B76" w:rsidRPr="00E60668" w:rsidRDefault="007E7B76" w:rsidP="007E7B76">
            <w:pPr>
              <w:widowControl w:val="0"/>
              <w:autoSpaceDE w:val="0"/>
              <w:autoSpaceDN w:val="0"/>
              <w:adjustRightInd w:val="0"/>
              <w:rPr>
                <w:sz w:val="16"/>
                <w:szCs w:val="16"/>
              </w:rPr>
            </w:pPr>
            <w:r w:rsidRPr="00E60668">
              <w:rPr>
                <w:sz w:val="16"/>
                <w:szCs w:val="16"/>
              </w:rPr>
              <w:t>Hna capital group co</w:t>
            </w:r>
          </w:p>
        </w:tc>
        <w:tc>
          <w:tcPr>
            <w:tcW w:w="1538" w:type="pct"/>
          </w:tcPr>
          <w:p w14:paraId="3D52A609" w14:textId="77777777" w:rsidR="007E7B76" w:rsidRPr="00E60668" w:rsidRDefault="007E7B76" w:rsidP="007E7B76">
            <w:pPr>
              <w:widowControl w:val="0"/>
              <w:autoSpaceDE w:val="0"/>
              <w:autoSpaceDN w:val="0"/>
              <w:adjustRightInd w:val="0"/>
              <w:rPr>
                <w:sz w:val="16"/>
                <w:szCs w:val="16"/>
              </w:rPr>
            </w:pPr>
            <w:r w:rsidRPr="00E60668">
              <w:rPr>
                <w:sz w:val="16"/>
                <w:szCs w:val="16"/>
              </w:rPr>
              <w:t>Jersey holding corp</w:t>
            </w:r>
          </w:p>
        </w:tc>
        <w:tc>
          <w:tcPr>
            <w:tcW w:w="1172" w:type="pct"/>
          </w:tcPr>
          <w:p w14:paraId="26B87CB1"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344D8E3E" w14:textId="77777777" w:rsidTr="0093640E">
        <w:trPr>
          <w:trHeight w:val="144"/>
          <w:jc w:val="center"/>
        </w:trPr>
        <w:tc>
          <w:tcPr>
            <w:tcW w:w="200" w:type="pct"/>
          </w:tcPr>
          <w:p w14:paraId="69AD304F" w14:textId="51D88253" w:rsidR="007E7B76" w:rsidRPr="00E60668" w:rsidRDefault="007E7B76" w:rsidP="007E7B76">
            <w:pPr>
              <w:widowControl w:val="0"/>
              <w:autoSpaceDE w:val="0"/>
              <w:autoSpaceDN w:val="0"/>
              <w:adjustRightInd w:val="0"/>
              <w:rPr>
                <w:color w:val="000000"/>
                <w:sz w:val="16"/>
                <w:szCs w:val="16"/>
              </w:rPr>
            </w:pPr>
            <w:r w:rsidRPr="00E60668">
              <w:rPr>
                <w:sz w:val="16"/>
                <w:szCs w:val="16"/>
              </w:rPr>
              <w:t>33</w:t>
            </w:r>
          </w:p>
        </w:tc>
        <w:tc>
          <w:tcPr>
            <w:tcW w:w="480" w:type="pct"/>
          </w:tcPr>
          <w:p w14:paraId="3423252F" w14:textId="77777777" w:rsidR="007E7B76" w:rsidRPr="00E60668" w:rsidRDefault="007E7B76" w:rsidP="007E7B76">
            <w:pPr>
              <w:widowControl w:val="0"/>
              <w:autoSpaceDE w:val="0"/>
              <w:autoSpaceDN w:val="0"/>
              <w:adjustRightInd w:val="0"/>
              <w:rPr>
                <w:sz w:val="16"/>
                <w:szCs w:val="16"/>
              </w:rPr>
            </w:pPr>
            <w:r w:rsidRPr="00E60668">
              <w:rPr>
                <w:sz w:val="16"/>
                <w:szCs w:val="16"/>
              </w:rPr>
              <w:t>1/2/2018</w:t>
            </w:r>
          </w:p>
        </w:tc>
        <w:tc>
          <w:tcPr>
            <w:tcW w:w="1610" w:type="pct"/>
          </w:tcPr>
          <w:p w14:paraId="435657C9" w14:textId="77777777" w:rsidR="007E7B76" w:rsidRPr="00E60668" w:rsidRDefault="007E7B76" w:rsidP="007E7B76">
            <w:pPr>
              <w:widowControl w:val="0"/>
              <w:autoSpaceDE w:val="0"/>
              <w:autoSpaceDN w:val="0"/>
              <w:adjustRightInd w:val="0"/>
              <w:rPr>
                <w:sz w:val="16"/>
                <w:szCs w:val="16"/>
              </w:rPr>
            </w:pPr>
            <w:r w:rsidRPr="00E60668">
              <w:rPr>
                <w:sz w:val="16"/>
                <w:szCs w:val="16"/>
              </w:rPr>
              <w:t xml:space="preserve">Ant financial </w:t>
            </w:r>
          </w:p>
        </w:tc>
        <w:tc>
          <w:tcPr>
            <w:tcW w:w="1538" w:type="pct"/>
          </w:tcPr>
          <w:p w14:paraId="6272A072" w14:textId="77777777" w:rsidR="007E7B76" w:rsidRPr="00E60668" w:rsidRDefault="007E7B76" w:rsidP="007E7B76">
            <w:pPr>
              <w:widowControl w:val="0"/>
              <w:autoSpaceDE w:val="0"/>
              <w:autoSpaceDN w:val="0"/>
              <w:adjustRightInd w:val="0"/>
              <w:rPr>
                <w:sz w:val="16"/>
                <w:szCs w:val="16"/>
              </w:rPr>
            </w:pPr>
            <w:r w:rsidRPr="00E60668">
              <w:rPr>
                <w:sz w:val="16"/>
                <w:szCs w:val="16"/>
              </w:rPr>
              <w:t>Moneygram international inc</w:t>
            </w:r>
          </w:p>
        </w:tc>
        <w:tc>
          <w:tcPr>
            <w:tcW w:w="1172" w:type="pct"/>
          </w:tcPr>
          <w:p w14:paraId="62821ADD"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69DB0399" w14:textId="77777777" w:rsidTr="0093640E">
        <w:trPr>
          <w:trHeight w:val="144"/>
          <w:jc w:val="center"/>
        </w:trPr>
        <w:tc>
          <w:tcPr>
            <w:tcW w:w="200" w:type="pct"/>
          </w:tcPr>
          <w:p w14:paraId="1E56A0F7" w14:textId="7A0C7F45" w:rsidR="007E7B76" w:rsidRPr="00E60668" w:rsidRDefault="007E7B76" w:rsidP="007E7B76">
            <w:pPr>
              <w:widowControl w:val="0"/>
              <w:autoSpaceDE w:val="0"/>
              <w:autoSpaceDN w:val="0"/>
              <w:adjustRightInd w:val="0"/>
              <w:rPr>
                <w:color w:val="000000"/>
                <w:sz w:val="16"/>
                <w:szCs w:val="16"/>
              </w:rPr>
            </w:pPr>
            <w:r w:rsidRPr="00E60668">
              <w:rPr>
                <w:sz w:val="16"/>
                <w:szCs w:val="16"/>
              </w:rPr>
              <w:t>34</w:t>
            </w:r>
          </w:p>
        </w:tc>
        <w:tc>
          <w:tcPr>
            <w:tcW w:w="480" w:type="pct"/>
          </w:tcPr>
          <w:p w14:paraId="7C69DF4C" w14:textId="77777777" w:rsidR="007E7B76" w:rsidRPr="00E60668" w:rsidRDefault="007E7B76" w:rsidP="007E7B76">
            <w:pPr>
              <w:widowControl w:val="0"/>
              <w:autoSpaceDE w:val="0"/>
              <w:autoSpaceDN w:val="0"/>
              <w:adjustRightInd w:val="0"/>
              <w:rPr>
                <w:sz w:val="16"/>
                <w:szCs w:val="16"/>
              </w:rPr>
            </w:pPr>
            <w:r w:rsidRPr="00E60668">
              <w:rPr>
                <w:sz w:val="16"/>
                <w:szCs w:val="16"/>
              </w:rPr>
              <w:t>2/20/2018</w:t>
            </w:r>
          </w:p>
        </w:tc>
        <w:tc>
          <w:tcPr>
            <w:tcW w:w="1610" w:type="pct"/>
            <w:vAlign w:val="bottom"/>
          </w:tcPr>
          <w:p w14:paraId="04A84FF6" w14:textId="77777777" w:rsidR="007E7B76" w:rsidRPr="00E60668" w:rsidRDefault="007E7B76" w:rsidP="007E7B76">
            <w:pPr>
              <w:widowControl w:val="0"/>
              <w:autoSpaceDE w:val="0"/>
              <w:autoSpaceDN w:val="0"/>
              <w:adjustRightInd w:val="0"/>
              <w:rPr>
                <w:sz w:val="16"/>
                <w:szCs w:val="16"/>
              </w:rPr>
            </w:pPr>
            <w:r w:rsidRPr="00E60668">
              <w:rPr>
                <w:sz w:val="16"/>
                <w:szCs w:val="16"/>
              </w:rPr>
              <w:t>Bluefocus international limited</w:t>
            </w:r>
          </w:p>
        </w:tc>
        <w:tc>
          <w:tcPr>
            <w:tcW w:w="1538" w:type="pct"/>
            <w:vAlign w:val="bottom"/>
          </w:tcPr>
          <w:p w14:paraId="481052D4" w14:textId="77777777" w:rsidR="007E7B76" w:rsidRPr="00E60668" w:rsidRDefault="007E7B76" w:rsidP="007E7B76">
            <w:pPr>
              <w:widowControl w:val="0"/>
              <w:autoSpaceDE w:val="0"/>
              <w:autoSpaceDN w:val="0"/>
              <w:adjustRightInd w:val="0"/>
              <w:rPr>
                <w:sz w:val="16"/>
                <w:szCs w:val="16"/>
              </w:rPr>
            </w:pPr>
            <w:r w:rsidRPr="00E60668">
              <w:rPr>
                <w:sz w:val="16"/>
                <w:szCs w:val="16"/>
              </w:rPr>
              <w:t>Fluent inc</w:t>
            </w:r>
          </w:p>
        </w:tc>
        <w:tc>
          <w:tcPr>
            <w:tcW w:w="1172" w:type="pct"/>
          </w:tcPr>
          <w:p w14:paraId="35466D47"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402F36D6" w14:textId="77777777" w:rsidTr="0093640E">
        <w:trPr>
          <w:trHeight w:val="144"/>
          <w:jc w:val="center"/>
        </w:trPr>
        <w:tc>
          <w:tcPr>
            <w:tcW w:w="200" w:type="pct"/>
          </w:tcPr>
          <w:p w14:paraId="1225F760" w14:textId="4C7B6118" w:rsidR="007E7B76" w:rsidRPr="00E60668" w:rsidRDefault="007E7B76" w:rsidP="007E7B76">
            <w:pPr>
              <w:widowControl w:val="0"/>
              <w:autoSpaceDE w:val="0"/>
              <w:autoSpaceDN w:val="0"/>
              <w:adjustRightInd w:val="0"/>
              <w:rPr>
                <w:color w:val="000000"/>
                <w:sz w:val="16"/>
                <w:szCs w:val="16"/>
              </w:rPr>
            </w:pPr>
            <w:r w:rsidRPr="00E60668">
              <w:rPr>
                <w:sz w:val="16"/>
                <w:szCs w:val="16"/>
              </w:rPr>
              <w:t>35</w:t>
            </w:r>
          </w:p>
        </w:tc>
        <w:tc>
          <w:tcPr>
            <w:tcW w:w="480" w:type="pct"/>
          </w:tcPr>
          <w:p w14:paraId="558FDBD7" w14:textId="77777777" w:rsidR="007E7B76" w:rsidRPr="00E60668" w:rsidRDefault="007E7B76" w:rsidP="007E7B76">
            <w:pPr>
              <w:widowControl w:val="0"/>
              <w:autoSpaceDE w:val="0"/>
              <w:autoSpaceDN w:val="0"/>
              <w:adjustRightInd w:val="0"/>
              <w:rPr>
                <w:sz w:val="16"/>
                <w:szCs w:val="16"/>
              </w:rPr>
            </w:pPr>
            <w:r w:rsidRPr="00E60668">
              <w:rPr>
                <w:sz w:val="16"/>
                <w:szCs w:val="16"/>
              </w:rPr>
              <w:t>2/22/2018</w:t>
            </w:r>
          </w:p>
        </w:tc>
        <w:tc>
          <w:tcPr>
            <w:tcW w:w="1610" w:type="pct"/>
            <w:vAlign w:val="bottom"/>
          </w:tcPr>
          <w:p w14:paraId="0AF1A944" w14:textId="77777777" w:rsidR="007E7B76" w:rsidRPr="00E60668" w:rsidRDefault="007E7B76" w:rsidP="007E7B76">
            <w:pPr>
              <w:widowControl w:val="0"/>
              <w:autoSpaceDE w:val="0"/>
              <w:autoSpaceDN w:val="0"/>
              <w:adjustRightInd w:val="0"/>
              <w:rPr>
                <w:sz w:val="16"/>
                <w:szCs w:val="16"/>
              </w:rPr>
            </w:pPr>
            <w:r w:rsidRPr="00E60668">
              <w:rPr>
                <w:sz w:val="16"/>
                <w:szCs w:val="16"/>
              </w:rPr>
              <w:t>Unic capital management co</w:t>
            </w:r>
          </w:p>
        </w:tc>
        <w:tc>
          <w:tcPr>
            <w:tcW w:w="1538" w:type="pct"/>
            <w:vAlign w:val="bottom"/>
          </w:tcPr>
          <w:p w14:paraId="73F7473A" w14:textId="77777777" w:rsidR="007E7B76" w:rsidRPr="00E60668" w:rsidRDefault="007E7B76" w:rsidP="007E7B76">
            <w:pPr>
              <w:widowControl w:val="0"/>
              <w:autoSpaceDE w:val="0"/>
              <w:autoSpaceDN w:val="0"/>
              <w:adjustRightInd w:val="0"/>
              <w:rPr>
                <w:sz w:val="16"/>
                <w:szCs w:val="16"/>
              </w:rPr>
            </w:pPr>
            <w:r w:rsidRPr="00E60668">
              <w:rPr>
                <w:sz w:val="16"/>
                <w:szCs w:val="16"/>
              </w:rPr>
              <w:t>Xcerra corporation</w:t>
            </w:r>
          </w:p>
        </w:tc>
        <w:tc>
          <w:tcPr>
            <w:tcW w:w="1172" w:type="pct"/>
          </w:tcPr>
          <w:p w14:paraId="70747EBE"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5ADC26EC" w14:textId="77777777" w:rsidTr="0093640E">
        <w:trPr>
          <w:trHeight w:val="144"/>
          <w:jc w:val="center"/>
        </w:trPr>
        <w:tc>
          <w:tcPr>
            <w:tcW w:w="200" w:type="pct"/>
          </w:tcPr>
          <w:p w14:paraId="6E57744D" w14:textId="3448A645" w:rsidR="007E7B76" w:rsidRPr="00E60668" w:rsidRDefault="007E7B76" w:rsidP="007E7B76">
            <w:pPr>
              <w:widowControl w:val="0"/>
              <w:autoSpaceDE w:val="0"/>
              <w:autoSpaceDN w:val="0"/>
              <w:adjustRightInd w:val="0"/>
              <w:rPr>
                <w:color w:val="000000"/>
                <w:sz w:val="16"/>
                <w:szCs w:val="16"/>
              </w:rPr>
            </w:pPr>
            <w:r>
              <w:rPr>
                <w:color w:val="000000"/>
                <w:sz w:val="16"/>
                <w:szCs w:val="16"/>
              </w:rPr>
              <w:t>36</w:t>
            </w:r>
          </w:p>
        </w:tc>
        <w:tc>
          <w:tcPr>
            <w:tcW w:w="480" w:type="pct"/>
          </w:tcPr>
          <w:p w14:paraId="2C158F88" w14:textId="77777777" w:rsidR="007E7B76" w:rsidRPr="00E60668" w:rsidRDefault="007E7B76" w:rsidP="007E7B76">
            <w:pPr>
              <w:widowControl w:val="0"/>
              <w:autoSpaceDE w:val="0"/>
              <w:autoSpaceDN w:val="0"/>
              <w:adjustRightInd w:val="0"/>
              <w:rPr>
                <w:sz w:val="16"/>
                <w:szCs w:val="16"/>
              </w:rPr>
            </w:pPr>
            <w:r w:rsidRPr="00E60668">
              <w:rPr>
                <w:sz w:val="16"/>
                <w:szCs w:val="16"/>
              </w:rPr>
              <w:t>3/1/2018</w:t>
            </w:r>
          </w:p>
        </w:tc>
        <w:tc>
          <w:tcPr>
            <w:tcW w:w="1610" w:type="pct"/>
            <w:vAlign w:val="bottom"/>
          </w:tcPr>
          <w:p w14:paraId="52301B10" w14:textId="77777777" w:rsidR="007E7B76" w:rsidRPr="00E60668" w:rsidRDefault="007E7B76" w:rsidP="007E7B76">
            <w:pPr>
              <w:widowControl w:val="0"/>
              <w:autoSpaceDE w:val="0"/>
              <w:autoSpaceDN w:val="0"/>
              <w:adjustRightInd w:val="0"/>
              <w:rPr>
                <w:sz w:val="16"/>
                <w:szCs w:val="16"/>
              </w:rPr>
            </w:pPr>
            <w:r w:rsidRPr="00E60668">
              <w:rPr>
                <w:sz w:val="16"/>
                <w:szCs w:val="16"/>
              </w:rPr>
              <w:t>Jinzi ham co ltd</w:t>
            </w:r>
          </w:p>
        </w:tc>
        <w:tc>
          <w:tcPr>
            <w:tcW w:w="1538" w:type="pct"/>
            <w:vAlign w:val="bottom"/>
          </w:tcPr>
          <w:p w14:paraId="1A8B19AB" w14:textId="77777777" w:rsidR="007E7B76" w:rsidRPr="00E60668" w:rsidRDefault="007E7B76" w:rsidP="007E7B76">
            <w:pPr>
              <w:widowControl w:val="0"/>
              <w:autoSpaceDE w:val="0"/>
              <w:autoSpaceDN w:val="0"/>
              <w:adjustRightInd w:val="0"/>
              <w:rPr>
                <w:sz w:val="16"/>
                <w:szCs w:val="16"/>
              </w:rPr>
            </w:pPr>
            <w:r w:rsidRPr="00E60668">
              <w:rPr>
                <w:sz w:val="16"/>
                <w:szCs w:val="16"/>
              </w:rPr>
              <w:t>Novabay pharmaceuticals inc</w:t>
            </w:r>
          </w:p>
        </w:tc>
        <w:tc>
          <w:tcPr>
            <w:tcW w:w="1172" w:type="pct"/>
          </w:tcPr>
          <w:p w14:paraId="65647B54"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4242D7BC" w14:textId="77777777" w:rsidTr="0093640E">
        <w:trPr>
          <w:trHeight w:val="144"/>
          <w:jc w:val="center"/>
        </w:trPr>
        <w:tc>
          <w:tcPr>
            <w:tcW w:w="200" w:type="pct"/>
          </w:tcPr>
          <w:p w14:paraId="4ACE0AAB" w14:textId="621F62A8" w:rsidR="007E7B76" w:rsidRPr="00E60668" w:rsidRDefault="007E7B76" w:rsidP="007E7B76">
            <w:pPr>
              <w:widowControl w:val="0"/>
              <w:autoSpaceDE w:val="0"/>
              <w:autoSpaceDN w:val="0"/>
              <w:adjustRightInd w:val="0"/>
              <w:rPr>
                <w:color w:val="000000"/>
                <w:sz w:val="16"/>
                <w:szCs w:val="16"/>
              </w:rPr>
            </w:pPr>
            <w:r w:rsidRPr="00E60668">
              <w:rPr>
                <w:sz w:val="16"/>
                <w:szCs w:val="16"/>
              </w:rPr>
              <w:t>37</w:t>
            </w:r>
          </w:p>
        </w:tc>
        <w:tc>
          <w:tcPr>
            <w:tcW w:w="480" w:type="pct"/>
          </w:tcPr>
          <w:p w14:paraId="5D7C2147" w14:textId="77777777" w:rsidR="007E7B76" w:rsidRPr="00E60668" w:rsidRDefault="007E7B76" w:rsidP="007E7B76">
            <w:pPr>
              <w:widowControl w:val="0"/>
              <w:autoSpaceDE w:val="0"/>
              <w:autoSpaceDN w:val="0"/>
              <w:adjustRightInd w:val="0"/>
              <w:rPr>
                <w:sz w:val="16"/>
                <w:szCs w:val="16"/>
              </w:rPr>
            </w:pPr>
            <w:r w:rsidRPr="00E60668">
              <w:rPr>
                <w:sz w:val="16"/>
                <w:szCs w:val="16"/>
              </w:rPr>
              <w:t>3/2/2018</w:t>
            </w:r>
          </w:p>
        </w:tc>
        <w:tc>
          <w:tcPr>
            <w:tcW w:w="1610" w:type="pct"/>
          </w:tcPr>
          <w:p w14:paraId="7E1594DA" w14:textId="77777777" w:rsidR="007E7B76" w:rsidRPr="00E60668" w:rsidRDefault="007E7B76" w:rsidP="007E7B76">
            <w:pPr>
              <w:widowControl w:val="0"/>
              <w:autoSpaceDE w:val="0"/>
              <w:autoSpaceDN w:val="0"/>
              <w:adjustRightInd w:val="0"/>
              <w:rPr>
                <w:sz w:val="16"/>
                <w:szCs w:val="16"/>
              </w:rPr>
            </w:pPr>
            <w:r w:rsidRPr="00E60668">
              <w:rPr>
                <w:sz w:val="16"/>
                <w:szCs w:val="16"/>
              </w:rPr>
              <w:t>Beijing dabeinong technology group co</w:t>
            </w:r>
          </w:p>
        </w:tc>
        <w:tc>
          <w:tcPr>
            <w:tcW w:w="1538" w:type="pct"/>
          </w:tcPr>
          <w:p w14:paraId="1CFC7D43" w14:textId="77777777" w:rsidR="007E7B76" w:rsidRPr="00E60668" w:rsidRDefault="007E7B76" w:rsidP="007E7B76">
            <w:pPr>
              <w:widowControl w:val="0"/>
              <w:autoSpaceDE w:val="0"/>
              <w:autoSpaceDN w:val="0"/>
              <w:adjustRightInd w:val="0"/>
              <w:rPr>
                <w:sz w:val="16"/>
                <w:szCs w:val="16"/>
              </w:rPr>
            </w:pPr>
            <w:r w:rsidRPr="00E60668">
              <w:rPr>
                <w:sz w:val="16"/>
                <w:szCs w:val="16"/>
              </w:rPr>
              <w:t>Waldo farms inc</w:t>
            </w:r>
          </w:p>
        </w:tc>
        <w:tc>
          <w:tcPr>
            <w:tcW w:w="1172" w:type="pct"/>
          </w:tcPr>
          <w:p w14:paraId="1D5E35CE" w14:textId="33A1C590" w:rsidR="007E7B76" w:rsidRPr="008F6020" w:rsidRDefault="007E7B76" w:rsidP="00E55A29">
            <w:pPr>
              <w:widowControl w:val="0"/>
              <w:autoSpaceDE w:val="0"/>
              <w:autoSpaceDN w:val="0"/>
              <w:adjustRightInd w:val="0"/>
              <w:rPr>
                <w:b/>
                <w:sz w:val="16"/>
                <w:szCs w:val="16"/>
              </w:rPr>
            </w:pPr>
            <w:r w:rsidRPr="00E60668">
              <w:rPr>
                <w:sz w:val="16"/>
                <w:szCs w:val="16"/>
              </w:rPr>
              <w:t>Private target</w:t>
            </w:r>
          </w:p>
        </w:tc>
      </w:tr>
      <w:tr w:rsidR="007E7B76" w:rsidRPr="00E60668" w14:paraId="5662F42C" w14:textId="77777777" w:rsidTr="0093640E">
        <w:trPr>
          <w:trHeight w:val="144"/>
          <w:jc w:val="center"/>
        </w:trPr>
        <w:tc>
          <w:tcPr>
            <w:tcW w:w="200" w:type="pct"/>
          </w:tcPr>
          <w:p w14:paraId="195B0E1B" w14:textId="6918ACB5" w:rsidR="007E7B76" w:rsidRPr="00E60668" w:rsidRDefault="007E7B76" w:rsidP="007E7B76">
            <w:pPr>
              <w:widowControl w:val="0"/>
              <w:autoSpaceDE w:val="0"/>
              <w:autoSpaceDN w:val="0"/>
              <w:adjustRightInd w:val="0"/>
              <w:rPr>
                <w:color w:val="000000"/>
                <w:sz w:val="16"/>
                <w:szCs w:val="16"/>
              </w:rPr>
            </w:pPr>
            <w:r w:rsidRPr="00E60668">
              <w:rPr>
                <w:sz w:val="16"/>
                <w:szCs w:val="16"/>
              </w:rPr>
              <w:t>38</w:t>
            </w:r>
          </w:p>
        </w:tc>
        <w:tc>
          <w:tcPr>
            <w:tcW w:w="480" w:type="pct"/>
          </w:tcPr>
          <w:p w14:paraId="5538EE3C" w14:textId="77777777" w:rsidR="007E7B76" w:rsidRPr="00E60668" w:rsidRDefault="007E7B76" w:rsidP="007E7B76">
            <w:pPr>
              <w:widowControl w:val="0"/>
              <w:autoSpaceDE w:val="0"/>
              <w:autoSpaceDN w:val="0"/>
              <w:adjustRightInd w:val="0"/>
              <w:rPr>
                <w:sz w:val="16"/>
                <w:szCs w:val="16"/>
              </w:rPr>
            </w:pPr>
            <w:r w:rsidRPr="00E60668">
              <w:rPr>
                <w:sz w:val="16"/>
                <w:szCs w:val="16"/>
              </w:rPr>
              <w:t>3/12/2018</w:t>
            </w:r>
          </w:p>
        </w:tc>
        <w:tc>
          <w:tcPr>
            <w:tcW w:w="1610" w:type="pct"/>
            <w:vAlign w:val="bottom"/>
          </w:tcPr>
          <w:p w14:paraId="04185821" w14:textId="77777777" w:rsidR="007E7B76" w:rsidRPr="00E60668" w:rsidRDefault="007E7B76" w:rsidP="007E7B76">
            <w:pPr>
              <w:widowControl w:val="0"/>
              <w:autoSpaceDE w:val="0"/>
              <w:autoSpaceDN w:val="0"/>
              <w:adjustRightInd w:val="0"/>
              <w:rPr>
                <w:sz w:val="16"/>
                <w:szCs w:val="16"/>
              </w:rPr>
            </w:pPr>
            <w:r w:rsidRPr="00E60668">
              <w:rPr>
                <w:sz w:val="16"/>
                <w:szCs w:val="16"/>
              </w:rPr>
              <w:t>Broadcom limited</w:t>
            </w:r>
          </w:p>
        </w:tc>
        <w:tc>
          <w:tcPr>
            <w:tcW w:w="1538" w:type="pct"/>
            <w:vAlign w:val="bottom"/>
          </w:tcPr>
          <w:p w14:paraId="34F9A5C8" w14:textId="77777777" w:rsidR="007E7B76" w:rsidRPr="00E60668" w:rsidRDefault="007E7B76" w:rsidP="007E7B76">
            <w:pPr>
              <w:widowControl w:val="0"/>
              <w:autoSpaceDE w:val="0"/>
              <w:autoSpaceDN w:val="0"/>
              <w:adjustRightInd w:val="0"/>
              <w:rPr>
                <w:sz w:val="16"/>
                <w:szCs w:val="16"/>
              </w:rPr>
            </w:pPr>
            <w:r w:rsidRPr="00E60668">
              <w:rPr>
                <w:sz w:val="16"/>
                <w:szCs w:val="16"/>
              </w:rPr>
              <w:t>Qualcomm inc</w:t>
            </w:r>
          </w:p>
        </w:tc>
        <w:tc>
          <w:tcPr>
            <w:tcW w:w="1172" w:type="pct"/>
          </w:tcPr>
          <w:p w14:paraId="6859C18C"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1389D7D3" w14:textId="77777777" w:rsidTr="0093640E">
        <w:trPr>
          <w:trHeight w:val="144"/>
          <w:jc w:val="center"/>
        </w:trPr>
        <w:tc>
          <w:tcPr>
            <w:tcW w:w="200" w:type="pct"/>
          </w:tcPr>
          <w:p w14:paraId="2D3E0D6F" w14:textId="72A6883F" w:rsidR="007E7B76" w:rsidRPr="00E60668" w:rsidRDefault="007E7B76" w:rsidP="007E7B76">
            <w:pPr>
              <w:widowControl w:val="0"/>
              <w:autoSpaceDE w:val="0"/>
              <w:autoSpaceDN w:val="0"/>
              <w:adjustRightInd w:val="0"/>
              <w:rPr>
                <w:color w:val="000000"/>
                <w:sz w:val="16"/>
                <w:szCs w:val="16"/>
              </w:rPr>
            </w:pPr>
            <w:r w:rsidRPr="00E60668">
              <w:rPr>
                <w:sz w:val="16"/>
                <w:szCs w:val="16"/>
              </w:rPr>
              <w:t>39</w:t>
            </w:r>
          </w:p>
        </w:tc>
        <w:tc>
          <w:tcPr>
            <w:tcW w:w="480" w:type="pct"/>
          </w:tcPr>
          <w:p w14:paraId="40961FCF" w14:textId="77777777" w:rsidR="007E7B76" w:rsidRPr="00E60668" w:rsidRDefault="007E7B76" w:rsidP="007E7B76">
            <w:pPr>
              <w:widowControl w:val="0"/>
              <w:autoSpaceDE w:val="0"/>
              <w:autoSpaceDN w:val="0"/>
              <w:adjustRightInd w:val="0"/>
              <w:rPr>
                <w:sz w:val="16"/>
                <w:szCs w:val="16"/>
              </w:rPr>
            </w:pPr>
            <w:r w:rsidRPr="00E60668">
              <w:rPr>
                <w:sz w:val="16"/>
                <w:szCs w:val="16"/>
              </w:rPr>
              <w:t>3/19/2018</w:t>
            </w:r>
          </w:p>
        </w:tc>
        <w:tc>
          <w:tcPr>
            <w:tcW w:w="1610" w:type="pct"/>
          </w:tcPr>
          <w:p w14:paraId="5A4F22C9" w14:textId="77777777" w:rsidR="007E7B76" w:rsidRPr="00E60668" w:rsidRDefault="007E7B76" w:rsidP="007E7B76">
            <w:pPr>
              <w:widowControl w:val="0"/>
              <w:autoSpaceDE w:val="0"/>
              <w:autoSpaceDN w:val="0"/>
              <w:adjustRightInd w:val="0"/>
              <w:rPr>
                <w:sz w:val="16"/>
                <w:szCs w:val="16"/>
              </w:rPr>
            </w:pPr>
            <w:r w:rsidRPr="00E60668">
              <w:rPr>
                <w:sz w:val="16"/>
                <w:szCs w:val="16"/>
              </w:rPr>
              <w:t>Zhejiang vie science &amp; technology</w:t>
            </w:r>
          </w:p>
        </w:tc>
        <w:tc>
          <w:tcPr>
            <w:tcW w:w="1538" w:type="pct"/>
          </w:tcPr>
          <w:p w14:paraId="28F66A03" w14:textId="77777777" w:rsidR="007E7B76" w:rsidRPr="00E60668" w:rsidRDefault="007E7B76" w:rsidP="007E7B76">
            <w:pPr>
              <w:widowControl w:val="0"/>
              <w:autoSpaceDE w:val="0"/>
              <w:autoSpaceDN w:val="0"/>
              <w:adjustRightInd w:val="0"/>
              <w:rPr>
                <w:sz w:val="16"/>
                <w:szCs w:val="16"/>
              </w:rPr>
            </w:pPr>
            <w:r w:rsidRPr="00E60668">
              <w:rPr>
                <w:sz w:val="16"/>
                <w:szCs w:val="16"/>
              </w:rPr>
              <w:t>Evatran group inc</w:t>
            </w:r>
          </w:p>
        </w:tc>
        <w:tc>
          <w:tcPr>
            <w:tcW w:w="1172" w:type="pct"/>
          </w:tcPr>
          <w:p w14:paraId="104DCBA3"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617BE050" w14:textId="77777777" w:rsidTr="0093640E">
        <w:trPr>
          <w:trHeight w:val="144"/>
          <w:jc w:val="center"/>
        </w:trPr>
        <w:tc>
          <w:tcPr>
            <w:tcW w:w="200" w:type="pct"/>
          </w:tcPr>
          <w:p w14:paraId="2A29888E" w14:textId="79C5D9AF" w:rsidR="007E7B76" w:rsidRPr="00E60668" w:rsidRDefault="007E7B76" w:rsidP="007E7B76">
            <w:pPr>
              <w:widowControl w:val="0"/>
              <w:autoSpaceDE w:val="0"/>
              <w:autoSpaceDN w:val="0"/>
              <w:adjustRightInd w:val="0"/>
              <w:rPr>
                <w:color w:val="000000"/>
                <w:sz w:val="16"/>
                <w:szCs w:val="16"/>
              </w:rPr>
            </w:pPr>
            <w:r w:rsidRPr="00E60668">
              <w:rPr>
                <w:sz w:val="16"/>
                <w:szCs w:val="16"/>
              </w:rPr>
              <w:t>40</w:t>
            </w:r>
          </w:p>
        </w:tc>
        <w:tc>
          <w:tcPr>
            <w:tcW w:w="480" w:type="pct"/>
          </w:tcPr>
          <w:p w14:paraId="16686D54" w14:textId="77777777" w:rsidR="007E7B76" w:rsidRPr="00E60668" w:rsidRDefault="007E7B76" w:rsidP="007E7B76">
            <w:pPr>
              <w:widowControl w:val="0"/>
              <w:autoSpaceDE w:val="0"/>
              <w:autoSpaceDN w:val="0"/>
              <w:adjustRightInd w:val="0"/>
              <w:rPr>
                <w:sz w:val="16"/>
                <w:szCs w:val="16"/>
              </w:rPr>
            </w:pPr>
            <w:r w:rsidRPr="00E60668">
              <w:rPr>
                <w:sz w:val="16"/>
                <w:szCs w:val="16"/>
              </w:rPr>
              <w:t>5/9/2018</w:t>
            </w:r>
          </w:p>
        </w:tc>
        <w:tc>
          <w:tcPr>
            <w:tcW w:w="1610" w:type="pct"/>
            <w:vAlign w:val="bottom"/>
          </w:tcPr>
          <w:p w14:paraId="3F36FCC4" w14:textId="77777777" w:rsidR="007E7B76" w:rsidRPr="00E60668" w:rsidRDefault="007E7B76" w:rsidP="007E7B76">
            <w:pPr>
              <w:widowControl w:val="0"/>
              <w:autoSpaceDE w:val="0"/>
              <w:autoSpaceDN w:val="0"/>
              <w:adjustRightInd w:val="0"/>
              <w:rPr>
                <w:sz w:val="16"/>
                <w:szCs w:val="16"/>
              </w:rPr>
            </w:pPr>
            <w:r w:rsidRPr="00E60668">
              <w:rPr>
                <w:sz w:val="16"/>
                <w:szCs w:val="16"/>
              </w:rPr>
              <w:t>China heavy duty truck group co</w:t>
            </w:r>
          </w:p>
        </w:tc>
        <w:tc>
          <w:tcPr>
            <w:tcW w:w="1538" w:type="pct"/>
            <w:vAlign w:val="bottom"/>
          </w:tcPr>
          <w:p w14:paraId="3B8BCF75" w14:textId="77777777" w:rsidR="007E7B76" w:rsidRPr="00E60668" w:rsidRDefault="007E7B76" w:rsidP="007E7B76">
            <w:pPr>
              <w:widowControl w:val="0"/>
              <w:autoSpaceDE w:val="0"/>
              <w:autoSpaceDN w:val="0"/>
              <w:adjustRightInd w:val="0"/>
              <w:rPr>
                <w:sz w:val="16"/>
                <w:szCs w:val="16"/>
              </w:rPr>
            </w:pPr>
            <w:r w:rsidRPr="00E60668">
              <w:rPr>
                <w:sz w:val="16"/>
                <w:szCs w:val="16"/>
              </w:rPr>
              <w:t>Uqm technologies inc</w:t>
            </w:r>
          </w:p>
        </w:tc>
        <w:tc>
          <w:tcPr>
            <w:tcW w:w="1172" w:type="pct"/>
          </w:tcPr>
          <w:p w14:paraId="7DA296B0" w14:textId="77777777" w:rsidR="007E7B76" w:rsidRPr="00E60668" w:rsidRDefault="007E7B76" w:rsidP="007E7B76">
            <w:pPr>
              <w:widowControl w:val="0"/>
              <w:autoSpaceDE w:val="0"/>
              <w:autoSpaceDN w:val="0"/>
              <w:adjustRightInd w:val="0"/>
              <w:rPr>
                <w:sz w:val="16"/>
                <w:szCs w:val="16"/>
              </w:rPr>
            </w:pPr>
            <w:r w:rsidRPr="00E60668">
              <w:rPr>
                <w:sz w:val="16"/>
                <w:szCs w:val="16"/>
              </w:rPr>
              <w:t>Public target</w:t>
            </w:r>
          </w:p>
        </w:tc>
      </w:tr>
      <w:tr w:rsidR="007E7B76" w:rsidRPr="00E60668" w14:paraId="5F76BE3D" w14:textId="77777777" w:rsidTr="0093640E">
        <w:trPr>
          <w:trHeight w:val="144"/>
          <w:jc w:val="center"/>
        </w:trPr>
        <w:tc>
          <w:tcPr>
            <w:tcW w:w="200" w:type="pct"/>
          </w:tcPr>
          <w:p w14:paraId="685938FF" w14:textId="363D1812" w:rsidR="007E7B76" w:rsidRPr="00E60668" w:rsidRDefault="007E7B76" w:rsidP="007E7B76">
            <w:pPr>
              <w:widowControl w:val="0"/>
              <w:autoSpaceDE w:val="0"/>
              <w:autoSpaceDN w:val="0"/>
              <w:adjustRightInd w:val="0"/>
              <w:rPr>
                <w:color w:val="000000"/>
                <w:sz w:val="16"/>
                <w:szCs w:val="16"/>
              </w:rPr>
            </w:pPr>
            <w:r w:rsidRPr="00E60668">
              <w:rPr>
                <w:sz w:val="16"/>
                <w:szCs w:val="16"/>
              </w:rPr>
              <w:t>41</w:t>
            </w:r>
          </w:p>
        </w:tc>
        <w:tc>
          <w:tcPr>
            <w:tcW w:w="480" w:type="pct"/>
          </w:tcPr>
          <w:p w14:paraId="41EC89F8" w14:textId="77777777" w:rsidR="007E7B76" w:rsidRPr="00E60668" w:rsidRDefault="007E7B76" w:rsidP="007E7B76">
            <w:pPr>
              <w:widowControl w:val="0"/>
              <w:autoSpaceDE w:val="0"/>
              <w:autoSpaceDN w:val="0"/>
              <w:adjustRightInd w:val="0"/>
              <w:rPr>
                <w:sz w:val="16"/>
                <w:szCs w:val="16"/>
              </w:rPr>
            </w:pPr>
            <w:r w:rsidRPr="00E60668">
              <w:rPr>
                <w:sz w:val="16"/>
                <w:szCs w:val="16"/>
              </w:rPr>
              <w:t>5/10/2018</w:t>
            </w:r>
          </w:p>
        </w:tc>
        <w:tc>
          <w:tcPr>
            <w:tcW w:w="1610" w:type="pct"/>
          </w:tcPr>
          <w:p w14:paraId="2A75C82F" w14:textId="77777777" w:rsidR="007E7B76" w:rsidRPr="00E60668" w:rsidRDefault="007E7B76" w:rsidP="007E7B76">
            <w:pPr>
              <w:widowControl w:val="0"/>
              <w:autoSpaceDE w:val="0"/>
              <w:autoSpaceDN w:val="0"/>
              <w:adjustRightInd w:val="0"/>
              <w:rPr>
                <w:color w:val="000000"/>
                <w:sz w:val="16"/>
                <w:szCs w:val="16"/>
              </w:rPr>
            </w:pPr>
            <w:r w:rsidRPr="00E60668">
              <w:rPr>
                <w:sz w:val="16"/>
                <w:szCs w:val="16"/>
              </w:rPr>
              <w:t>Shenzhen selen science &amp; technology co ltd</w:t>
            </w:r>
          </w:p>
        </w:tc>
        <w:tc>
          <w:tcPr>
            <w:tcW w:w="1538" w:type="pct"/>
          </w:tcPr>
          <w:p w14:paraId="038D8BCB" w14:textId="77777777" w:rsidR="007E7B76" w:rsidRPr="00E60668" w:rsidRDefault="007E7B76" w:rsidP="007E7B76">
            <w:pPr>
              <w:widowControl w:val="0"/>
              <w:autoSpaceDE w:val="0"/>
              <w:autoSpaceDN w:val="0"/>
              <w:adjustRightInd w:val="0"/>
              <w:rPr>
                <w:sz w:val="16"/>
                <w:szCs w:val="16"/>
              </w:rPr>
            </w:pPr>
            <w:r w:rsidRPr="00E60668">
              <w:rPr>
                <w:sz w:val="16"/>
                <w:szCs w:val="16"/>
              </w:rPr>
              <w:t>Akron polymer systems inc</w:t>
            </w:r>
          </w:p>
        </w:tc>
        <w:tc>
          <w:tcPr>
            <w:tcW w:w="1172" w:type="pct"/>
          </w:tcPr>
          <w:p w14:paraId="6838A09E"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7EDE5CB1" w14:textId="77777777" w:rsidTr="0093640E">
        <w:trPr>
          <w:trHeight w:val="144"/>
          <w:jc w:val="center"/>
        </w:trPr>
        <w:tc>
          <w:tcPr>
            <w:tcW w:w="200" w:type="pct"/>
          </w:tcPr>
          <w:p w14:paraId="696D1920" w14:textId="60D12A00" w:rsidR="007E7B76" w:rsidRPr="00E60668" w:rsidRDefault="007E7B76" w:rsidP="007E7B76">
            <w:pPr>
              <w:widowControl w:val="0"/>
              <w:autoSpaceDE w:val="0"/>
              <w:autoSpaceDN w:val="0"/>
              <w:adjustRightInd w:val="0"/>
              <w:rPr>
                <w:color w:val="000000"/>
                <w:sz w:val="16"/>
                <w:szCs w:val="16"/>
              </w:rPr>
            </w:pPr>
            <w:r>
              <w:rPr>
                <w:sz w:val="16"/>
                <w:szCs w:val="16"/>
              </w:rPr>
              <w:t>4</w:t>
            </w:r>
            <w:r w:rsidRPr="00E60668">
              <w:rPr>
                <w:sz w:val="16"/>
                <w:szCs w:val="16"/>
              </w:rPr>
              <w:t>2</w:t>
            </w:r>
          </w:p>
        </w:tc>
        <w:tc>
          <w:tcPr>
            <w:tcW w:w="480" w:type="pct"/>
          </w:tcPr>
          <w:p w14:paraId="1969E134" w14:textId="77777777" w:rsidR="007E7B76" w:rsidRPr="00E60668" w:rsidRDefault="007E7B76" w:rsidP="007E7B76">
            <w:pPr>
              <w:widowControl w:val="0"/>
              <w:autoSpaceDE w:val="0"/>
              <w:autoSpaceDN w:val="0"/>
              <w:adjustRightInd w:val="0"/>
              <w:rPr>
                <w:sz w:val="16"/>
                <w:szCs w:val="16"/>
              </w:rPr>
            </w:pPr>
            <w:r w:rsidRPr="00E60668">
              <w:rPr>
                <w:sz w:val="16"/>
                <w:szCs w:val="16"/>
              </w:rPr>
              <w:t>8/8/2018</w:t>
            </w:r>
          </w:p>
        </w:tc>
        <w:tc>
          <w:tcPr>
            <w:tcW w:w="1610" w:type="pct"/>
          </w:tcPr>
          <w:p w14:paraId="0DF1560B" w14:textId="77777777" w:rsidR="007E7B76" w:rsidRPr="00E60668" w:rsidRDefault="007E7B76" w:rsidP="007E7B76">
            <w:pPr>
              <w:widowControl w:val="0"/>
              <w:autoSpaceDE w:val="0"/>
              <w:autoSpaceDN w:val="0"/>
              <w:adjustRightInd w:val="0"/>
              <w:rPr>
                <w:color w:val="000000"/>
                <w:sz w:val="16"/>
                <w:szCs w:val="16"/>
              </w:rPr>
            </w:pPr>
            <w:r w:rsidRPr="00E60668">
              <w:rPr>
                <w:sz w:val="16"/>
                <w:szCs w:val="16"/>
              </w:rPr>
              <w:t>Shenzhen energy group co ltd</w:t>
            </w:r>
          </w:p>
        </w:tc>
        <w:tc>
          <w:tcPr>
            <w:tcW w:w="1538" w:type="pct"/>
          </w:tcPr>
          <w:p w14:paraId="7E7EA8C7" w14:textId="77777777" w:rsidR="007E7B76" w:rsidRPr="00E60668" w:rsidRDefault="007E7B76" w:rsidP="007E7B76">
            <w:pPr>
              <w:widowControl w:val="0"/>
              <w:autoSpaceDE w:val="0"/>
              <w:autoSpaceDN w:val="0"/>
              <w:adjustRightInd w:val="0"/>
              <w:rPr>
                <w:sz w:val="16"/>
                <w:szCs w:val="16"/>
              </w:rPr>
            </w:pPr>
            <w:r w:rsidRPr="00E60668">
              <w:rPr>
                <w:sz w:val="16"/>
                <w:szCs w:val="16"/>
              </w:rPr>
              <w:t>Recurrent energy development holdings llc</w:t>
            </w:r>
          </w:p>
        </w:tc>
        <w:tc>
          <w:tcPr>
            <w:tcW w:w="1172" w:type="pct"/>
          </w:tcPr>
          <w:p w14:paraId="5C1DD0C1"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12721AD9" w14:textId="77777777" w:rsidTr="0093640E">
        <w:trPr>
          <w:trHeight w:val="144"/>
          <w:jc w:val="center"/>
        </w:trPr>
        <w:tc>
          <w:tcPr>
            <w:tcW w:w="200" w:type="pct"/>
            <w:tcBorders>
              <w:bottom w:val="single" w:sz="4" w:space="0" w:color="auto"/>
            </w:tcBorders>
          </w:tcPr>
          <w:p w14:paraId="3396F7AD" w14:textId="53453C6F" w:rsidR="007E7B76" w:rsidRPr="00E60668" w:rsidRDefault="007E7B76" w:rsidP="007E7B76">
            <w:pPr>
              <w:widowControl w:val="0"/>
              <w:autoSpaceDE w:val="0"/>
              <w:autoSpaceDN w:val="0"/>
              <w:adjustRightInd w:val="0"/>
              <w:rPr>
                <w:color w:val="000000"/>
                <w:sz w:val="16"/>
                <w:szCs w:val="16"/>
              </w:rPr>
            </w:pPr>
            <w:r>
              <w:rPr>
                <w:sz w:val="16"/>
                <w:szCs w:val="16"/>
              </w:rPr>
              <w:t>43</w:t>
            </w:r>
          </w:p>
        </w:tc>
        <w:tc>
          <w:tcPr>
            <w:tcW w:w="480" w:type="pct"/>
            <w:tcBorders>
              <w:bottom w:val="single" w:sz="4" w:space="0" w:color="auto"/>
            </w:tcBorders>
          </w:tcPr>
          <w:p w14:paraId="41A8679D" w14:textId="77777777" w:rsidR="007E7B76" w:rsidRPr="00E60668" w:rsidRDefault="007E7B76" w:rsidP="007E7B76">
            <w:pPr>
              <w:widowControl w:val="0"/>
              <w:autoSpaceDE w:val="0"/>
              <w:autoSpaceDN w:val="0"/>
              <w:adjustRightInd w:val="0"/>
              <w:rPr>
                <w:sz w:val="16"/>
                <w:szCs w:val="16"/>
              </w:rPr>
            </w:pPr>
            <w:r w:rsidRPr="00E60668">
              <w:rPr>
                <w:sz w:val="16"/>
                <w:szCs w:val="16"/>
              </w:rPr>
              <w:t>10/22/2018</w:t>
            </w:r>
          </w:p>
        </w:tc>
        <w:tc>
          <w:tcPr>
            <w:tcW w:w="1610" w:type="pct"/>
            <w:tcBorders>
              <w:bottom w:val="single" w:sz="4" w:space="0" w:color="auto"/>
            </w:tcBorders>
          </w:tcPr>
          <w:p w14:paraId="749BBB9D" w14:textId="77777777" w:rsidR="007E7B76" w:rsidRPr="00E60668" w:rsidRDefault="007E7B76" w:rsidP="007E7B76">
            <w:pPr>
              <w:widowControl w:val="0"/>
              <w:autoSpaceDE w:val="0"/>
              <w:autoSpaceDN w:val="0"/>
              <w:adjustRightInd w:val="0"/>
              <w:rPr>
                <w:color w:val="000000"/>
                <w:sz w:val="16"/>
                <w:szCs w:val="16"/>
              </w:rPr>
            </w:pPr>
            <w:r w:rsidRPr="00E60668">
              <w:rPr>
                <w:sz w:val="16"/>
                <w:szCs w:val="16"/>
              </w:rPr>
              <w:t>Grandland holdings group ltd</w:t>
            </w:r>
          </w:p>
        </w:tc>
        <w:tc>
          <w:tcPr>
            <w:tcW w:w="1538" w:type="pct"/>
            <w:tcBorders>
              <w:bottom w:val="single" w:sz="4" w:space="0" w:color="auto"/>
            </w:tcBorders>
          </w:tcPr>
          <w:p w14:paraId="15795E1D" w14:textId="77777777" w:rsidR="007E7B76" w:rsidRPr="00E60668" w:rsidRDefault="007E7B76" w:rsidP="007E7B76">
            <w:pPr>
              <w:widowControl w:val="0"/>
              <w:autoSpaceDE w:val="0"/>
              <w:autoSpaceDN w:val="0"/>
              <w:adjustRightInd w:val="0"/>
              <w:rPr>
                <w:sz w:val="16"/>
                <w:szCs w:val="16"/>
              </w:rPr>
            </w:pPr>
            <w:r w:rsidRPr="00E60668">
              <w:rPr>
                <w:sz w:val="16"/>
                <w:szCs w:val="16"/>
              </w:rPr>
              <w:t>Permasteelisa spa</w:t>
            </w:r>
          </w:p>
        </w:tc>
        <w:tc>
          <w:tcPr>
            <w:tcW w:w="1172" w:type="pct"/>
            <w:tcBorders>
              <w:bottom w:val="single" w:sz="4" w:space="0" w:color="auto"/>
            </w:tcBorders>
          </w:tcPr>
          <w:p w14:paraId="6C1C3D8C"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0F9D3AE3" w14:textId="77777777" w:rsidTr="0093640E">
        <w:trPr>
          <w:trHeight w:val="144"/>
          <w:jc w:val="center"/>
        </w:trPr>
        <w:tc>
          <w:tcPr>
            <w:tcW w:w="200" w:type="pct"/>
          </w:tcPr>
          <w:p w14:paraId="3E7CBB64" w14:textId="6B57622B" w:rsidR="007E7B76" w:rsidRPr="00E60668" w:rsidRDefault="007E7B76" w:rsidP="007E7B76">
            <w:pPr>
              <w:widowControl w:val="0"/>
              <w:autoSpaceDE w:val="0"/>
              <w:autoSpaceDN w:val="0"/>
              <w:adjustRightInd w:val="0"/>
              <w:rPr>
                <w:color w:val="000000"/>
                <w:sz w:val="16"/>
                <w:szCs w:val="16"/>
              </w:rPr>
            </w:pPr>
            <w:r>
              <w:rPr>
                <w:color w:val="000000"/>
                <w:sz w:val="16"/>
                <w:szCs w:val="16"/>
              </w:rPr>
              <w:t>44</w:t>
            </w:r>
          </w:p>
        </w:tc>
        <w:tc>
          <w:tcPr>
            <w:tcW w:w="480" w:type="pct"/>
          </w:tcPr>
          <w:p w14:paraId="522DCCE2" w14:textId="77777777" w:rsidR="007E7B76" w:rsidRPr="00E60668" w:rsidRDefault="007E7B76" w:rsidP="007E7B76">
            <w:pPr>
              <w:widowControl w:val="0"/>
              <w:autoSpaceDE w:val="0"/>
              <w:autoSpaceDN w:val="0"/>
              <w:adjustRightInd w:val="0"/>
              <w:rPr>
                <w:sz w:val="16"/>
                <w:szCs w:val="16"/>
              </w:rPr>
            </w:pPr>
            <w:r w:rsidRPr="00E60668">
              <w:rPr>
                <w:sz w:val="16"/>
                <w:szCs w:val="16"/>
              </w:rPr>
              <w:t>11/14/2018</w:t>
            </w:r>
          </w:p>
        </w:tc>
        <w:tc>
          <w:tcPr>
            <w:tcW w:w="1610" w:type="pct"/>
          </w:tcPr>
          <w:p w14:paraId="4219E6F9" w14:textId="77777777" w:rsidR="007E7B76" w:rsidRPr="00E60668" w:rsidRDefault="007E7B76" w:rsidP="007E7B76">
            <w:pPr>
              <w:widowControl w:val="0"/>
              <w:autoSpaceDE w:val="0"/>
              <w:autoSpaceDN w:val="0"/>
              <w:adjustRightInd w:val="0"/>
              <w:rPr>
                <w:color w:val="000000"/>
                <w:sz w:val="16"/>
                <w:szCs w:val="16"/>
              </w:rPr>
            </w:pPr>
            <w:r w:rsidRPr="00E60668">
              <w:rPr>
                <w:sz w:val="16"/>
                <w:szCs w:val="16"/>
              </w:rPr>
              <w:t>Voltabox ag</w:t>
            </w:r>
          </w:p>
        </w:tc>
        <w:tc>
          <w:tcPr>
            <w:tcW w:w="1538" w:type="pct"/>
          </w:tcPr>
          <w:p w14:paraId="76BEB55F" w14:textId="77777777" w:rsidR="007E7B76" w:rsidRPr="00E60668" w:rsidRDefault="007E7B76" w:rsidP="007E7B76">
            <w:pPr>
              <w:widowControl w:val="0"/>
              <w:autoSpaceDE w:val="0"/>
              <w:autoSpaceDN w:val="0"/>
              <w:adjustRightInd w:val="0"/>
              <w:rPr>
                <w:sz w:val="16"/>
                <w:szCs w:val="16"/>
              </w:rPr>
            </w:pPr>
            <w:r w:rsidRPr="00E60668">
              <w:rPr>
                <w:sz w:val="16"/>
                <w:szCs w:val="16"/>
              </w:rPr>
              <w:t>Navitas systems llc</w:t>
            </w:r>
          </w:p>
        </w:tc>
        <w:tc>
          <w:tcPr>
            <w:tcW w:w="1172" w:type="pct"/>
          </w:tcPr>
          <w:p w14:paraId="0D40F254"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12D68A43" w14:textId="77777777" w:rsidTr="0093640E">
        <w:trPr>
          <w:trHeight w:val="144"/>
          <w:jc w:val="center"/>
        </w:trPr>
        <w:tc>
          <w:tcPr>
            <w:tcW w:w="200" w:type="pct"/>
            <w:tcBorders>
              <w:bottom w:val="single" w:sz="4" w:space="0" w:color="auto"/>
            </w:tcBorders>
          </w:tcPr>
          <w:p w14:paraId="1DE8DD0D" w14:textId="7B31B112" w:rsidR="007E7B76" w:rsidRPr="00E60668" w:rsidRDefault="007E7B76" w:rsidP="007E7B76">
            <w:pPr>
              <w:widowControl w:val="0"/>
              <w:autoSpaceDE w:val="0"/>
              <w:autoSpaceDN w:val="0"/>
              <w:adjustRightInd w:val="0"/>
              <w:rPr>
                <w:color w:val="000000"/>
                <w:sz w:val="16"/>
                <w:szCs w:val="16"/>
              </w:rPr>
            </w:pPr>
            <w:r>
              <w:rPr>
                <w:color w:val="000000"/>
                <w:sz w:val="16"/>
                <w:szCs w:val="16"/>
              </w:rPr>
              <w:t>45</w:t>
            </w:r>
          </w:p>
        </w:tc>
        <w:tc>
          <w:tcPr>
            <w:tcW w:w="480" w:type="pct"/>
            <w:tcBorders>
              <w:bottom w:val="single" w:sz="4" w:space="0" w:color="auto"/>
            </w:tcBorders>
          </w:tcPr>
          <w:p w14:paraId="0974F340" w14:textId="77777777" w:rsidR="007E7B76" w:rsidRPr="00E60668" w:rsidRDefault="007E7B76" w:rsidP="007E7B76">
            <w:pPr>
              <w:widowControl w:val="0"/>
              <w:autoSpaceDE w:val="0"/>
              <w:autoSpaceDN w:val="0"/>
              <w:adjustRightInd w:val="0"/>
              <w:rPr>
                <w:sz w:val="16"/>
                <w:szCs w:val="16"/>
              </w:rPr>
            </w:pPr>
            <w:r w:rsidRPr="00E60668">
              <w:rPr>
                <w:sz w:val="16"/>
                <w:szCs w:val="16"/>
              </w:rPr>
              <w:t>4/11/2019</w:t>
            </w:r>
          </w:p>
        </w:tc>
        <w:tc>
          <w:tcPr>
            <w:tcW w:w="1610" w:type="pct"/>
            <w:tcBorders>
              <w:bottom w:val="single" w:sz="4" w:space="0" w:color="auto"/>
            </w:tcBorders>
          </w:tcPr>
          <w:p w14:paraId="66A48237" w14:textId="77777777" w:rsidR="007E7B76" w:rsidRPr="00E60668" w:rsidRDefault="007E7B76" w:rsidP="007E7B76">
            <w:pPr>
              <w:widowControl w:val="0"/>
              <w:autoSpaceDE w:val="0"/>
              <w:autoSpaceDN w:val="0"/>
              <w:adjustRightInd w:val="0"/>
              <w:rPr>
                <w:color w:val="000000"/>
                <w:sz w:val="16"/>
                <w:szCs w:val="16"/>
              </w:rPr>
            </w:pPr>
            <w:r w:rsidRPr="00E60668">
              <w:rPr>
                <w:sz w:val="16"/>
                <w:szCs w:val="16"/>
              </w:rPr>
              <w:t>Enn ecological holdings co</w:t>
            </w:r>
          </w:p>
        </w:tc>
        <w:tc>
          <w:tcPr>
            <w:tcW w:w="1538" w:type="pct"/>
            <w:tcBorders>
              <w:bottom w:val="single" w:sz="4" w:space="0" w:color="auto"/>
            </w:tcBorders>
          </w:tcPr>
          <w:p w14:paraId="50245903" w14:textId="77777777" w:rsidR="007E7B76" w:rsidRPr="00E60668" w:rsidRDefault="007E7B76" w:rsidP="007E7B76">
            <w:pPr>
              <w:widowControl w:val="0"/>
              <w:autoSpaceDE w:val="0"/>
              <w:autoSpaceDN w:val="0"/>
              <w:adjustRightInd w:val="0"/>
              <w:rPr>
                <w:sz w:val="16"/>
                <w:szCs w:val="16"/>
              </w:rPr>
            </w:pPr>
            <w:r w:rsidRPr="00E60668">
              <w:rPr>
                <w:sz w:val="16"/>
                <w:szCs w:val="16"/>
              </w:rPr>
              <w:t>Toshiba america lng corp</w:t>
            </w:r>
          </w:p>
        </w:tc>
        <w:tc>
          <w:tcPr>
            <w:tcW w:w="1172" w:type="pct"/>
            <w:tcBorders>
              <w:bottom w:val="single" w:sz="4" w:space="0" w:color="auto"/>
            </w:tcBorders>
          </w:tcPr>
          <w:p w14:paraId="1D77AA8C"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595069DE" w14:textId="77777777" w:rsidTr="0093640E">
        <w:trPr>
          <w:trHeight w:val="144"/>
          <w:jc w:val="center"/>
        </w:trPr>
        <w:tc>
          <w:tcPr>
            <w:tcW w:w="200" w:type="pct"/>
            <w:tcBorders>
              <w:top w:val="single" w:sz="4" w:space="0" w:color="auto"/>
              <w:left w:val="nil"/>
              <w:bottom w:val="nil"/>
              <w:right w:val="nil"/>
            </w:tcBorders>
          </w:tcPr>
          <w:p w14:paraId="4B82F82B" w14:textId="77777777" w:rsidR="007E7B76" w:rsidRPr="00E60668" w:rsidRDefault="007E7B76" w:rsidP="007E7B76">
            <w:pPr>
              <w:widowControl w:val="0"/>
              <w:autoSpaceDE w:val="0"/>
              <w:autoSpaceDN w:val="0"/>
              <w:adjustRightInd w:val="0"/>
              <w:rPr>
                <w:sz w:val="16"/>
                <w:szCs w:val="16"/>
              </w:rPr>
            </w:pPr>
          </w:p>
        </w:tc>
        <w:tc>
          <w:tcPr>
            <w:tcW w:w="480" w:type="pct"/>
            <w:tcBorders>
              <w:top w:val="single" w:sz="4" w:space="0" w:color="auto"/>
              <w:left w:val="nil"/>
              <w:bottom w:val="nil"/>
              <w:right w:val="nil"/>
            </w:tcBorders>
          </w:tcPr>
          <w:p w14:paraId="7A775C90" w14:textId="77777777" w:rsidR="007E7B76" w:rsidRPr="00E60668" w:rsidRDefault="007E7B76" w:rsidP="007E7B76">
            <w:pPr>
              <w:widowControl w:val="0"/>
              <w:autoSpaceDE w:val="0"/>
              <w:autoSpaceDN w:val="0"/>
              <w:adjustRightInd w:val="0"/>
              <w:rPr>
                <w:sz w:val="16"/>
                <w:szCs w:val="16"/>
              </w:rPr>
            </w:pPr>
          </w:p>
        </w:tc>
        <w:tc>
          <w:tcPr>
            <w:tcW w:w="1610" w:type="pct"/>
            <w:tcBorders>
              <w:top w:val="single" w:sz="4" w:space="0" w:color="auto"/>
              <w:left w:val="nil"/>
              <w:bottom w:val="nil"/>
              <w:right w:val="nil"/>
            </w:tcBorders>
          </w:tcPr>
          <w:p w14:paraId="50270370" w14:textId="77777777" w:rsidR="007E7B76" w:rsidRPr="00E60668" w:rsidRDefault="007E7B76" w:rsidP="007E7B76">
            <w:pPr>
              <w:widowControl w:val="0"/>
              <w:autoSpaceDE w:val="0"/>
              <w:autoSpaceDN w:val="0"/>
              <w:adjustRightInd w:val="0"/>
              <w:rPr>
                <w:sz w:val="16"/>
                <w:szCs w:val="16"/>
              </w:rPr>
            </w:pPr>
          </w:p>
        </w:tc>
        <w:tc>
          <w:tcPr>
            <w:tcW w:w="1538" w:type="pct"/>
            <w:tcBorders>
              <w:top w:val="single" w:sz="4" w:space="0" w:color="auto"/>
              <w:left w:val="nil"/>
              <w:bottom w:val="nil"/>
              <w:right w:val="nil"/>
            </w:tcBorders>
          </w:tcPr>
          <w:p w14:paraId="03BBB4BC" w14:textId="77777777" w:rsidR="007E7B76" w:rsidRPr="00E60668" w:rsidRDefault="007E7B76" w:rsidP="007E7B76">
            <w:pPr>
              <w:widowControl w:val="0"/>
              <w:autoSpaceDE w:val="0"/>
              <w:autoSpaceDN w:val="0"/>
              <w:adjustRightInd w:val="0"/>
              <w:rPr>
                <w:sz w:val="16"/>
                <w:szCs w:val="16"/>
              </w:rPr>
            </w:pPr>
          </w:p>
        </w:tc>
        <w:tc>
          <w:tcPr>
            <w:tcW w:w="1172" w:type="pct"/>
            <w:tcBorders>
              <w:top w:val="single" w:sz="4" w:space="0" w:color="auto"/>
              <w:left w:val="nil"/>
              <w:bottom w:val="nil"/>
              <w:right w:val="nil"/>
            </w:tcBorders>
          </w:tcPr>
          <w:p w14:paraId="531149FE" w14:textId="77777777" w:rsidR="007E7B76" w:rsidRPr="00E60668" w:rsidRDefault="007E7B76" w:rsidP="007E7B76">
            <w:pPr>
              <w:widowControl w:val="0"/>
              <w:autoSpaceDE w:val="0"/>
              <w:autoSpaceDN w:val="0"/>
              <w:adjustRightInd w:val="0"/>
              <w:rPr>
                <w:sz w:val="16"/>
                <w:szCs w:val="16"/>
              </w:rPr>
            </w:pPr>
          </w:p>
        </w:tc>
      </w:tr>
      <w:tr w:rsidR="007E7B76" w:rsidRPr="00E60668" w14:paraId="28663F4C" w14:textId="77777777" w:rsidTr="0093640E">
        <w:trPr>
          <w:trHeight w:val="144"/>
          <w:jc w:val="center"/>
        </w:trPr>
        <w:tc>
          <w:tcPr>
            <w:tcW w:w="5000" w:type="pct"/>
            <w:gridSpan w:val="5"/>
            <w:tcBorders>
              <w:top w:val="nil"/>
              <w:left w:val="nil"/>
              <w:bottom w:val="nil"/>
              <w:right w:val="nil"/>
            </w:tcBorders>
          </w:tcPr>
          <w:p w14:paraId="7CFA4642" w14:textId="77777777" w:rsidR="007E7B76" w:rsidRPr="00E60668" w:rsidRDefault="007E7B76" w:rsidP="007E7B76">
            <w:pPr>
              <w:widowControl w:val="0"/>
              <w:autoSpaceDE w:val="0"/>
              <w:autoSpaceDN w:val="0"/>
              <w:adjustRightInd w:val="0"/>
              <w:jc w:val="both"/>
              <w:rPr>
                <w:sz w:val="16"/>
                <w:szCs w:val="16"/>
              </w:rPr>
            </w:pPr>
            <w:r>
              <w:rPr>
                <w:sz w:val="16"/>
                <w:szCs w:val="16"/>
              </w:rPr>
              <w:t>This</w:t>
            </w:r>
            <w:r w:rsidRPr="00E60668">
              <w:rPr>
                <w:sz w:val="16"/>
                <w:szCs w:val="16"/>
              </w:rPr>
              <w:t xml:space="preserve"> table presents the list of </w:t>
            </w:r>
            <w:r>
              <w:rPr>
                <w:sz w:val="16"/>
                <w:szCs w:val="16"/>
              </w:rPr>
              <w:t xml:space="preserve">detected </w:t>
            </w:r>
            <w:r w:rsidRPr="00E60668">
              <w:rPr>
                <w:sz w:val="16"/>
                <w:szCs w:val="16"/>
              </w:rPr>
              <w:t>CFIUS interventions during FINSA. Data are collected from Factiva, SEC EDGAR, and the financial press. We remain available to provide any additional identifying information regarding CFIUS interventions.</w:t>
            </w:r>
          </w:p>
        </w:tc>
      </w:tr>
    </w:tbl>
    <w:p w14:paraId="2BECC014" w14:textId="76D3EFF1" w:rsidR="0093640E" w:rsidRDefault="0093640E" w:rsidP="00641D6D">
      <w:pPr>
        <w:spacing w:after="160" w:line="259" w:lineRule="auto"/>
        <w:rPr>
          <w:rStyle w:val="Normal2Car"/>
        </w:rPr>
      </w:pPr>
    </w:p>
    <w:p w14:paraId="3BA8F181" w14:textId="77777777" w:rsidR="0093640E" w:rsidRDefault="0093640E">
      <w:pPr>
        <w:spacing w:after="160" w:line="259" w:lineRule="auto"/>
        <w:rPr>
          <w:rStyle w:val="Normal2Car"/>
        </w:rPr>
      </w:pPr>
      <w:r>
        <w:rPr>
          <w:rStyle w:val="Normal2Car"/>
        </w:rPr>
        <w:br w:type="page"/>
      </w:r>
    </w:p>
    <w:p w14:paraId="3AD775EE" w14:textId="0D3A3417" w:rsidR="00FF46A5" w:rsidRDefault="00FF46A5" w:rsidP="00641D6D">
      <w:pPr>
        <w:spacing w:after="160" w:line="259" w:lineRule="auto"/>
        <w:rPr>
          <w:rStyle w:val="Normal2Car"/>
        </w:rPr>
      </w:pP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50"/>
        <w:gridCol w:w="3187"/>
        <w:gridCol w:w="3045"/>
        <w:gridCol w:w="2320"/>
      </w:tblGrid>
      <w:tr w:rsidR="0093640E" w:rsidRPr="00E60668" w14:paraId="57F3F56D" w14:textId="77777777" w:rsidTr="0093640E">
        <w:trPr>
          <w:trHeight w:val="144"/>
          <w:jc w:val="center"/>
        </w:trPr>
        <w:tc>
          <w:tcPr>
            <w:tcW w:w="5000" w:type="pct"/>
            <w:gridSpan w:val="5"/>
            <w:tcBorders>
              <w:top w:val="nil"/>
              <w:left w:val="nil"/>
              <w:bottom w:val="nil"/>
              <w:right w:val="nil"/>
            </w:tcBorders>
          </w:tcPr>
          <w:p w14:paraId="58372E31" w14:textId="77777777" w:rsidR="0093640E" w:rsidRPr="00E60668" w:rsidRDefault="0093640E" w:rsidP="0093640E">
            <w:pPr>
              <w:widowControl w:val="0"/>
              <w:autoSpaceDE w:val="0"/>
              <w:autoSpaceDN w:val="0"/>
              <w:adjustRightInd w:val="0"/>
              <w:rPr>
                <w:b/>
                <w:bCs/>
                <w:sz w:val="16"/>
                <w:szCs w:val="16"/>
              </w:rPr>
            </w:pPr>
            <w:r w:rsidRPr="00E60668">
              <w:rPr>
                <w:b/>
                <w:bCs/>
                <w:sz w:val="16"/>
                <w:szCs w:val="16"/>
              </w:rPr>
              <w:t>Table A</w:t>
            </w:r>
            <w:r>
              <w:rPr>
                <w:b/>
                <w:bCs/>
                <w:sz w:val="16"/>
                <w:szCs w:val="16"/>
              </w:rPr>
              <w:t>4</w:t>
            </w:r>
          </w:p>
        </w:tc>
      </w:tr>
      <w:tr w:rsidR="0093640E" w:rsidRPr="00E60668" w14:paraId="15EE871D" w14:textId="77777777" w:rsidTr="0093640E">
        <w:trPr>
          <w:trHeight w:val="144"/>
          <w:jc w:val="center"/>
        </w:trPr>
        <w:tc>
          <w:tcPr>
            <w:tcW w:w="5000" w:type="pct"/>
            <w:gridSpan w:val="5"/>
            <w:tcBorders>
              <w:top w:val="nil"/>
              <w:left w:val="nil"/>
              <w:bottom w:val="single" w:sz="4" w:space="0" w:color="auto"/>
              <w:right w:val="nil"/>
            </w:tcBorders>
          </w:tcPr>
          <w:p w14:paraId="451B3874" w14:textId="1CAF0102" w:rsidR="0093640E" w:rsidRPr="00E60668" w:rsidRDefault="0093640E" w:rsidP="0093640E">
            <w:pPr>
              <w:widowControl w:val="0"/>
              <w:autoSpaceDE w:val="0"/>
              <w:autoSpaceDN w:val="0"/>
              <w:adjustRightInd w:val="0"/>
              <w:rPr>
                <w:b/>
                <w:bCs/>
                <w:sz w:val="16"/>
                <w:szCs w:val="16"/>
              </w:rPr>
            </w:pPr>
            <w:r w:rsidRPr="00E60668">
              <w:rPr>
                <w:b/>
                <w:bCs/>
                <w:sz w:val="16"/>
                <w:szCs w:val="16"/>
              </w:rPr>
              <w:t xml:space="preserve">List of CFIUS </w:t>
            </w:r>
            <w:r>
              <w:rPr>
                <w:b/>
                <w:bCs/>
                <w:sz w:val="16"/>
                <w:szCs w:val="16"/>
              </w:rPr>
              <w:t xml:space="preserve">informal actions </w:t>
            </w:r>
            <w:r w:rsidRPr="00E60668">
              <w:rPr>
                <w:b/>
                <w:bCs/>
                <w:sz w:val="16"/>
                <w:szCs w:val="16"/>
              </w:rPr>
              <w:t>during FINSA</w:t>
            </w:r>
          </w:p>
          <w:p w14:paraId="40519C86" w14:textId="77777777" w:rsidR="0093640E" w:rsidRPr="00E60668" w:rsidRDefault="0093640E" w:rsidP="0093640E">
            <w:pPr>
              <w:widowControl w:val="0"/>
              <w:autoSpaceDE w:val="0"/>
              <w:autoSpaceDN w:val="0"/>
              <w:adjustRightInd w:val="0"/>
              <w:jc w:val="both"/>
              <w:rPr>
                <w:sz w:val="16"/>
                <w:szCs w:val="16"/>
              </w:rPr>
            </w:pPr>
          </w:p>
        </w:tc>
      </w:tr>
      <w:tr w:rsidR="0093640E" w:rsidRPr="00E60668" w14:paraId="71652760" w14:textId="77777777" w:rsidTr="0093640E">
        <w:trPr>
          <w:trHeight w:val="144"/>
          <w:jc w:val="center"/>
        </w:trPr>
        <w:tc>
          <w:tcPr>
            <w:tcW w:w="200" w:type="pct"/>
            <w:tcBorders>
              <w:top w:val="single" w:sz="4" w:space="0" w:color="auto"/>
            </w:tcBorders>
            <w:hideMark/>
          </w:tcPr>
          <w:p w14:paraId="7AC2337B" w14:textId="77777777" w:rsidR="0093640E" w:rsidRPr="00E60668" w:rsidRDefault="0093640E" w:rsidP="0093640E">
            <w:pPr>
              <w:widowControl w:val="0"/>
              <w:autoSpaceDE w:val="0"/>
              <w:autoSpaceDN w:val="0"/>
              <w:adjustRightInd w:val="0"/>
              <w:rPr>
                <w:sz w:val="16"/>
                <w:szCs w:val="16"/>
              </w:rPr>
            </w:pPr>
            <w:r w:rsidRPr="00E60668">
              <w:rPr>
                <w:b/>
                <w:bCs/>
                <w:sz w:val="16"/>
                <w:szCs w:val="16"/>
              </w:rPr>
              <w:t>ID</w:t>
            </w:r>
          </w:p>
        </w:tc>
        <w:tc>
          <w:tcPr>
            <w:tcW w:w="480" w:type="pct"/>
            <w:tcBorders>
              <w:top w:val="single" w:sz="4" w:space="0" w:color="auto"/>
            </w:tcBorders>
          </w:tcPr>
          <w:p w14:paraId="073DEE9F" w14:textId="77777777" w:rsidR="0093640E" w:rsidRPr="00E60668" w:rsidRDefault="0093640E" w:rsidP="0093640E">
            <w:pPr>
              <w:widowControl w:val="0"/>
              <w:autoSpaceDE w:val="0"/>
              <w:autoSpaceDN w:val="0"/>
              <w:adjustRightInd w:val="0"/>
              <w:rPr>
                <w:sz w:val="16"/>
                <w:szCs w:val="16"/>
              </w:rPr>
            </w:pPr>
            <w:r w:rsidRPr="00E60668">
              <w:rPr>
                <w:b/>
                <w:bCs/>
                <w:sz w:val="16"/>
                <w:szCs w:val="16"/>
              </w:rPr>
              <w:t>Date</w:t>
            </w:r>
          </w:p>
        </w:tc>
        <w:tc>
          <w:tcPr>
            <w:tcW w:w="1610" w:type="pct"/>
            <w:tcBorders>
              <w:top w:val="single" w:sz="4" w:space="0" w:color="auto"/>
            </w:tcBorders>
          </w:tcPr>
          <w:p w14:paraId="6DF803D4" w14:textId="77777777" w:rsidR="0093640E" w:rsidRPr="00E60668" w:rsidRDefault="0093640E" w:rsidP="0093640E">
            <w:pPr>
              <w:widowControl w:val="0"/>
              <w:autoSpaceDE w:val="0"/>
              <w:autoSpaceDN w:val="0"/>
              <w:adjustRightInd w:val="0"/>
              <w:rPr>
                <w:sz w:val="16"/>
                <w:szCs w:val="16"/>
              </w:rPr>
            </w:pPr>
            <w:r w:rsidRPr="00E60668">
              <w:rPr>
                <w:b/>
                <w:bCs/>
                <w:sz w:val="16"/>
                <w:szCs w:val="16"/>
              </w:rPr>
              <w:t>Buyer</w:t>
            </w:r>
          </w:p>
        </w:tc>
        <w:tc>
          <w:tcPr>
            <w:tcW w:w="1538" w:type="pct"/>
            <w:tcBorders>
              <w:top w:val="single" w:sz="4" w:space="0" w:color="auto"/>
            </w:tcBorders>
          </w:tcPr>
          <w:p w14:paraId="5EB7D373" w14:textId="77777777" w:rsidR="0093640E" w:rsidRPr="00E60668" w:rsidRDefault="0093640E" w:rsidP="0093640E">
            <w:pPr>
              <w:widowControl w:val="0"/>
              <w:autoSpaceDE w:val="0"/>
              <w:autoSpaceDN w:val="0"/>
              <w:adjustRightInd w:val="0"/>
              <w:rPr>
                <w:sz w:val="16"/>
                <w:szCs w:val="16"/>
              </w:rPr>
            </w:pPr>
            <w:r w:rsidRPr="00E60668">
              <w:rPr>
                <w:b/>
                <w:bCs/>
                <w:sz w:val="16"/>
                <w:szCs w:val="16"/>
              </w:rPr>
              <w:t>Target</w:t>
            </w:r>
          </w:p>
        </w:tc>
        <w:tc>
          <w:tcPr>
            <w:tcW w:w="1172" w:type="pct"/>
            <w:tcBorders>
              <w:top w:val="single" w:sz="4" w:space="0" w:color="auto"/>
            </w:tcBorders>
          </w:tcPr>
          <w:p w14:paraId="4D37D14C" w14:textId="77777777" w:rsidR="0093640E" w:rsidRPr="00E60668" w:rsidRDefault="0093640E" w:rsidP="0093640E">
            <w:pPr>
              <w:widowControl w:val="0"/>
              <w:autoSpaceDE w:val="0"/>
              <w:autoSpaceDN w:val="0"/>
              <w:adjustRightInd w:val="0"/>
              <w:rPr>
                <w:sz w:val="16"/>
                <w:szCs w:val="16"/>
              </w:rPr>
            </w:pPr>
            <w:r w:rsidRPr="00E60668">
              <w:rPr>
                <w:b/>
                <w:bCs/>
                <w:sz w:val="16"/>
                <w:szCs w:val="16"/>
              </w:rPr>
              <w:t>Description</w:t>
            </w:r>
          </w:p>
        </w:tc>
      </w:tr>
      <w:tr w:rsidR="0093640E" w:rsidRPr="00E60668" w14:paraId="05470654" w14:textId="77777777" w:rsidTr="0093640E">
        <w:trPr>
          <w:trHeight w:val="144"/>
          <w:jc w:val="center"/>
        </w:trPr>
        <w:tc>
          <w:tcPr>
            <w:tcW w:w="200" w:type="pct"/>
          </w:tcPr>
          <w:p w14:paraId="323919DC" w14:textId="05CEA22A" w:rsidR="0093640E" w:rsidRDefault="007E7B76" w:rsidP="0093640E">
            <w:pPr>
              <w:widowControl w:val="0"/>
              <w:autoSpaceDE w:val="0"/>
              <w:autoSpaceDN w:val="0"/>
              <w:adjustRightInd w:val="0"/>
              <w:rPr>
                <w:sz w:val="16"/>
                <w:szCs w:val="16"/>
              </w:rPr>
            </w:pPr>
            <w:r>
              <w:rPr>
                <w:sz w:val="16"/>
                <w:szCs w:val="16"/>
              </w:rPr>
              <w:t>1</w:t>
            </w:r>
          </w:p>
        </w:tc>
        <w:tc>
          <w:tcPr>
            <w:tcW w:w="480" w:type="pct"/>
          </w:tcPr>
          <w:p w14:paraId="53A1D9A6" w14:textId="77777777" w:rsidR="0093640E" w:rsidRPr="00E60668" w:rsidRDefault="0093640E" w:rsidP="0093640E">
            <w:pPr>
              <w:widowControl w:val="0"/>
              <w:autoSpaceDE w:val="0"/>
              <w:autoSpaceDN w:val="0"/>
              <w:adjustRightInd w:val="0"/>
              <w:rPr>
                <w:sz w:val="16"/>
                <w:szCs w:val="16"/>
              </w:rPr>
            </w:pPr>
            <w:r>
              <w:rPr>
                <w:sz w:val="16"/>
                <w:szCs w:val="16"/>
              </w:rPr>
              <w:t>9/5/2012</w:t>
            </w:r>
          </w:p>
        </w:tc>
        <w:tc>
          <w:tcPr>
            <w:tcW w:w="1610" w:type="pct"/>
          </w:tcPr>
          <w:p w14:paraId="03278F26" w14:textId="77777777" w:rsidR="0093640E" w:rsidRPr="001F7C5D" w:rsidRDefault="0093640E" w:rsidP="0093640E">
            <w:pPr>
              <w:widowControl w:val="0"/>
              <w:autoSpaceDE w:val="0"/>
              <w:autoSpaceDN w:val="0"/>
              <w:adjustRightInd w:val="0"/>
              <w:rPr>
                <w:sz w:val="16"/>
                <w:szCs w:val="16"/>
              </w:rPr>
            </w:pPr>
            <w:r w:rsidRPr="001F7C5D">
              <w:rPr>
                <w:sz w:val="16"/>
                <w:szCs w:val="16"/>
              </w:rPr>
              <w:t xml:space="preserve">China National Offshore Oil Corporation </w:t>
            </w:r>
          </w:p>
        </w:tc>
        <w:tc>
          <w:tcPr>
            <w:tcW w:w="1538" w:type="pct"/>
          </w:tcPr>
          <w:p w14:paraId="1FAB501E" w14:textId="77777777" w:rsidR="0093640E" w:rsidRPr="001F7C5D" w:rsidRDefault="0093640E" w:rsidP="0093640E">
            <w:pPr>
              <w:widowControl w:val="0"/>
              <w:autoSpaceDE w:val="0"/>
              <w:autoSpaceDN w:val="0"/>
              <w:adjustRightInd w:val="0"/>
              <w:rPr>
                <w:sz w:val="16"/>
                <w:szCs w:val="16"/>
              </w:rPr>
            </w:pPr>
            <w:r w:rsidRPr="001F7C5D">
              <w:rPr>
                <w:sz w:val="16"/>
                <w:szCs w:val="16"/>
              </w:rPr>
              <w:t>Nexen inc (cleared)</w:t>
            </w:r>
          </w:p>
        </w:tc>
        <w:tc>
          <w:tcPr>
            <w:tcW w:w="1172" w:type="pct"/>
          </w:tcPr>
          <w:p w14:paraId="0A2D41EE" w14:textId="77777777" w:rsidR="0093640E" w:rsidRPr="00E60668" w:rsidRDefault="0093640E" w:rsidP="0093640E">
            <w:pPr>
              <w:widowControl w:val="0"/>
              <w:autoSpaceDE w:val="0"/>
              <w:autoSpaceDN w:val="0"/>
              <w:adjustRightInd w:val="0"/>
              <w:rPr>
                <w:sz w:val="16"/>
                <w:szCs w:val="16"/>
              </w:rPr>
            </w:pPr>
            <w:r w:rsidRPr="00E60668">
              <w:rPr>
                <w:sz w:val="16"/>
                <w:szCs w:val="16"/>
              </w:rPr>
              <w:t>Public target</w:t>
            </w:r>
          </w:p>
        </w:tc>
      </w:tr>
      <w:tr w:rsidR="0093640E" w:rsidRPr="00E60668" w14:paraId="0EA98109" w14:textId="77777777" w:rsidTr="0093640E">
        <w:trPr>
          <w:trHeight w:val="144"/>
          <w:jc w:val="center"/>
        </w:trPr>
        <w:tc>
          <w:tcPr>
            <w:tcW w:w="200" w:type="pct"/>
          </w:tcPr>
          <w:p w14:paraId="10CA8734" w14:textId="58FEEC86" w:rsidR="0093640E" w:rsidRPr="00E60668" w:rsidRDefault="007E7B76" w:rsidP="0093640E">
            <w:pPr>
              <w:widowControl w:val="0"/>
              <w:autoSpaceDE w:val="0"/>
              <w:autoSpaceDN w:val="0"/>
              <w:adjustRightInd w:val="0"/>
              <w:rPr>
                <w:sz w:val="16"/>
                <w:szCs w:val="16"/>
              </w:rPr>
            </w:pPr>
            <w:r>
              <w:rPr>
                <w:sz w:val="16"/>
                <w:szCs w:val="16"/>
              </w:rPr>
              <w:t>2</w:t>
            </w:r>
          </w:p>
        </w:tc>
        <w:tc>
          <w:tcPr>
            <w:tcW w:w="480" w:type="pct"/>
          </w:tcPr>
          <w:p w14:paraId="44B1A2B1" w14:textId="77777777" w:rsidR="0093640E" w:rsidRPr="001F7C5D" w:rsidRDefault="0093640E" w:rsidP="0093640E">
            <w:pPr>
              <w:widowControl w:val="0"/>
              <w:autoSpaceDE w:val="0"/>
              <w:autoSpaceDN w:val="0"/>
              <w:adjustRightInd w:val="0"/>
              <w:rPr>
                <w:sz w:val="16"/>
                <w:szCs w:val="16"/>
              </w:rPr>
            </w:pPr>
            <w:r w:rsidRPr="00E60668">
              <w:rPr>
                <w:sz w:val="16"/>
                <w:szCs w:val="16"/>
              </w:rPr>
              <w:t>7/21/2015</w:t>
            </w:r>
          </w:p>
        </w:tc>
        <w:tc>
          <w:tcPr>
            <w:tcW w:w="1610" w:type="pct"/>
            <w:vAlign w:val="bottom"/>
          </w:tcPr>
          <w:p w14:paraId="6DBB411B" w14:textId="77777777" w:rsidR="0093640E" w:rsidRPr="001F7C5D" w:rsidRDefault="0093640E" w:rsidP="0093640E">
            <w:pPr>
              <w:widowControl w:val="0"/>
              <w:autoSpaceDE w:val="0"/>
              <w:autoSpaceDN w:val="0"/>
              <w:adjustRightInd w:val="0"/>
              <w:rPr>
                <w:sz w:val="16"/>
                <w:szCs w:val="16"/>
              </w:rPr>
            </w:pPr>
            <w:r w:rsidRPr="00E60668">
              <w:rPr>
                <w:sz w:val="16"/>
                <w:szCs w:val="16"/>
              </w:rPr>
              <w:t>Tsinghua unigroup ltd</w:t>
            </w:r>
          </w:p>
        </w:tc>
        <w:tc>
          <w:tcPr>
            <w:tcW w:w="1538" w:type="pct"/>
            <w:vAlign w:val="bottom"/>
          </w:tcPr>
          <w:p w14:paraId="43BD9CB9" w14:textId="77777777" w:rsidR="0093640E" w:rsidRPr="001F7C5D" w:rsidRDefault="0093640E" w:rsidP="0093640E">
            <w:pPr>
              <w:widowControl w:val="0"/>
              <w:autoSpaceDE w:val="0"/>
              <w:autoSpaceDN w:val="0"/>
              <w:adjustRightInd w:val="0"/>
              <w:rPr>
                <w:sz w:val="16"/>
                <w:szCs w:val="16"/>
              </w:rPr>
            </w:pPr>
            <w:r w:rsidRPr="00E60668">
              <w:rPr>
                <w:sz w:val="16"/>
                <w:szCs w:val="16"/>
              </w:rPr>
              <w:t>Micron technology inc</w:t>
            </w:r>
            <w:r>
              <w:rPr>
                <w:sz w:val="16"/>
                <w:szCs w:val="16"/>
              </w:rPr>
              <w:t xml:space="preserve"> (blocked)</w:t>
            </w:r>
          </w:p>
        </w:tc>
        <w:tc>
          <w:tcPr>
            <w:tcW w:w="1172" w:type="pct"/>
          </w:tcPr>
          <w:p w14:paraId="5C323F0B" w14:textId="77777777" w:rsidR="0093640E" w:rsidRPr="00E60668" w:rsidRDefault="0093640E" w:rsidP="0093640E">
            <w:pPr>
              <w:widowControl w:val="0"/>
              <w:autoSpaceDE w:val="0"/>
              <w:autoSpaceDN w:val="0"/>
              <w:adjustRightInd w:val="0"/>
              <w:rPr>
                <w:sz w:val="16"/>
                <w:szCs w:val="16"/>
              </w:rPr>
            </w:pPr>
            <w:r w:rsidRPr="00E60668">
              <w:rPr>
                <w:sz w:val="16"/>
                <w:szCs w:val="16"/>
              </w:rPr>
              <w:t>Public target</w:t>
            </w:r>
          </w:p>
        </w:tc>
      </w:tr>
      <w:tr w:rsidR="007E7B76" w:rsidRPr="00E60668" w14:paraId="4BCA7748" w14:textId="77777777" w:rsidTr="0093640E">
        <w:trPr>
          <w:trHeight w:val="144"/>
          <w:jc w:val="center"/>
        </w:trPr>
        <w:tc>
          <w:tcPr>
            <w:tcW w:w="200" w:type="pct"/>
          </w:tcPr>
          <w:p w14:paraId="17C7E94C" w14:textId="4D966488" w:rsidR="007E7B76" w:rsidRPr="00E60668" w:rsidRDefault="007E7B76" w:rsidP="007E7B76">
            <w:pPr>
              <w:widowControl w:val="0"/>
              <w:autoSpaceDE w:val="0"/>
              <w:autoSpaceDN w:val="0"/>
              <w:adjustRightInd w:val="0"/>
              <w:rPr>
                <w:sz w:val="16"/>
                <w:szCs w:val="16"/>
              </w:rPr>
            </w:pPr>
            <w:r>
              <w:rPr>
                <w:sz w:val="16"/>
                <w:szCs w:val="16"/>
              </w:rPr>
              <w:t>3</w:t>
            </w:r>
          </w:p>
        </w:tc>
        <w:tc>
          <w:tcPr>
            <w:tcW w:w="480" w:type="pct"/>
          </w:tcPr>
          <w:p w14:paraId="6B4DD6D5" w14:textId="77777777" w:rsidR="007E7B76" w:rsidRPr="00E60668" w:rsidRDefault="007E7B76" w:rsidP="007E7B76">
            <w:pPr>
              <w:widowControl w:val="0"/>
              <w:autoSpaceDE w:val="0"/>
              <w:autoSpaceDN w:val="0"/>
              <w:adjustRightInd w:val="0"/>
              <w:rPr>
                <w:sz w:val="16"/>
                <w:szCs w:val="16"/>
              </w:rPr>
            </w:pPr>
            <w:r>
              <w:rPr>
                <w:sz w:val="16"/>
                <w:szCs w:val="16"/>
              </w:rPr>
              <w:t>4/10/2017</w:t>
            </w:r>
          </w:p>
        </w:tc>
        <w:tc>
          <w:tcPr>
            <w:tcW w:w="1610" w:type="pct"/>
          </w:tcPr>
          <w:p w14:paraId="24379B7F" w14:textId="77777777" w:rsidR="007E7B76" w:rsidRPr="002160A9" w:rsidRDefault="007E7B76" w:rsidP="007E7B76">
            <w:pPr>
              <w:widowControl w:val="0"/>
              <w:autoSpaceDE w:val="0"/>
              <w:autoSpaceDN w:val="0"/>
              <w:adjustRightInd w:val="0"/>
              <w:rPr>
                <w:sz w:val="16"/>
                <w:szCs w:val="16"/>
              </w:rPr>
            </w:pPr>
            <w:r w:rsidRPr="002160A9">
              <w:rPr>
                <w:sz w:val="16"/>
                <w:szCs w:val="16"/>
              </w:rPr>
              <w:t>Rosneft</w:t>
            </w:r>
          </w:p>
        </w:tc>
        <w:tc>
          <w:tcPr>
            <w:tcW w:w="1538" w:type="pct"/>
          </w:tcPr>
          <w:p w14:paraId="04552331" w14:textId="77777777" w:rsidR="007E7B76" w:rsidRPr="002160A9" w:rsidRDefault="007E7B76" w:rsidP="007E7B76">
            <w:pPr>
              <w:widowControl w:val="0"/>
              <w:autoSpaceDE w:val="0"/>
              <w:autoSpaceDN w:val="0"/>
              <w:adjustRightInd w:val="0"/>
              <w:rPr>
                <w:sz w:val="16"/>
                <w:szCs w:val="16"/>
              </w:rPr>
            </w:pPr>
            <w:r w:rsidRPr="002160A9">
              <w:rPr>
                <w:sz w:val="16"/>
                <w:szCs w:val="16"/>
              </w:rPr>
              <w:t>CITGO (cleared)</w:t>
            </w:r>
          </w:p>
        </w:tc>
        <w:tc>
          <w:tcPr>
            <w:tcW w:w="1172" w:type="pct"/>
          </w:tcPr>
          <w:p w14:paraId="5133D04A"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7E7B76" w:rsidRPr="00E60668" w14:paraId="531656DA" w14:textId="77777777" w:rsidTr="0093640E">
        <w:trPr>
          <w:trHeight w:val="144"/>
          <w:jc w:val="center"/>
        </w:trPr>
        <w:tc>
          <w:tcPr>
            <w:tcW w:w="200" w:type="pct"/>
          </w:tcPr>
          <w:p w14:paraId="314EDB2D" w14:textId="73B0B71C" w:rsidR="007E7B76" w:rsidRPr="00E60668" w:rsidRDefault="007E7B76" w:rsidP="007E7B76">
            <w:pPr>
              <w:widowControl w:val="0"/>
              <w:autoSpaceDE w:val="0"/>
              <w:autoSpaceDN w:val="0"/>
              <w:adjustRightInd w:val="0"/>
              <w:rPr>
                <w:sz w:val="16"/>
                <w:szCs w:val="16"/>
              </w:rPr>
            </w:pPr>
            <w:r>
              <w:rPr>
                <w:sz w:val="16"/>
                <w:szCs w:val="16"/>
              </w:rPr>
              <w:t>4</w:t>
            </w:r>
          </w:p>
        </w:tc>
        <w:tc>
          <w:tcPr>
            <w:tcW w:w="480" w:type="pct"/>
          </w:tcPr>
          <w:p w14:paraId="393B14E8" w14:textId="77777777" w:rsidR="007E7B76" w:rsidRPr="00E60668" w:rsidRDefault="007E7B76" w:rsidP="007E7B76">
            <w:pPr>
              <w:widowControl w:val="0"/>
              <w:autoSpaceDE w:val="0"/>
              <w:autoSpaceDN w:val="0"/>
              <w:adjustRightInd w:val="0"/>
              <w:rPr>
                <w:sz w:val="16"/>
                <w:szCs w:val="16"/>
              </w:rPr>
            </w:pPr>
            <w:r>
              <w:rPr>
                <w:sz w:val="16"/>
                <w:szCs w:val="16"/>
              </w:rPr>
              <w:t>11/27/2019</w:t>
            </w:r>
          </w:p>
        </w:tc>
        <w:tc>
          <w:tcPr>
            <w:tcW w:w="1610" w:type="pct"/>
          </w:tcPr>
          <w:p w14:paraId="2A9DCDAB" w14:textId="77777777" w:rsidR="007E7B76" w:rsidRPr="002160A9" w:rsidRDefault="007E7B76" w:rsidP="007E7B76">
            <w:pPr>
              <w:widowControl w:val="0"/>
              <w:autoSpaceDE w:val="0"/>
              <w:autoSpaceDN w:val="0"/>
              <w:adjustRightInd w:val="0"/>
              <w:rPr>
                <w:sz w:val="16"/>
                <w:szCs w:val="16"/>
              </w:rPr>
            </w:pPr>
            <w:r w:rsidRPr="002160A9">
              <w:rPr>
                <w:sz w:val="16"/>
                <w:szCs w:val="16"/>
              </w:rPr>
              <w:t>ByteDance</w:t>
            </w:r>
          </w:p>
        </w:tc>
        <w:tc>
          <w:tcPr>
            <w:tcW w:w="1538" w:type="pct"/>
          </w:tcPr>
          <w:p w14:paraId="02E7D43E" w14:textId="77777777" w:rsidR="007E7B76" w:rsidRPr="002160A9" w:rsidRDefault="007E7B76" w:rsidP="007E7B76">
            <w:pPr>
              <w:widowControl w:val="0"/>
              <w:autoSpaceDE w:val="0"/>
              <w:autoSpaceDN w:val="0"/>
              <w:adjustRightInd w:val="0"/>
              <w:rPr>
                <w:sz w:val="16"/>
                <w:szCs w:val="16"/>
              </w:rPr>
            </w:pPr>
            <w:r w:rsidRPr="002160A9">
              <w:rPr>
                <w:sz w:val="16"/>
                <w:szCs w:val="16"/>
              </w:rPr>
              <w:t>Musical.ly</w:t>
            </w:r>
            <w:r>
              <w:rPr>
                <w:sz w:val="16"/>
                <w:szCs w:val="16"/>
              </w:rPr>
              <w:t xml:space="preserve"> (blocked)</w:t>
            </w:r>
          </w:p>
        </w:tc>
        <w:tc>
          <w:tcPr>
            <w:tcW w:w="1172" w:type="pct"/>
          </w:tcPr>
          <w:p w14:paraId="12C60E11" w14:textId="77777777" w:rsidR="007E7B76" w:rsidRPr="00E60668" w:rsidRDefault="007E7B76" w:rsidP="007E7B76">
            <w:pPr>
              <w:widowControl w:val="0"/>
              <w:autoSpaceDE w:val="0"/>
              <w:autoSpaceDN w:val="0"/>
              <w:adjustRightInd w:val="0"/>
              <w:rPr>
                <w:sz w:val="16"/>
                <w:szCs w:val="16"/>
              </w:rPr>
            </w:pPr>
            <w:r w:rsidRPr="00E60668">
              <w:rPr>
                <w:sz w:val="16"/>
                <w:szCs w:val="16"/>
              </w:rPr>
              <w:t>Private target</w:t>
            </w:r>
          </w:p>
        </w:tc>
      </w:tr>
      <w:tr w:rsidR="0093640E" w:rsidRPr="00E60668" w14:paraId="064A544F" w14:textId="77777777" w:rsidTr="0093640E">
        <w:trPr>
          <w:trHeight w:val="144"/>
          <w:jc w:val="center"/>
        </w:trPr>
        <w:tc>
          <w:tcPr>
            <w:tcW w:w="200" w:type="pct"/>
            <w:tcBorders>
              <w:top w:val="single" w:sz="4" w:space="0" w:color="auto"/>
              <w:left w:val="nil"/>
              <w:bottom w:val="nil"/>
              <w:right w:val="nil"/>
            </w:tcBorders>
          </w:tcPr>
          <w:p w14:paraId="1B0ECE47" w14:textId="77777777" w:rsidR="0093640E" w:rsidRPr="00E60668" w:rsidRDefault="0093640E" w:rsidP="0093640E">
            <w:pPr>
              <w:widowControl w:val="0"/>
              <w:autoSpaceDE w:val="0"/>
              <w:autoSpaceDN w:val="0"/>
              <w:adjustRightInd w:val="0"/>
              <w:rPr>
                <w:sz w:val="16"/>
                <w:szCs w:val="16"/>
              </w:rPr>
            </w:pPr>
          </w:p>
        </w:tc>
        <w:tc>
          <w:tcPr>
            <w:tcW w:w="480" w:type="pct"/>
            <w:tcBorders>
              <w:top w:val="single" w:sz="4" w:space="0" w:color="auto"/>
              <w:left w:val="nil"/>
              <w:bottom w:val="nil"/>
              <w:right w:val="nil"/>
            </w:tcBorders>
          </w:tcPr>
          <w:p w14:paraId="220C2E8B" w14:textId="77777777" w:rsidR="0093640E" w:rsidRPr="00E60668" w:rsidRDefault="0093640E" w:rsidP="0093640E">
            <w:pPr>
              <w:widowControl w:val="0"/>
              <w:autoSpaceDE w:val="0"/>
              <w:autoSpaceDN w:val="0"/>
              <w:adjustRightInd w:val="0"/>
              <w:rPr>
                <w:sz w:val="16"/>
                <w:szCs w:val="16"/>
              </w:rPr>
            </w:pPr>
          </w:p>
        </w:tc>
        <w:tc>
          <w:tcPr>
            <w:tcW w:w="1610" w:type="pct"/>
            <w:tcBorders>
              <w:top w:val="single" w:sz="4" w:space="0" w:color="auto"/>
              <w:left w:val="nil"/>
              <w:bottom w:val="nil"/>
              <w:right w:val="nil"/>
            </w:tcBorders>
          </w:tcPr>
          <w:p w14:paraId="48625F8A" w14:textId="77777777" w:rsidR="0093640E" w:rsidRPr="00E60668" w:rsidRDefault="0093640E" w:rsidP="0093640E">
            <w:pPr>
              <w:widowControl w:val="0"/>
              <w:autoSpaceDE w:val="0"/>
              <w:autoSpaceDN w:val="0"/>
              <w:adjustRightInd w:val="0"/>
              <w:rPr>
                <w:sz w:val="16"/>
                <w:szCs w:val="16"/>
              </w:rPr>
            </w:pPr>
          </w:p>
        </w:tc>
        <w:tc>
          <w:tcPr>
            <w:tcW w:w="1538" w:type="pct"/>
            <w:tcBorders>
              <w:top w:val="single" w:sz="4" w:space="0" w:color="auto"/>
              <w:left w:val="nil"/>
              <w:bottom w:val="nil"/>
              <w:right w:val="nil"/>
            </w:tcBorders>
          </w:tcPr>
          <w:p w14:paraId="00F81132" w14:textId="77777777" w:rsidR="0093640E" w:rsidRPr="00E60668" w:rsidRDefault="0093640E" w:rsidP="0093640E">
            <w:pPr>
              <w:widowControl w:val="0"/>
              <w:autoSpaceDE w:val="0"/>
              <w:autoSpaceDN w:val="0"/>
              <w:adjustRightInd w:val="0"/>
              <w:rPr>
                <w:sz w:val="16"/>
                <w:szCs w:val="16"/>
              </w:rPr>
            </w:pPr>
          </w:p>
        </w:tc>
        <w:tc>
          <w:tcPr>
            <w:tcW w:w="1172" w:type="pct"/>
            <w:tcBorders>
              <w:top w:val="single" w:sz="4" w:space="0" w:color="auto"/>
              <w:left w:val="nil"/>
              <w:bottom w:val="nil"/>
              <w:right w:val="nil"/>
            </w:tcBorders>
          </w:tcPr>
          <w:p w14:paraId="47B85965" w14:textId="77777777" w:rsidR="0093640E" w:rsidRPr="00E60668" w:rsidRDefault="0093640E" w:rsidP="0093640E">
            <w:pPr>
              <w:widowControl w:val="0"/>
              <w:autoSpaceDE w:val="0"/>
              <w:autoSpaceDN w:val="0"/>
              <w:adjustRightInd w:val="0"/>
              <w:rPr>
                <w:sz w:val="16"/>
                <w:szCs w:val="16"/>
              </w:rPr>
            </w:pPr>
          </w:p>
        </w:tc>
      </w:tr>
      <w:tr w:rsidR="0093640E" w:rsidRPr="00E60668" w14:paraId="12BD12D3" w14:textId="77777777" w:rsidTr="0093640E">
        <w:trPr>
          <w:trHeight w:val="144"/>
          <w:jc w:val="center"/>
        </w:trPr>
        <w:tc>
          <w:tcPr>
            <w:tcW w:w="5000" w:type="pct"/>
            <w:gridSpan w:val="5"/>
            <w:tcBorders>
              <w:top w:val="nil"/>
              <w:left w:val="nil"/>
              <w:bottom w:val="nil"/>
              <w:right w:val="nil"/>
            </w:tcBorders>
          </w:tcPr>
          <w:p w14:paraId="6C9106C1" w14:textId="77777777" w:rsidR="0093640E" w:rsidRPr="00E60668" w:rsidRDefault="0093640E" w:rsidP="0093640E">
            <w:pPr>
              <w:widowControl w:val="0"/>
              <w:autoSpaceDE w:val="0"/>
              <w:autoSpaceDN w:val="0"/>
              <w:adjustRightInd w:val="0"/>
              <w:jc w:val="both"/>
              <w:rPr>
                <w:sz w:val="16"/>
                <w:szCs w:val="16"/>
              </w:rPr>
            </w:pPr>
            <w:r>
              <w:rPr>
                <w:sz w:val="16"/>
                <w:szCs w:val="16"/>
              </w:rPr>
              <w:t>This</w:t>
            </w:r>
            <w:r w:rsidRPr="00E60668">
              <w:rPr>
                <w:sz w:val="16"/>
                <w:szCs w:val="16"/>
              </w:rPr>
              <w:t xml:space="preserve"> table presents the list of </w:t>
            </w:r>
            <w:r>
              <w:rPr>
                <w:sz w:val="16"/>
                <w:szCs w:val="16"/>
              </w:rPr>
              <w:t xml:space="preserve">detected </w:t>
            </w:r>
            <w:r w:rsidRPr="00E60668">
              <w:rPr>
                <w:sz w:val="16"/>
                <w:szCs w:val="16"/>
              </w:rPr>
              <w:t xml:space="preserve">CFIUS </w:t>
            </w:r>
            <w:r>
              <w:rPr>
                <w:sz w:val="16"/>
                <w:szCs w:val="16"/>
              </w:rPr>
              <w:t xml:space="preserve">informal actions </w:t>
            </w:r>
            <w:r w:rsidRPr="00E60668">
              <w:rPr>
                <w:sz w:val="16"/>
                <w:szCs w:val="16"/>
              </w:rPr>
              <w:t>during FINSA. Data are collected from Factiva, SEC EDGAR, and the financial press. We remain available to provide any additional identifying information regarding CFIUS interventions.</w:t>
            </w:r>
          </w:p>
        </w:tc>
      </w:tr>
    </w:tbl>
    <w:p w14:paraId="7A87F41A" w14:textId="77777777" w:rsidR="0093640E" w:rsidRDefault="0093640E" w:rsidP="0093640E">
      <w:pPr>
        <w:spacing w:after="160" w:line="259" w:lineRule="auto"/>
        <w:rPr>
          <w:rStyle w:val="Normal2Car"/>
        </w:rPr>
      </w:pPr>
    </w:p>
    <w:p w14:paraId="4CAC8647" w14:textId="77777777" w:rsidR="0093640E" w:rsidRDefault="0093640E" w:rsidP="0093640E">
      <w:pPr>
        <w:spacing w:after="160" w:line="259" w:lineRule="auto"/>
        <w:rPr>
          <w:rStyle w:val="Normal2Car"/>
        </w:rPr>
      </w:pP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50"/>
        <w:gridCol w:w="3187"/>
        <w:gridCol w:w="3045"/>
        <w:gridCol w:w="2320"/>
      </w:tblGrid>
      <w:tr w:rsidR="0093640E" w:rsidRPr="00E60668" w14:paraId="796B50DE" w14:textId="77777777" w:rsidTr="0093640E">
        <w:trPr>
          <w:trHeight w:val="144"/>
          <w:jc w:val="center"/>
        </w:trPr>
        <w:tc>
          <w:tcPr>
            <w:tcW w:w="5000" w:type="pct"/>
            <w:gridSpan w:val="5"/>
            <w:tcBorders>
              <w:top w:val="nil"/>
              <w:left w:val="nil"/>
              <w:bottom w:val="nil"/>
              <w:right w:val="nil"/>
            </w:tcBorders>
          </w:tcPr>
          <w:p w14:paraId="11A81CF3" w14:textId="77777777" w:rsidR="0093640E" w:rsidRPr="00E60668" w:rsidRDefault="0093640E" w:rsidP="0093640E">
            <w:pPr>
              <w:widowControl w:val="0"/>
              <w:autoSpaceDE w:val="0"/>
              <w:autoSpaceDN w:val="0"/>
              <w:adjustRightInd w:val="0"/>
              <w:rPr>
                <w:b/>
                <w:bCs/>
                <w:sz w:val="16"/>
                <w:szCs w:val="16"/>
              </w:rPr>
            </w:pPr>
            <w:r w:rsidRPr="00E60668">
              <w:rPr>
                <w:b/>
                <w:bCs/>
                <w:sz w:val="16"/>
                <w:szCs w:val="16"/>
              </w:rPr>
              <w:t>Table A</w:t>
            </w:r>
            <w:r>
              <w:rPr>
                <w:b/>
                <w:bCs/>
                <w:sz w:val="16"/>
                <w:szCs w:val="16"/>
              </w:rPr>
              <w:t>5</w:t>
            </w:r>
          </w:p>
        </w:tc>
      </w:tr>
      <w:tr w:rsidR="0093640E" w:rsidRPr="00E60668" w14:paraId="164C1782" w14:textId="77777777" w:rsidTr="0093640E">
        <w:trPr>
          <w:trHeight w:val="144"/>
          <w:jc w:val="center"/>
        </w:trPr>
        <w:tc>
          <w:tcPr>
            <w:tcW w:w="5000" w:type="pct"/>
            <w:gridSpan w:val="5"/>
            <w:tcBorders>
              <w:top w:val="nil"/>
              <w:left w:val="nil"/>
              <w:bottom w:val="single" w:sz="4" w:space="0" w:color="auto"/>
              <w:right w:val="nil"/>
            </w:tcBorders>
          </w:tcPr>
          <w:p w14:paraId="250A5680" w14:textId="1757A8A0" w:rsidR="0093640E" w:rsidRPr="00E60668" w:rsidRDefault="0093640E" w:rsidP="0093640E">
            <w:pPr>
              <w:widowControl w:val="0"/>
              <w:autoSpaceDE w:val="0"/>
              <w:autoSpaceDN w:val="0"/>
              <w:adjustRightInd w:val="0"/>
              <w:rPr>
                <w:b/>
                <w:bCs/>
                <w:sz w:val="16"/>
                <w:szCs w:val="16"/>
              </w:rPr>
            </w:pPr>
            <w:r w:rsidRPr="00E60668">
              <w:rPr>
                <w:b/>
                <w:bCs/>
                <w:sz w:val="16"/>
                <w:szCs w:val="16"/>
              </w:rPr>
              <w:t xml:space="preserve">List of CFIUS </w:t>
            </w:r>
            <w:r>
              <w:rPr>
                <w:b/>
                <w:bCs/>
                <w:sz w:val="16"/>
                <w:szCs w:val="16"/>
              </w:rPr>
              <w:t xml:space="preserve">mitigation agreements before closing </w:t>
            </w:r>
            <w:r w:rsidRPr="00E60668">
              <w:rPr>
                <w:b/>
                <w:bCs/>
                <w:sz w:val="16"/>
                <w:szCs w:val="16"/>
              </w:rPr>
              <w:t>during FINSA</w:t>
            </w:r>
          </w:p>
          <w:p w14:paraId="18A53E1A" w14:textId="77777777" w:rsidR="0093640E" w:rsidRPr="00E60668" w:rsidRDefault="0093640E" w:rsidP="0093640E">
            <w:pPr>
              <w:widowControl w:val="0"/>
              <w:autoSpaceDE w:val="0"/>
              <w:autoSpaceDN w:val="0"/>
              <w:adjustRightInd w:val="0"/>
              <w:jc w:val="both"/>
              <w:rPr>
                <w:sz w:val="16"/>
                <w:szCs w:val="16"/>
              </w:rPr>
            </w:pPr>
          </w:p>
        </w:tc>
      </w:tr>
      <w:tr w:rsidR="0093640E" w:rsidRPr="00E60668" w14:paraId="53354E8E" w14:textId="77777777" w:rsidTr="0093640E">
        <w:trPr>
          <w:trHeight w:val="144"/>
          <w:jc w:val="center"/>
        </w:trPr>
        <w:tc>
          <w:tcPr>
            <w:tcW w:w="200" w:type="pct"/>
            <w:tcBorders>
              <w:top w:val="single" w:sz="4" w:space="0" w:color="auto"/>
            </w:tcBorders>
            <w:hideMark/>
          </w:tcPr>
          <w:p w14:paraId="002E8237" w14:textId="77777777" w:rsidR="0093640E" w:rsidRPr="00E60668" w:rsidRDefault="0093640E" w:rsidP="0093640E">
            <w:pPr>
              <w:widowControl w:val="0"/>
              <w:autoSpaceDE w:val="0"/>
              <w:autoSpaceDN w:val="0"/>
              <w:adjustRightInd w:val="0"/>
              <w:rPr>
                <w:sz w:val="16"/>
                <w:szCs w:val="16"/>
              </w:rPr>
            </w:pPr>
            <w:r w:rsidRPr="00E60668">
              <w:rPr>
                <w:b/>
                <w:bCs/>
                <w:sz w:val="16"/>
                <w:szCs w:val="16"/>
              </w:rPr>
              <w:t>ID</w:t>
            </w:r>
          </w:p>
        </w:tc>
        <w:tc>
          <w:tcPr>
            <w:tcW w:w="480" w:type="pct"/>
            <w:tcBorders>
              <w:top w:val="single" w:sz="4" w:space="0" w:color="auto"/>
            </w:tcBorders>
          </w:tcPr>
          <w:p w14:paraId="13461D00" w14:textId="77777777" w:rsidR="0093640E" w:rsidRPr="00E60668" w:rsidRDefault="0093640E" w:rsidP="0093640E">
            <w:pPr>
              <w:widowControl w:val="0"/>
              <w:autoSpaceDE w:val="0"/>
              <w:autoSpaceDN w:val="0"/>
              <w:adjustRightInd w:val="0"/>
              <w:rPr>
                <w:sz w:val="16"/>
                <w:szCs w:val="16"/>
              </w:rPr>
            </w:pPr>
            <w:r w:rsidRPr="00E60668">
              <w:rPr>
                <w:b/>
                <w:bCs/>
                <w:sz w:val="16"/>
                <w:szCs w:val="16"/>
              </w:rPr>
              <w:t>Date</w:t>
            </w:r>
          </w:p>
        </w:tc>
        <w:tc>
          <w:tcPr>
            <w:tcW w:w="1610" w:type="pct"/>
            <w:tcBorders>
              <w:top w:val="single" w:sz="4" w:space="0" w:color="auto"/>
            </w:tcBorders>
          </w:tcPr>
          <w:p w14:paraId="03D33224" w14:textId="77777777" w:rsidR="0093640E" w:rsidRPr="00E60668" w:rsidRDefault="0093640E" w:rsidP="0093640E">
            <w:pPr>
              <w:widowControl w:val="0"/>
              <w:autoSpaceDE w:val="0"/>
              <w:autoSpaceDN w:val="0"/>
              <w:adjustRightInd w:val="0"/>
              <w:rPr>
                <w:sz w:val="16"/>
                <w:szCs w:val="16"/>
              </w:rPr>
            </w:pPr>
            <w:r w:rsidRPr="00E60668">
              <w:rPr>
                <w:b/>
                <w:bCs/>
                <w:sz w:val="16"/>
                <w:szCs w:val="16"/>
              </w:rPr>
              <w:t>Buyer</w:t>
            </w:r>
          </w:p>
        </w:tc>
        <w:tc>
          <w:tcPr>
            <w:tcW w:w="1538" w:type="pct"/>
            <w:tcBorders>
              <w:top w:val="single" w:sz="4" w:space="0" w:color="auto"/>
            </w:tcBorders>
          </w:tcPr>
          <w:p w14:paraId="58374635" w14:textId="77777777" w:rsidR="0093640E" w:rsidRPr="00E60668" w:rsidRDefault="0093640E" w:rsidP="0093640E">
            <w:pPr>
              <w:widowControl w:val="0"/>
              <w:autoSpaceDE w:val="0"/>
              <w:autoSpaceDN w:val="0"/>
              <w:adjustRightInd w:val="0"/>
              <w:rPr>
                <w:sz w:val="16"/>
                <w:szCs w:val="16"/>
              </w:rPr>
            </w:pPr>
            <w:r w:rsidRPr="00E60668">
              <w:rPr>
                <w:b/>
                <w:bCs/>
                <w:sz w:val="16"/>
                <w:szCs w:val="16"/>
              </w:rPr>
              <w:t>Target</w:t>
            </w:r>
          </w:p>
        </w:tc>
        <w:tc>
          <w:tcPr>
            <w:tcW w:w="1172" w:type="pct"/>
            <w:tcBorders>
              <w:top w:val="single" w:sz="4" w:space="0" w:color="auto"/>
            </w:tcBorders>
          </w:tcPr>
          <w:p w14:paraId="5B8D34F4" w14:textId="77777777" w:rsidR="0093640E" w:rsidRPr="00E60668" w:rsidRDefault="0093640E" w:rsidP="0093640E">
            <w:pPr>
              <w:widowControl w:val="0"/>
              <w:autoSpaceDE w:val="0"/>
              <w:autoSpaceDN w:val="0"/>
              <w:adjustRightInd w:val="0"/>
              <w:rPr>
                <w:sz w:val="16"/>
                <w:szCs w:val="16"/>
              </w:rPr>
            </w:pPr>
            <w:r w:rsidRPr="00E60668">
              <w:rPr>
                <w:b/>
                <w:bCs/>
                <w:sz w:val="16"/>
                <w:szCs w:val="16"/>
              </w:rPr>
              <w:t>Description</w:t>
            </w:r>
          </w:p>
        </w:tc>
      </w:tr>
      <w:tr w:rsidR="0093640E" w:rsidRPr="00E60668" w14:paraId="60C76269" w14:textId="77777777" w:rsidTr="0093640E">
        <w:trPr>
          <w:trHeight w:val="144"/>
          <w:jc w:val="center"/>
        </w:trPr>
        <w:tc>
          <w:tcPr>
            <w:tcW w:w="200" w:type="pct"/>
          </w:tcPr>
          <w:p w14:paraId="3F13763A" w14:textId="77777777" w:rsidR="0093640E" w:rsidRPr="00E60668" w:rsidRDefault="0093640E" w:rsidP="0093640E">
            <w:pPr>
              <w:widowControl w:val="0"/>
              <w:autoSpaceDE w:val="0"/>
              <w:autoSpaceDN w:val="0"/>
              <w:adjustRightInd w:val="0"/>
              <w:rPr>
                <w:sz w:val="16"/>
                <w:szCs w:val="16"/>
              </w:rPr>
            </w:pPr>
            <w:r>
              <w:rPr>
                <w:sz w:val="16"/>
                <w:szCs w:val="16"/>
              </w:rPr>
              <w:t>1</w:t>
            </w:r>
          </w:p>
        </w:tc>
        <w:tc>
          <w:tcPr>
            <w:tcW w:w="480" w:type="pct"/>
          </w:tcPr>
          <w:p w14:paraId="68AB6456" w14:textId="77777777" w:rsidR="0093640E" w:rsidRPr="00E60668" w:rsidRDefault="0093640E" w:rsidP="0093640E">
            <w:pPr>
              <w:widowControl w:val="0"/>
              <w:autoSpaceDE w:val="0"/>
              <w:autoSpaceDN w:val="0"/>
              <w:adjustRightInd w:val="0"/>
              <w:rPr>
                <w:sz w:val="16"/>
                <w:szCs w:val="16"/>
              </w:rPr>
            </w:pPr>
            <w:r>
              <w:rPr>
                <w:sz w:val="16"/>
                <w:szCs w:val="16"/>
              </w:rPr>
              <w:t>10/21</w:t>
            </w:r>
            <w:r w:rsidRPr="000E1925">
              <w:rPr>
                <w:sz w:val="16"/>
                <w:szCs w:val="16"/>
              </w:rPr>
              <w:t>/2016</w:t>
            </w:r>
          </w:p>
        </w:tc>
        <w:tc>
          <w:tcPr>
            <w:tcW w:w="1610" w:type="pct"/>
          </w:tcPr>
          <w:p w14:paraId="12352C35" w14:textId="77777777" w:rsidR="0093640E" w:rsidRPr="00E60668" w:rsidRDefault="0093640E" w:rsidP="0093640E">
            <w:pPr>
              <w:widowControl w:val="0"/>
              <w:autoSpaceDE w:val="0"/>
              <w:autoSpaceDN w:val="0"/>
              <w:adjustRightInd w:val="0"/>
              <w:rPr>
                <w:sz w:val="16"/>
                <w:szCs w:val="16"/>
              </w:rPr>
            </w:pPr>
            <w:r>
              <w:rPr>
                <w:sz w:val="16"/>
                <w:szCs w:val="16"/>
              </w:rPr>
              <w:t>Anbang insurance group co</w:t>
            </w:r>
          </w:p>
        </w:tc>
        <w:tc>
          <w:tcPr>
            <w:tcW w:w="1538" w:type="pct"/>
          </w:tcPr>
          <w:p w14:paraId="1CEDB57D" w14:textId="77777777" w:rsidR="0093640E" w:rsidRPr="00E60668" w:rsidRDefault="0093640E" w:rsidP="0093640E">
            <w:pPr>
              <w:widowControl w:val="0"/>
              <w:autoSpaceDE w:val="0"/>
              <w:autoSpaceDN w:val="0"/>
              <w:adjustRightInd w:val="0"/>
              <w:rPr>
                <w:sz w:val="16"/>
                <w:szCs w:val="16"/>
              </w:rPr>
            </w:pPr>
            <w:r>
              <w:rPr>
                <w:sz w:val="16"/>
                <w:szCs w:val="16"/>
              </w:rPr>
              <w:t>Strategic hotels &amp; resorts inc</w:t>
            </w:r>
          </w:p>
        </w:tc>
        <w:tc>
          <w:tcPr>
            <w:tcW w:w="1172" w:type="pct"/>
          </w:tcPr>
          <w:p w14:paraId="665833C8" w14:textId="77777777" w:rsidR="0093640E" w:rsidRPr="00E60668" w:rsidRDefault="0093640E" w:rsidP="0093640E">
            <w:pPr>
              <w:widowControl w:val="0"/>
              <w:autoSpaceDE w:val="0"/>
              <w:autoSpaceDN w:val="0"/>
              <w:adjustRightInd w:val="0"/>
              <w:rPr>
                <w:sz w:val="16"/>
                <w:szCs w:val="16"/>
              </w:rPr>
            </w:pPr>
            <w:r w:rsidRPr="00E60668">
              <w:rPr>
                <w:sz w:val="16"/>
                <w:szCs w:val="16"/>
              </w:rPr>
              <w:t>Proximity to military facilities</w:t>
            </w:r>
          </w:p>
        </w:tc>
      </w:tr>
      <w:tr w:rsidR="0093640E" w:rsidRPr="00E60668" w14:paraId="0514C054" w14:textId="77777777" w:rsidTr="0093640E">
        <w:trPr>
          <w:trHeight w:val="144"/>
          <w:jc w:val="center"/>
        </w:trPr>
        <w:tc>
          <w:tcPr>
            <w:tcW w:w="200" w:type="pct"/>
          </w:tcPr>
          <w:p w14:paraId="5C173F6B" w14:textId="77777777" w:rsidR="0093640E" w:rsidRPr="00E60668" w:rsidRDefault="0093640E" w:rsidP="0093640E">
            <w:pPr>
              <w:widowControl w:val="0"/>
              <w:autoSpaceDE w:val="0"/>
              <w:autoSpaceDN w:val="0"/>
              <w:adjustRightInd w:val="0"/>
              <w:rPr>
                <w:sz w:val="16"/>
                <w:szCs w:val="16"/>
              </w:rPr>
            </w:pPr>
            <w:r>
              <w:rPr>
                <w:sz w:val="16"/>
                <w:szCs w:val="16"/>
              </w:rPr>
              <w:t>2</w:t>
            </w:r>
          </w:p>
        </w:tc>
        <w:tc>
          <w:tcPr>
            <w:tcW w:w="480" w:type="pct"/>
          </w:tcPr>
          <w:p w14:paraId="02E8CD95" w14:textId="77777777" w:rsidR="0093640E" w:rsidRPr="00E60668" w:rsidRDefault="0093640E" w:rsidP="0093640E">
            <w:pPr>
              <w:widowControl w:val="0"/>
              <w:autoSpaceDE w:val="0"/>
              <w:autoSpaceDN w:val="0"/>
              <w:adjustRightInd w:val="0"/>
              <w:rPr>
                <w:sz w:val="16"/>
                <w:szCs w:val="16"/>
              </w:rPr>
            </w:pPr>
            <w:r>
              <w:rPr>
                <w:sz w:val="16"/>
                <w:szCs w:val="16"/>
              </w:rPr>
              <w:t>11/29</w:t>
            </w:r>
            <w:r w:rsidRPr="000E1925">
              <w:rPr>
                <w:sz w:val="16"/>
                <w:szCs w:val="16"/>
              </w:rPr>
              <w:t>/2016</w:t>
            </w:r>
          </w:p>
        </w:tc>
        <w:tc>
          <w:tcPr>
            <w:tcW w:w="1610" w:type="pct"/>
          </w:tcPr>
          <w:p w14:paraId="38237B36" w14:textId="77777777" w:rsidR="0093640E" w:rsidRPr="00E60668" w:rsidRDefault="0093640E" w:rsidP="0093640E">
            <w:pPr>
              <w:widowControl w:val="0"/>
              <w:autoSpaceDE w:val="0"/>
              <w:autoSpaceDN w:val="0"/>
              <w:adjustRightInd w:val="0"/>
              <w:rPr>
                <w:sz w:val="16"/>
                <w:szCs w:val="16"/>
              </w:rPr>
            </w:pPr>
            <w:r>
              <w:rPr>
                <w:sz w:val="16"/>
                <w:szCs w:val="16"/>
              </w:rPr>
              <w:t>Apex technology co</w:t>
            </w:r>
          </w:p>
        </w:tc>
        <w:tc>
          <w:tcPr>
            <w:tcW w:w="1538" w:type="pct"/>
          </w:tcPr>
          <w:p w14:paraId="443A954B" w14:textId="77777777" w:rsidR="0093640E" w:rsidRPr="00E60668" w:rsidRDefault="0093640E" w:rsidP="0093640E">
            <w:pPr>
              <w:widowControl w:val="0"/>
              <w:autoSpaceDE w:val="0"/>
              <w:autoSpaceDN w:val="0"/>
              <w:adjustRightInd w:val="0"/>
              <w:rPr>
                <w:sz w:val="16"/>
                <w:szCs w:val="16"/>
              </w:rPr>
            </w:pPr>
            <w:r>
              <w:rPr>
                <w:sz w:val="16"/>
                <w:szCs w:val="16"/>
              </w:rPr>
              <w:t>L</w:t>
            </w:r>
            <w:r w:rsidRPr="000E1925">
              <w:rPr>
                <w:sz w:val="16"/>
                <w:szCs w:val="16"/>
              </w:rPr>
              <w:t>exmark international inc</w:t>
            </w:r>
          </w:p>
        </w:tc>
        <w:tc>
          <w:tcPr>
            <w:tcW w:w="1172" w:type="pct"/>
          </w:tcPr>
          <w:p w14:paraId="167E4473" w14:textId="77777777" w:rsidR="0093640E" w:rsidRPr="00E60668" w:rsidRDefault="0093640E" w:rsidP="0093640E">
            <w:pPr>
              <w:widowControl w:val="0"/>
              <w:autoSpaceDE w:val="0"/>
              <w:autoSpaceDN w:val="0"/>
              <w:adjustRightInd w:val="0"/>
              <w:rPr>
                <w:sz w:val="16"/>
                <w:szCs w:val="16"/>
              </w:rPr>
            </w:pPr>
            <w:r w:rsidRPr="00E60668">
              <w:rPr>
                <w:sz w:val="16"/>
                <w:szCs w:val="16"/>
              </w:rPr>
              <w:t>Public target</w:t>
            </w:r>
          </w:p>
        </w:tc>
      </w:tr>
      <w:tr w:rsidR="0093640E" w:rsidRPr="00E60668" w14:paraId="17B40586" w14:textId="77777777" w:rsidTr="0093640E">
        <w:trPr>
          <w:trHeight w:val="144"/>
          <w:jc w:val="center"/>
        </w:trPr>
        <w:tc>
          <w:tcPr>
            <w:tcW w:w="200" w:type="pct"/>
          </w:tcPr>
          <w:p w14:paraId="0823141C" w14:textId="77777777" w:rsidR="0093640E" w:rsidRPr="00E60668" w:rsidRDefault="0093640E" w:rsidP="0093640E">
            <w:pPr>
              <w:widowControl w:val="0"/>
              <w:autoSpaceDE w:val="0"/>
              <w:autoSpaceDN w:val="0"/>
              <w:adjustRightInd w:val="0"/>
              <w:rPr>
                <w:sz w:val="16"/>
                <w:szCs w:val="16"/>
              </w:rPr>
            </w:pPr>
            <w:r>
              <w:rPr>
                <w:sz w:val="16"/>
                <w:szCs w:val="16"/>
              </w:rPr>
              <w:t>3</w:t>
            </w:r>
          </w:p>
        </w:tc>
        <w:tc>
          <w:tcPr>
            <w:tcW w:w="480" w:type="pct"/>
          </w:tcPr>
          <w:p w14:paraId="44C7357C" w14:textId="77777777" w:rsidR="0093640E" w:rsidRPr="00E60668" w:rsidRDefault="0093640E" w:rsidP="0093640E">
            <w:pPr>
              <w:widowControl w:val="0"/>
              <w:autoSpaceDE w:val="0"/>
              <w:autoSpaceDN w:val="0"/>
              <w:adjustRightInd w:val="0"/>
              <w:rPr>
                <w:sz w:val="16"/>
                <w:szCs w:val="16"/>
              </w:rPr>
            </w:pPr>
            <w:r>
              <w:rPr>
                <w:sz w:val="16"/>
                <w:szCs w:val="16"/>
              </w:rPr>
              <w:t>12/29</w:t>
            </w:r>
            <w:r w:rsidRPr="000E1925">
              <w:rPr>
                <w:sz w:val="16"/>
                <w:szCs w:val="16"/>
              </w:rPr>
              <w:t>/2017</w:t>
            </w:r>
          </w:p>
        </w:tc>
        <w:tc>
          <w:tcPr>
            <w:tcW w:w="1610" w:type="pct"/>
          </w:tcPr>
          <w:p w14:paraId="295BC28B" w14:textId="77777777" w:rsidR="0093640E" w:rsidRPr="00E60668" w:rsidRDefault="0093640E" w:rsidP="0093640E">
            <w:pPr>
              <w:widowControl w:val="0"/>
              <w:autoSpaceDE w:val="0"/>
              <w:autoSpaceDN w:val="0"/>
              <w:adjustRightInd w:val="0"/>
              <w:rPr>
                <w:sz w:val="16"/>
                <w:szCs w:val="16"/>
              </w:rPr>
            </w:pPr>
            <w:r>
              <w:rPr>
                <w:sz w:val="16"/>
                <w:szCs w:val="16"/>
              </w:rPr>
              <w:t>H</w:t>
            </w:r>
            <w:r w:rsidRPr="000E1925">
              <w:rPr>
                <w:sz w:val="16"/>
                <w:szCs w:val="16"/>
              </w:rPr>
              <w:t>na innovation finance group co</w:t>
            </w:r>
          </w:p>
        </w:tc>
        <w:tc>
          <w:tcPr>
            <w:tcW w:w="1538" w:type="pct"/>
          </w:tcPr>
          <w:p w14:paraId="404328EF" w14:textId="77777777" w:rsidR="0093640E" w:rsidRPr="00E60668" w:rsidRDefault="0093640E" w:rsidP="0093640E">
            <w:pPr>
              <w:widowControl w:val="0"/>
              <w:autoSpaceDE w:val="0"/>
              <w:autoSpaceDN w:val="0"/>
              <w:adjustRightInd w:val="0"/>
              <w:rPr>
                <w:sz w:val="16"/>
                <w:szCs w:val="16"/>
              </w:rPr>
            </w:pPr>
            <w:r>
              <w:rPr>
                <w:sz w:val="16"/>
                <w:szCs w:val="16"/>
              </w:rPr>
              <w:t>H</w:t>
            </w:r>
            <w:r w:rsidRPr="000E1925">
              <w:rPr>
                <w:sz w:val="16"/>
                <w:szCs w:val="16"/>
              </w:rPr>
              <w:t xml:space="preserve">g storage international </w:t>
            </w:r>
            <w:r>
              <w:rPr>
                <w:sz w:val="16"/>
                <w:szCs w:val="16"/>
              </w:rPr>
              <w:t>ltd</w:t>
            </w:r>
          </w:p>
        </w:tc>
        <w:tc>
          <w:tcPr>
            <w:tcW w:w="1172" w:type="pct"/>
          </w:tcPr>
          <w:p w14:paraId="6B863BE1"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7D8323CC" w14:textId="77777777" w:rsidTr="0093640E">
        <w:trPr>
          <w:trHeight w:val="144"/>
          <w:jc w:val="center"/>
        </w:trPr>
        <w:tc>
          <w:tcPr>
            <w:tcW w:w="200" w:type="pct"/>
          </w:tcPr>
          <w:p w14:paraId="7044B6F9" w14:textId="77777777" w:rsidR="0093640E" w:rsidRPr="00E60668" w:rsidRDefault="0093640E" w:rsidP="0093640E">
            <w:pPr>
              <w:widowControl w:val="0"/>
              <w:autoSpaceDE w:val="0"/>
              <w:autoSpaceDN w:val="0"/>
              <w:adjustRightInd w:val="0"/>
              <w:rPr>
                <w:sz w:val="16"/>
                <w:szCs w:val="16"/>
              </w:rPr>
            </w:pPr>
            <w:r>
              <w:rPr>
                <w:sz w:val="16"/>
                <w:szCs w:val="16"/>
              </w:rPr>
              <w:t>4</w:t>
            </w:r>
          </w:p>
        </w:tc>
        <w:tc>
          <w:tcPr>
            <w:tcW w:w="480" w:type="pct"/>
          </w:tcPr>
          <w:p w14:paraId="172C71BC" w14:textId="77777777" w:rsidR="0093640E" w:rsidRPr="00E60668" w:rsidRDefault="0093640E" w:rsidP="0093640E">
            <w:pPr>
              <w:widowControl w:val="0"/>
              <w:autoSpaceDE w:val="0"/>
              <w:autoSpaceDN w:val="0"/>
              <w:adjustRightInd w:val="0"/>
              <w:rPr>
                <w:sz w:val="16"/>
                <w:szCs w:val="16"/>
              </w:rPr>
            </w:pPr>
            <w:r>
              <w:rPr>
                <w:sz w:val="16"/>
                <w:szCs w:val="16"/>
              </w:rPr>
              <w:t>01/19</w:t>
            </w:r>
            <w:r w:rsidRPr="000E1925">
              <w:rPr>
                <w:sz w:val="16"/>
                <w:szCs w:val="16"/>
              </w:rPr>
              <w:t>/2018</w:t>
            </w:r>
          </w:p>
        </w:tc>
        <w:tc>
          <w:tcPr>
            <w:tcW w:w="1610" w:type="pct"/>
          </w:tcPr>
          <w:p w14:paraId="1F13F5C4" w14:textId="77777777" w:rsidR="0093640E" w:rsidRPr="00E60668" w:rsidRDefault="0093640E" w:rsidP="0093640E">
            <w:pPr>
              <w:widowControl w:val="0"/>
              <w:autoSpaceDE w:val="0"/>
              <w:autoSpaceDN w:val="0"/>
              <w:adjustRightInd w:val="0"/>
              <w:rPr>
                <w:sz w:val="16"/>
                <w:szCs w:val="16"/>
              </w:rPr>
            </w:pPr>
            <w:r>
              <w:rPr>
                <w:sz w:val="16"/>
                <w:szCs w:val="16"/>
              </w:rPr>
              <w:t>Creat group co</w:t>
            </w:r>
          </w:p>
        </w:tc>
        <w:tc>
          <w:tcPr>
            <w:tcW w:w="1538" w:type="pct"/>
          </w:tcPr>
          <w:p w14:paraId="5BC82A15" w14:textId="77777777" w:rsidR="0093640E" w:rsidRPr="00E60668" w:rsidRDefault="0093640E" w:rsidP="0093640E">
            <w:pPr>
              <w:widowControl w:val="0"/>
              <w:autoSpaceDE w:val="0"/>
              <w:autoSpaceDN w:val="0"/>
              <w:adjustRightInd w:val="0"/>
              <w:rPr>
                <w:sz w:val="16"/>
                <w:szCs w:val="16"/>
              </w:rPr>
            </w:pPr>
            <w:r>
              <w:rPr>
                <w:sz w:val="16"/>
                <w:szCs w:val="16"/>
              </w:rPr>
              <w:t>B</w:t>
            </w:r>
            <w:r w:rsidRPr="000E1925">
              <w:rPr>
                <w:sz w:val="16"/>
                <w:szCs w:val="16"/>
              </w:rPr>
              <w:t>iotest ag</w:t>
            </w:r>
          </w:p>
        </w:tc>
        <w:tc>
          <w:tcPr>
            <w:tcW w:w="1172" w:type="pct"/>
          </w:tcPr>
          <w:p w14:paraId="29034537"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5C1931C6" w14:textId="77777777" w:rsidTr="0093640E">
        <w:trPr>
          <w:trHeight w:val="144"/>
          <w:jc w:val="center"/>
        </w:trPr>
        <w:tc>
          <w:tcPr>
            <w:tcW w:w="200" w:type="pct"/>
          </w:tcPr>
          <w:p w14:paraId="2B013AA1" w14:textId="77777777" w:rsidR="0093640E" w:rsidRDefault="0093640E" w:rsidP="0093640E">
            <w:pPr>
              <w:widowControl w:val="0"/>
              <w:autoSpaceDE w:val="0"/>
              <w:autoSpaceDN w:val="0"/>
              <w:adjustRightInd w:val="0"/>
              <w:rPr>
                <w:sz w:val="16"/>
                <w:szCs w:val="16"/>
              </w:rPr>
            </w:pPr>
            <w:r>
              <w:rPr>
                <w:sz w:val="16"/>
                <w:szCs w:val="16"/>
              </w:rPr>
              <w:t>5</w:t>
            </w:r>
          </w:p>
        </w:tc>
        <w:tc>
          <w:tcPr>
            <w:tcW w:w="480" w:type="pct"/>
          </w:tcPr>
          <w:p w14:paraId="6932ED28" w14:textId="77777777" w:rsidR="0093640E" w:rsidRPr="00E7633A" w:rsidRDefault="0093640E" w:rsidP="0093640E">
            <w:pPr>
              <w:widowControl w:val="0"/>
              <w:autoSpaceDE w:val="0"/>
              <w:autoSpaceDN w:val="0"/>
              <w:adjustRightInd w:val="0"/>
              <w:rPr>
                <w:sz w:val="16"/>
                <w:szCs w:val="16"/>
              </w:rPr>
            </w:pPr>
            <w:r>
              <w:rPr>
                <w:sz w:val="16"/>
                <w:szCs w:val="16"/>
              </w:rPr>
              <w:t>06</w:t>
            </w:r>
            <w:r w:rsidRPr="00E7633A">
              <w:rPr>
                <w:sz w:val="16"/>
                <w:szCs w:val="16"/>
              </w:rPr>
              <w:t>/11/2018</w:t>
            </w:r>
          </w:p>
        </w:tc>
        <w:tc>
          <w:tcPr>
            <w:tcW w:w="1610" w:type="pct"/>
          </w:tcPr>
          <w:p w14:paraId="61C0F9FC" w14:textId="77777777" w:rsidR="0093640E" w:rsidRPr="00E7633A" w:rsidRDefault="0093640E" w:rsidP="0093640E">
            <w:pPr>
              <w:widowControl w:val="0"/>
              <w:autoSpaceDE w:val="0"/>
              <w:autoSpaceDN w:val="0"/>
              <w:adjustRightInd w:val="0"/>
              <w:rPr>
                <w:sz w:val="16"/>
                <w:szCs w:val="16"/>
              </w:rPr>
            </w:pPr>
            <w:r w:rsidRPr="00E7633A">
              <w:rPr>
                <w:sz w:val="16"/>
                <w:szCs w:val="16"/>
              </w:rPr>
              <w:t>China Oceanwide Holdings Group</w:t>
            </w:r>
          </w:p>
        </w:tc>
        <w:tc>
          <w:tcPr>
            <w:tcW w:w="1538" w:type="pct"/>
          </w:tcPr>
          <w:p w14:paraId="43432C50" w14:textId="77777777" w:rsidR="0093640E" w:rsidRPr="00F727EE" w:rsidRDefault="0093640E" w:rsidP="0093640E">
            <w:pPr>
              <w:widowControl w:val="0"/>
              <w:autoSpaceDE w:val="0"/>
              <w:autoSpaceDN w:val="0"/>
              <w:adjustRightInd w:val="0"/>
              <w:rPr>
                <w:sz w:val="16"/>
                <w:szCs w:val="16"/>
              </w:rPr>
            </w:pPr>
            <w:r w:rsidRPr="00F727EE">
              <w:rPr>
                <w:sz w:val="16"/>
                <w:szCs w:val="16"/>
              </w:rPr>
              <w:t>Genworth Financial</w:t>
            </w:r>
          </w:p>
        </w:tc>
        <w:tc>
          <w:tcPr>
            <w:tcW w:w="1172" w:type="pct"/>
          </w:tcPr>
          <w:p w14:paraId="0307C4E5" w14:textId="3DD76079" w:rsidR="0093640E" w:rsidRPr="00F727EE" w:rsidRDefault="0093640E" w:rsidP="007E7B76">
            <w:pPr>
              <w:widowControl w:val="0"/>
              <w:autoSpaceDE w:val="0"/>
              <w:autoSpaceDN w:val="0"/>
              <w:adjustRightInd w:val="0"/>
              <w:rPr>
                <w:sz w:val="16"/>
                <w:szCs w:val="16"/>
              </w:rPr>
            </w:pPr>
            <w:r w:rsidRPr="00F727EE">
              <w:rPr>
                <w:sz w:val="16"/>
                <w:szCs w:val="16"/>
              </w:rPr>
              <w:t>Public target</w:t>
            </w:r>
          </w:p>
        </w:tc>
      </w:tr>
      <w:tr w:rsidR="0093640E" w:rsidRPr="00E60668" w14:paraId="1498B905" w14:textId="77777777" w:rsidTr="0093640E">
        <w:trPr>
          <w:trHeight w:val="144"/>
          <w:jc w:val="center"/>
        </w:trPr>
        <w:tc>
          <w:tcPr>
            <w:tcW w:w="200" w:type="pct"/>
          </w:tcPr>
          <w:p w14:paraId="4D9755B1" w14:textId="77777777" w:rsidR="0093640E" w:rsidRPr="00E60668" w:rsidRDefault="0093640E" w:rsidP="0093640E">
            <w:pPr>
              <w:widowControl w:val="0"/>
              <w:autoSpaceDE w:val="0"/>
              <w:autoSpaceDN w:val="0"/>
              <w:adjustRightInd w:val="0"/>
              <w:rPr>
                <w:sz w:val="16"/>
                <w:szCs w:val="16"/>
              </w:rPr>
            </w:pPr>
            <w:r>
              <w:rPr>
                <w:sz w:val="16"/>
                <w:szCs w:val="16"/>
              </w:rPr>
              <w:t>6</w:t>
            </w:r>
          </w:p>
        </w:tc>
        <w:tc>
          <w:tcPr>
            <w:tcW w:w="480" w:type="pct"/>
          </w:tcPr>
          <w:p w14:paraId="41BF5333" w14:textId="77777777" w:rsidR="0093640E" w:rsidRPr="00E60668" w:rsidRDefault="0093640E" w:rsidP="0093640E">
            <w:pPr>
              <w:widowControl w:val="0"/>
              <w:autoSpaceDE w:val="0"/>
              <w:autoSpaceDN w:val="0"/>
              <w:adjustRightInd w:val="0"/>
              <w:rPr>
                <w:sz w:val="16"/>
                <w:szCs w:val="16"/>
              </w:rPr>
            </w:pPr>
            <w:r>
              <w:rPr>
                <w:sz w:val="16"/>
                <w:szCs w:val="16"/>
              </w:rPr>
              <w:t>11/20</w:t>
            </w:r>
            <w:r w:rsidRPr="000E1925">
              <w:rPr>
                <w:sz w:val="16"/>
                <w:szCs w:val="16"/>
              </w:rPr>
              <w:t>/2018</w:t>
            </w:r>
          </w:p>
        </w:tc>
        <w:tc>
          <w:tcPr>
            <w:tcW w:w="1610" w:type="pct"/>
          </w:tcPr>
          <w:p w14:paraId="63E79495" w14:textId="77777777" w:rsidR="0093640E" w:rsidRPr="00E60668" w:rsidRDefault="0093640E" w:rsidP="0093640E">
            <w:pPr>
              <w:widowControl w:val="0"/>
              <w:autoSpaceDE w:val="0"/>
              <w:autoSpaceDN w:val="0"/>
              <w:adjustRightInd w:val="0"/>
              <w:rPr>
                <w:sz w:val="16"/>
                <w:szCs w:val="16"/>
              </w:rPr>
            </w:pPr>
            <w:r>
              <w:rPr>
                <w:sz w:val="16"/>
                <w:szCs w:val="16"/>
              </w:rPr>
              <w:t>Cosco shipping holdings co</w:t>
            </w:r>
          </w:p>
        </w:tc>
        <w:tc>
          <w:tcPr>
            <w:tcW w:w="1538" w:type="pct"/>
          </w:tcPr>
          <w:p w14:paraId="463BF5CA" w14:textId="77777777" w:rsidR="0093640E" w:rsidRPr="00E60668" w:rsidRDefault="0093640E" w:rsidP="0093640E">
            <w:pPr>
              <w:widowControl w:val="0"/>
              <w:autoSpaceDE w:val="0"/>
              <w:autoSpaceDN w:val="0"/>
              <w:adjustRightInd w:val="0"/>
              <w:rPr>
                <w:sz w:val="16"/>
                <w:szCs w:val="16"/>
              </w:rPr>
            </w:pPr>
            <w:r>
              <w:rPr>
                <w:sz w:val="16"/>
                <w:szCs w:val="16"/>
              </w:rPr>
              <w:t>O</w:t>
            </w:r>
            <w:r w:rsidRPr="000E1925">
              <w:rPr>
                <w:sz w:val="16"/>
                <w:szCs w:val="16"/>
              </w:rPr>
              <w:t>rient overs</w:t>
            </w:r>
            <w:r>
              <w:rPr>
                <w:sz w:val="16"/>
                <w:szCs w:val="16"/>
              </w:rPr>
              <w:t>eas international</w:t>
            </w:r>
            <w:r w:rsidRPr="000E1925">
              <w:rPr>
                <w:sz w:val="16"/>
                <w:szCs w:val="16"/>
              </w:rPr>
              <w:t xml:space="preserve"> </w:t>
            </w:r>
            <w:r>
              <w:rPr>
                <w:sz w:val="16"/>
                <w:szCs w:val="16"/>
              </w:rPr>
              <w:t>ltd</w:t>
            </w:r>
          </w:p>
        </w:tc>
        <w:tc>
          <w:tcPr>
            <w:tcW w:w="1172" w:type="pct"/>
          </w:tcPr>
          <w:p w14:paraId="0551222D"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2FA0F915" w14:textId="77777777" w:rsidTr="0093640E">
        <w:trPr>
          <w:trHeight w:val="144"/>
          <w:jc w:val="center"/>
        </w:trPr>
        <w:tc>
          <w:tcPr>
            <w:tcW w:w="200" w:type="pct"/>
            <w:tcBorders>
              <w:top w:val="single" w:sz="4" w:space="0" w:color="auto"/>
              <w:left w:val="nil"/>
              <w:bottom w:val="nil"/>
              <w:right w:val="nil"/>
            </w:tcBorders>
          </w:tcPr>
          <w:p w14:paraId="41FEAFC9" w14:textId="77777777" w:rsidR="0093640E" w:rsidRPr="00E60668" w:rsidRDefault="0093640E" w:rsidP="0093640E">
            <w:pPr>
              <w:widowControl w:val="0"/>
              <w:autoSpaceDE w:val="0"/>
              <w:autoSpaceDN w:val="0"/>
              <w:adjustRightInd w:val="0"/>
              <w:rPr>
                <w:sz w:val="16"/>
                <w:szCs w:val="16"/>
              </w:rPr>
            </w:pPr>
          </w:p>
        </w:tc>
        <w:tc>
          <w:tcPr>
            <w:tcW w:w="480" w:type="pct"/>
            <w:tcBorders>
              <w:top w:val="single" w:sz="4" w:space="0" w:color="auto"/>
              <w:left w:val="nil"/>
              <w:bottom w:val="nil"/>
              <w:right w:val="nil"/>
            </w:tcBorders>
          </w:tcPr>
          <w:p w14:paraId="62AA89FC" w14:textId="77777777" w:rsidR="0093640E" w:rsidRPr="00E60668" w:rsidRDefault="0093640E" w:rsidP="0093640E">
            <w:pPr>
              <w:widowControl w:val="0"/>
              <w:autoSpaceDE w:val="0"/>
              <w:autoSpaceDN w:val="0"/>
              <w:adjustRightInd w:val="0"/>
              <w:rPr>
                <w:sz w:val="16"/>
                <w:szCs w:val="16"/>
              </w:rPr>
            </w:pPr>
          </w:p>
        </w:tc>
        <w:tc>
          <w:tcPr>
            <w:tcW w:w="1610" w:type="pct"/>
            <w:tcBorders>
              <w:top w:val="single" w:sz="4" w:space="0" w:color="auto"/>
              <w:left w:val="nil"/>
              <w:bottom w:val="nil"/>
              <w:right w:val="nil"/>
            </w:tcBorders>
          </w:tcPr>
          <w:p w14:paraId="437C6BD4" w14:textId="77777777" w:rsidR="0093640E" w:rsidRPr="00E60668" w:rsidRDefault="0093640E" w:rsidP="0093640E">
            <w:pPr>
              <w:widowControl w:val="0"/>
              <w:autoSpaceDE w:val="0"/>
              <w:autoSpaceDN w:val="0"/>
              <w:adjustRightInd w:val="0"/>
              <w:rPr>
                <w:sz w:val="16"/>
                <w:szCs w:val="16"/>
              </w:rPr>
            </w:pPr>
          </w:p>
        </w:tc>
        <w:tc>
          <w:tcPr>
            <w:tcW w:w="1538" w:type="pct"/>
            <w:tcBorders>
              <w:top w:val="single" w:sz="4" w:space="0" w:color="auto"/>
              <w:left w:val="nil"/>
              <w:bottom w:val="nil"/>
              <w:right w:val="nil"/>
            </w:tcBorders>
          </w:tcPr>
          <w:p w14:paraId="17417158" w14:textId="77777777" w:rsidR="0093640E" w:rsidRPr="00E60668" w:rsidRDefault="0093640E" w:rsidP="0093640E">
            <w:pPr>
              <w:widowControl w:val="0"/>
              <w:autoSpaceDE w:val="0"/>
              <w:autoSpaceDN w:val="0"/>
              <w:adjustRightInd w:val="0"/>
              <w:rPr>
                <w:sz w:val="16"/>
                <w:szCs w:val="16"/>
              </w:rPr>
            </w:pPr>
          </w:p>
        </w:tc>
        <w:tc>
          <w:tcPr>
            <w:tcW w:w="1172" w:type="pct"/>
            <w:tcBorders>
              <w:top w:val="single" w:sz="4" w:space="0" w:color="auto"/>
              <w:left w:val="nil"/>
              <w:bottom w:val="nil"/>
              <w:right w:val="nil"/>
            </w:tcBorders>
          </w:tcPr>
          <w:p w14:paraId="44A601D4" w14:textId="77777777" w:rsidR="0093640E" w:rsidRPr="00E60668" w:rsidRDefault="0093640E" w:rsidP="0093640E">
            <w:pPr>
              <w:widowControl w:val="0"/>
              <w:autoSpaceDE w:val="0"/>
              <w:autoSpaceDN w:val="0"/>
              <w:adjustRightInd w:val="0"/>
              <w:rPr>
                <w:sz w:val="16"/>
                <w:szCs w:val="16"/>
              </w:rPr>
            </w:pPr>
          </w:p>
        </w:tc>
      </w:tr>
      <w:tr w:rsidR="0093640E" w:rsidRPr="00E60668" w14:paraId="5462ACDE" w14:textId="77777777" w:rsidTr="0093640E">
        <w:trPr>
          <w:trHeight w:val="144"/>
          <w:jc w:val="center"/>
        </w:trPr>
        <w:tc>
          <w:tcPr>
            <w:tcW w:w="5000" w:type="pct"/>
            <w:gridSpan w:val="5"/>
            <w:tcBorders>
              <w:top w:val="nil"/>
              <w:left w:val="nil"/>
              <w:bottom w:val="nil"/>
              <w:right w:val="nil"/>
            </w:tcBorders>
          </w:tcPr>
          <w:p w14:paraId="4D807704" w14:textId="77777777" w:rsidR="0093640E" w:rsidRPr="00E60668" w:rsidRDefault="0093640E" w:rsidP="0093640E">
            <w:pPr>
              <w:widowControl w:val="0"/>
              <w:autoSpaceDE w:val="0"/>
              <w:autoSpaceDN w:val="0"/>
              <w:adjustRightInd w:val="0"/>
              <w:jc w:val="both"/>
              <w:rPr>
                <w:sz w:val="16"/>
                <w:szCs w:val="16"/>
              </w:rPr>
            </w:pPr>
            <w:r>
              <w:rPr>
                <w:sz w:val="16"/>
                <w:szCs w:val="16"/>
              </w:rPr>
              <w:t>This</w:t>
            </w:r>
            <w:r w:rsidRPr="00E60668">
              <w:rPr>
                <w:sz w:val="16"/>
                <w:szCs w:val="16"/>
              </w:rPr>
              <w:t xml:space="preserve"> table presents the list of </w:t>
            </w:r>
            <w:r>
              <w:rPr>
                <w:sz w:val="16"/>
                <w:szCs w:val="16"/>
              </w:rPr>
              <w:t xml:space="preserve">detected </w:t>
            </w:r>
            <w:r w:rsidRPr="00E60668">
              <w:rPr>
                <w:sz w:val="16"/>
                <w:szCs w:val="16"/>
              </w:rPr>
              <w:t xml:space="preserve">CFIUS </w:t>
            </w:r>
            <w:r w:rsidRPr="00315BBA">
              <w:rPr>
                <w:sz w:val="16"/>
                <w:szCs w:val="16"/>
              </w:rPr>
              <w:t xml:space="preserve">mitigation agreements </w:t>
            </w:r>
            <w:r>
              <w:rPr>
                <w:sz w:val="16"/>
                <w:szCs w:val="16"/>
              </w:rPr>
              <w:t xml:space="preserve">before closing </w:t>
            </w:r>
            <w:r w:rsidRPr="00E60668">
              <w:rPr>
                <w:sz w:val="16"/>
                <w:szCs w:val="16"/>
              </w:rPr>
              <w:t>during FINSA. Data are collected from Factiva, SEC EDGAR, and the financial press. We remain available to provide any additional identifying information regarding CFIUS interventions.</w:t>
            </w:r>
          </w:p>
        </w:tc>
      </w:tr>
    </w:tbl>
    <w:p w14:paraId="688EA75F" w14:textId="77777777" w:rsidR="0093640E" w:rsidRDefault="0093640E" w:rsidP="0093640E">
      <w:pPr>
        <w:spacing w:after="160" w:line="259" w:lineRule="auto"/>
        <w:rPr>
          <w:rStyle w:val="Normal2Car"/>
        </w:rPr>
      </w:pPr>
    </w:p>
    <w:p w14:paraId="43B7E8D7" w14:textId="77777777" w:rsidR="0093640E" w:rsidRDefault="0093640E" w:rsidP="0093640E">
      <w:pPr>
        <w:spacing w:after="160" w:line="259" w:lineRule="auto"/>
        <w:rPr>
          <w:rStyle w:val="Normal2Car"/>
        </w:rPr>
      </w:pP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50"/>
        <w:gridCol w:w="3187"/>
        <w:gridCol w:w="3045"/>
        <w:gridCol w:w="2320"/>
      </w:tblGrid>
      <w:tr w:rsidR="0093640E" w:rsidRPr="00E60668" w14:paraId="31F4CAEB" w14:textId="77777777" w:rsidTr="0093640E">
        <w:trPr>
          <w:trHeight w:val="144"/>
          <w:jc w:val="center"/>
        </w:trPr>
        <w:tc>
          <w:tcPr>
            <w:tcW w:w="5000" w:type="pct"/>
            <w:gridSpan w:val="5"/>
            <w:tcBorders>
              <w:top w:val="nil"/>
              <w:left w:val="nil"/>
              <w:bottom w:val="nil"/>
              <w:right w:val="nil"/>
            </w:tcBorders>
          </w:tcPr>
          <w:p w14:paraId="016C4737" w14:textId="77777777" w:rsidR="0093640E" w:rsidRPr="00E60668" w:rsidRDefault="0093640E" w:rsidP="0093640E">
            <w:pPr>
              <w:widowControl w:val="0"/>
              <w:autoSpaceDE w:val="0"/>
              <w:autoSpaceDN w:val="0"/>
              <w:adjustRightInd w:val="0"/>
              <w:rPr>
                <w:b/>
                <w:bCs/>
                <w:sz w:val="16"/>
                <w:szCs w:val="16"/>
              </w:rPr>
            </w:pPr>
            <w:r w:rsidRPr="00E60668">
              <w:rPr>
                <w:b/>
                <w:bCs/>
                <w:sz w:val="16"/>
                <w:szCs w:val="16"/>
              </w:rPr>
              <w:t>Table A</w:t>
            </w:r>
            <w:r>
              <w:rPr>
                <w:b/>
                <w:bCs/>
                <w:sz w:val="16"/>
                <w:szCs w:val="16"/>
              </w:rPr>
              <w:t>6</w:t>
            </w:r>
          </w:p>
        </w:tc>
      </w:tr>
      <w:tr w:rsidR="0093640E" w:rsidRPr="00E60668" w14:paraId="51E1052B" w14:textId="77777777" w:rsidTr="0093640E">
        <w:trPr>
          <w:trHeight w:val="144"/>
          <w:jc w:val="center"/>
        </w:trPr>
        <w:tc>
          <w:tcPr>
            <w:tcW w:w="5000" w:type="pct"/>
            <w:gridSpan w:val="5"/>
            <w:tcBorders>
              <w:top w:val="nil"/>
              <w:left w:val="nil"/>
              <w:bottom w:val="single" w:sz="4" w:space="0" w:color="auto"/>
              <w:right w:val="nil"/>
            </w:tcBorders>
          </w:tcPr>
          <w:p w14:paraId="17196D38" w14:textId="57CE4035" w:rsidR="0093640E" w:rsidRPr="00E60668" w:rsidRDefault="0093640E" w:rsidP="0093640E">
            <w:pPr>
              <w:widowControl w:val="0"/>
              <w:autoSpaceDE w:val="0"/>
              <w:autoSpaceDN w:val="0"/>
              <w:adjustRightInd w:val="0"/>
              <w:rPr>
                <w:b/>
                <w:bCs/>
                <w:sz w:val="16"/>
                <w:szCs w:val="16"/>
              </w:rPr>
            </w:pPr>
            <w:r w:rsidRPr="00E60668">
              <w:rPr>
                <w:b/>
                <w:bCs/>
                <w:sz w:val="16"/>
                <w:szCs w:val="16"/>
              </w:rPr>
              <w:t xml:space="preserve">List of CFIUS </w:t>
            </w:r>
            <w:r w:rsidRPr="00DB0C40">
              <w:rPr>
                <w:b/>
                <w:bCs/>
                <w:sz w:val="16"/>
                <w:szCs w:val="16"/>
              </w:rPr>
              <w:t xml:space="preserve">unwindings </w:t>
            </w:r>
            <w:r>
              <w:rPr>
                <w:b/>
                <w:bCs/>
                <w:sz w:val="16"/>
                <w:szCs w:val="16"/>
              </w:rPr>
              <w:t>after closing</w:t>
            </w:r>
            <w:r w:rsidRPr="00E60668">
              <w:rPr>
                <w:b/>
                <w:bCs/>
                <w:sz w:val="16"/>
                <w:szCs w:val="16"/>
              </w:rPr>
              <w:t xml:space="preserve"> during FINSA</w:t>
            </w:r>
          </w:p>
          <w:p w14:paraId="457FC623" w14:textId="77777777" w:rsidR="0093640E" w:rsidRPr="00E60668" w:rsidRDefault="0093640E" w:rsidP="0093640E">
            <w:pPr>
              <w:widowControl w:val="0"/>
              <w:autoSpaceDE w:val="0"/>
              <w:autoSpaceDN w:val="0"/>
              <w:adjustRightInd w:val="0"/>
              <w:jc w:val="both"/>
              <w:rPr>
                <w:sz w:val="16"/>
                <w:szCs w:val="16"/>
              </w:rPr>
            </w:pPr>
          </w:p>
        </w:tc>
      </w:tr>
      <w:tr w:rsidR="0093640E" w:rsidRPr="00E60668" w14:paraId="4F194AB5" w14:textId="77777777" w:rsidTr="0093640E">
        <w:trPr>
          <w:trHeight w:val="144"/>
          <w:jc w:val="center"/>
        </w:trPr>
        <w:tc>
          <w:tcPr>
            <w:tcW w:w="200" w:type="pct"/>
            <w:tcBorders>
              <w:top w:val="single" w:sz="4" w:space="0" w:color="auto"/>
            </w:tcBorders>
            <w:hideMark/>
          </w:tcPr>
          <w:p w14:paraId="409019B0" w14:textId="77777777" w:rsidR="0093640E" w:rsidRPr="00E60668" w:rsidRDefault="0093640E" w:rsidP="0093640E">
            <w:pPr>
              <w:widowControl w:val="0"/>
              <w:autoSpaceDE w:val="0"/>
              <w:autoSpaceDN w:val="0"/>
              <w:adjustRightInd w:val="0"/>
              <w:rPr>
                <w:sz w:val="16"/>
                <w:szCs w:val="16"/>
              </w:rPr>
            </w:pPr>
            <w:r w:rsidRPr="00E60668">
              <w:rPr>
                <w:b/>
                <w:bCs/>
                <w:sz w:val="16"/>
                <w:szCs w:val="16"/>
              </w:rPr>
              <w:t>ID</w:t>
            </w:r>
          </w:p>
        </w:tc>
        <w:tc>
          <w:tcPr>
            <w:tcW w:w="480" w:type="pct"/>
            <w:tcBorders>
              <w:top w:val="single" w:sz="4" w:space="0" w:color="auto"/>
            </w:tcBorders>
          </w:tcPr>
          <w:p w14:paraId="73365152" w14:textId="77777777" w:rsidR="0093640E" w:rsidRPr="00E60668" w:rsidRDefault="0093640E" w:rsidP="0093640E">
            <w:pPr>
              <w:widowControl w:val="0"/>
              <w:autoSpaceDE w:val="0"/>
              <w:autoSpaceDN w:val="0"/>
              <w:adjustRightInd w:val="0"/>
              <w:rPr>
                <w:sz w:val="16"/>
                <w:szCs w:val="16"/>
              </w:rPr>
            </w:pPr>
            <w:r w:rsidRPr="00E60668">
              <w:rPr>
                <w:b/>
                <w:bCs/>
                <w:sz w:val="16"/>
                <w:szCs w:val="16"/>
              </w:rPr>
              <w:t>Date</w:t>
            </w:r>
          </w:p>
        </w:tc>
        <w:tc>
          <w:tcPr>
            <w:tcW w:w="1610" w:type="pct"/>
            <w:tcBorders>
              <w:top w:val="single" w:sz="4" w:space="0" w:color="auto"/>
            </w:tcBorders>
          </w:tcPr>
          <w:p w14:paraId="05DAB592" w14:textId="77777777" w:rsidR="0093640E" w:rsidRPr="00E60668" w:rsidRDefault="0093640E" w:rsidP="0093640E">
            <w:pPr>
              <w:widowControl w:val="0"/>
              <w:autoSpaceDE w:val="0"/>
              <w:autoSpaceDN w:val="0"/>
              <w:adjustRightInd w:val="0"/>
              <w:rPr>
                <w:sz w:val="16"/>
                <w:szCs w:val="16"/>
              </w:rPr>
            </w:pPr>
            <w:r w:rsidRPr="00E60668">
              <w:rPr>
                <w:b/>
                <w:bCs/>
                <w:sz w:val="16"/>
                <w:szCs w:val="16"/>
              </w:rPr>
              <w:t>Buyer</w:t>
            </w:r>
          </w:p>
        </w:tc>
        <w:tc>
          <w:tcPr>
            <w:tcW w:w="1538" w:type="pct"/>
            <w:tcBorders>
              <w:top w:val="single" w:sz="4" w:space="0" w:color="auto"/>
            </w:tcBorders>
          </w:tcPr>
          <w:p w14:paraId="32746267" w14:textId="77777777" w:rsidR="0093640E" w:rsidRPr="00E60668" w:rsidRDefault="0093640E" w:rsidP="0093640E">
            <w:pPr>
              <w:widowControl w:val="0"/>
              <w:autoSpaceDE w:val="0"/>
              <w:autoSpaceDN w:val="0"/>
              <w:adjustRightInd w:val="0"/>
              <w:rPr>
                <w:sz w:val="16"/>
                <w:szCs w:val="16"/>
              </w:rPr>
            </w:pPr>
            <w:r w:rsidRPr="00E60668">
              <w:rPr>
                <w:b/>
                <w:bCs/>
                <w:sz w:val="16"/>
                <w:szCs w:val="16"/>
              </w:rPr>
              <w:t>Target</w:t>
            </w:r>
          </w:p>
        </w:tc>
        <w:tc>
          <w:tcPr>
            <w:tcW w:w="1172" w:type="pct"/>
            <w:tcBorders>
              <w:top w:val="single" w:sz="4" w:space="0" w:color="auto"/>
            </w:tcBorders>
          </w:tcPr>
          <w:p w14:paraId="35EFE462" w14:textId="77777777" w:rsidR="0093640E" w:rsidRPr="00E60668" w:rsidRDefault="0093640E" w:rsidP="0093640E">
            <w:pPr>
              <w:widowControl w:val="0"/>
              <w:autoSpaceDE w:val="0"/>
              <w:autoSpaceDN w:val="0"/>
              <w:adjustRightInd w:val="0"/>
              <w:rPr>
                <w:sz w:val="16"/>
                <w:szCs w:val="16"/>
              </w:rPr>
            </w:pPr>
            <w:r w:rsidRPr="00E60668">
              <w:rPr>
                <w:b/>
                <w:bCs/>
                <w:sz w:val="16"/>
                <w:szCs w:val="16"/>
              </w:rPr>
              <w:t>Description</w:t>
            </w:r>
          </w:p>
        </w:tc>
      </w:tr>
      <w:tr w:rsidR="0093640E" w:rsidRPr="00E60668" w14:paraId="66AA51AA" w14:textId="77777777" w:rsidTr="0093640E">
        <w:trPr>
          <w:trHeight w:val="144"/>
          <w:jc w:val="center"/>
        </w:trPr>
        <w:tc>
          <w:tcPr>
            <w:tcW w:w="200" w:type="pct"/>
          </w:tcPr>
          <w:p w14:paraId="1853EA0F" w14:textId="77777777" w:rsidR="0093640E" w:rsidRPr="007305D7" w:rsidRDefault="0093640E" w:rsidP="0093640E">
            <w:pPr>
              <w:widowControl w:val="0"/>
              <w:autoSpaceDE w:val="0"/>
              <w:autoSpaceDN w:val="0"/>
              <w:adjustRightInd w:val="0"/>
              <w:rPr>
                <w:sz w:val="16"/>
                <w:szCs w:val="16"/>
              </w:rPr>
            </w:pPr>
            <w:r w:rsidRPr="007305D7">
              <w:rPr>
                <w:sz w:val="16"/>
                <w:szCs w:val="16"/>
              </w:rPr>
              <w:t>1</w:t>
            </w:r>
          </w:p>
        </w:tc>
        <w:tc>
          <w:tcPr>
            <w:tcW w:w="480" w:type="pct"/>
          </w:tcPr>
          <w:p w14:paraId="6646EEEE" w14:textId="77777777" w:rsidR="0093640E" w:rsidRPr="007305D7" w:rsidRDefault="0093640E" w:rsidP="0093640E">
            <w:pPr>
              <w:widowControl w:val="0"/>
              <w:autoSpaceDE w:val="0"/>
              <w:autoSpaceDN w:val="0"/>
              <w:adjustRightInd w:val="0"/>
              <w:rPr>
                <w:sz w:val="16"/>
                <w:szCs w:val="16"/>
              </w:rPr>
            </w:pPr>
            <w:r w:rsidRPr="007305D7">
              <w:rPr>
                <w:sz w:val="16"/>
                <w:szCs w:val="16"/>
              </w:rPr>
              <w:t>02/02/2011</w:t>
            </w:r>
          </w:p>
        </w:tc>
        <w:tc>
          <w:tcPr>
            <w:tcW w:w="1610" w:type="pct"/>
          </w:tcPr>
          <w:p w14:paraId="4A49041E" w14:textId="77777777" w:rsidR="0093640E" w:rsidRPr="007305D7" w:rsidRDefault="0093640E" w:rsidP="0093640E">
            <w:pPr>
              <w:widowControl w:val="0"/>
              <w:autoSpaceDE w:val="0"/>
              <w:autoSpaceDN w:val="0"/>
              <w:adjustRightInd w:val="0"/>
              <w:rPr>
                <w:sz w:val="16"/>
                <w:szCs w:val="16"/>
              </w:rPr>
            </w:pPr>
            <w:r w:rsidRPr="007305D7">
              <w:rPr>
                <w:sz w:val="16"/>
                <w:szCs w:val="16"/>
              </w:rPr>
              <w:t>Cmail.ru</w:t>
            </w:r>
          </w:p>
        </w:tc>
        <w:tc>
          <w:tcPr>
            <w:tcW w:w="1538" w:type="pct"/>
          </w:tcPr>
          <w:p w14:paraId="6E2FBCB3" w14:textId="77777777" w:rsidR="0093640E" w:rsidRPr="007305D7" w:rsidRDefault="0093640E" w:rsidP="0093640E">
            <w:pPr>
              <w:widowControl w:val="0"/>
              <w:autoSpaceDE w:val="0"/>
              <w:autoSpaceDN w:val="0"/>
              <w:adjustRightInd w:val="0"/>
              <w:rPr>
                <w:sz w:val="16"/>
                <w:szCs w:val="16"/>
              </w:rPr>
            </w:pPr>
            <w:r w:rsidRPr="007305D7">
              <w:rPr>
                <w:sz w:val="16"/>
                <w:szCs w:val="16"/>
              </w:rPr>
              <w:t>Icq unit</w:t>
            </w:r>
          </w:p>
        </w:tc>
        <w:tc>
          <w:tcPr>
            <w:tcW w:w="1172" w:type="pct"/>
          </w:tcPr>
          <w:p w14:paraId="38671C02" w14:textId="77777777" w:rsidR="0093640E" w:rsidRPr="00E60668" w:rsidRDefault="0093640E" w:rsidP="0093640E">
            <w:pPr>
              <w:widowControl w:val="0"/>
              <w:autoSpaceDE w:val="0"/>
              <w:autoSpaceDN w:val="0"/>
              <w:adjustRightInd w:val="0"/>
              <w:rPr>
                <w:sz w:val="16"/>
                <w:szCs w:val="16"/>
              </w:rPr>
            </w:pPr>
            <w:r w:rsidRPr="00E60668">
              <w:rPr>
                <w:sz w:val="16"/>
                <w:szCs w:val="16"/>
              </w:rPr>
              <w:t>Asset deal</w:t>
            </w:r>
            <w:r>
              <w:rPr>
                <w:sz w:val="16"/>
                <w:szCs w:val="16"/>
              </w:rPr>
              <w:t xml:space="preserve"> (missing sic)</w:t>
            </w:r>
          </w:p>
        </w:tc>
      </w:tr>
      <w:tr w:rsidR="0093640E" w:rsidRPr="00E60668" w14:paraId="41E6E68D" w14:textId="77777777" w:rsidTr="0093640E">
        <w:trPr>
          <w:trHeight w:val="144"/>
          <w:jc w:val="center"/>
        </w:trPr>
        <w:tc>
          <w:tcPr>
            <w:tcW w:w="200" w:type="pct"/>
          </w:tcPr>
          <w:p w14:paraId="2F0BD7E7" w14:textId="77777777" w:rsidR="0093640E" w:rsidRPr="007305D7" w:rsidRDefault="0093640E" w:rsidP="0093640E">
            <w:pPr>
              <w:widowControl w:val="0"/>
              <w:autoSpaceDE w:val="0"/>
              <w:autoSpaceDN w:val="0"/>
              <w:adjustRightInd w:val="0"/>
              <w:rPr>
                <w:sz w:val="16"/>
                <w:szCs w:val="16"/>
              </w:rPr>
            </w:pPr>
            <w:r w:rsidRPr="007305D7">
              <w:rPr>
                <w:sz w:val="16"/>
                <w:szCs w:val="16"/>
              </w:rPr>
              <w:t>2</w:t>
            </w:r>
          </w:p>
        </w:tc>
        <w:tc>
          <w:tcPr>
            <w:tcW w:w="480" w:type="pct"/>
          </w:tcPr>
          <w:p w14:paraId="74667708" w14:textId="77777777" w:rsidR="0093640E" w:rsidRPr="007305D7" w:rsidRDefault="0093640E" w:rsidP="0093640E">
            <w:pPr>
              <w:widowControl w:val="0"/>
              <w:autoSpaceDE w:val="0"/>
              <w:autoSpaceDN w:val="0"/>
              <w:adjustRightInd w:val="0"/>
              <w:rPr>
                <w:sz w:val="16"/>
                <w:szCs w:val="16"/>
              </w:rPr>
            </w:pPr>
            <w:r w:rsidRPr="007305D7">
              <w:rPr>
                <w:sz w:val="16"/>
                <w:szCs w:val="16"/>
              </w:rPr>
              <w:t>02/21/2011</w:t>
            </w:r>
          </w:p>
        </w:tc>
        <w:tc>
          <w:tcPr>
            <w:tcW w:w="1610" w:type="pct"/>
          </w:tcPr>
          <w:p w14:paraId="19F15E00" w14:textId="77777777" w:rsidR="0093640E" w:rsidRPr="007305D7" w:rsidRDefault="0093640E" w:rsidP="0093640E">
            <w:pPr>
              <w:widowControl w:val="0"/>
              <w:autoSpaceDE w:val="0"/>
              <w:autoSpaceDN w:val="0"/>
              <w:adjustRightInd w:val="0"/>
              <w:rPr>
                <w:sz w:val="16"/>
                <w:szCs w:val="16"/>
              </w:rPr>
            </w:pPr>
            <w:r w:rsidRPr="007305D7">
              <w:rPr>
                <w:sz w:val="16"/>
                <w:szCs w:val="16"/>
              </w:rPr>
              <w:t>Huawei technologies co</w:t>
            </w:r>
          </w:p>
        </w:tc>
        <w:tc>
          <w:tcPr>
            <w:tcW w:w="1538" w:type="pct"/>
          </w:tcPr>
          <w:p w14:paraId="5BAFF5A6" w14:textId="77777777" w:rsidR="0093640E" w:rsidRPr="007305D7" w:rsidRDefault="0093640E" w:rsidP="0093640E">
            <w:pPr>
              <w:widowControl w:val="0"/>
              <w:autoSpaceDE w:val="0"/>
              <w:autoSpaceDN w:val="0"/>
              <w:adjustRightInd w:val="0"/>
              <w:rPr>
                <w:sz w:val="16"/>
                <w:szCs w:val="16"/>
              </w:rPr>
            </w:pPr>
            <w:r w:rsidRPr="007305D7">
              <w:rPr>
                <w:sz w:val="16"/>
                <w:szCs w:val="16"/>
              </w:rPr>
              <w:t>3leaf systems inc</w:t>
            </w:r>
          </w:p>
        </w:tc>
        <w:tc>
          <w:tcPr>
            <w:tcW w:w="1172" w:type="pct"/>
          </w:tcPr>
          <w:p w14:paraId="086FBE5F" w14:textId="5F3688E2" w:rsidR="0093640E" w:rsidRPr="00E60668" w:rsidRDefault="0093640E" w:rsidP="00692229">
            <w:pPr>
              <w:widowControl w:val="0"/>
              <w:autoSpaceDE w:val="0"/>
              <w:autoSpaceDN w:val="0"/>
              <w:adjustRightInd w:val="0"/>
              <w:rPr>
                <w:sz w:val="16"/>
                <w:szCs w:val="16"/>
              </w:rPr>
            </w:pPr>
            <w:r w:rsidRPr="00E60668">
              <w:rPr>
                <w:sz w:val="16"/>
                <w:szCs w:val="16"/>
              </w:rPr>
              <w:t>Private target</w:t>
            </w:r>
          </w:p>
        </w:tc>
      </w:tr>
      <w:tr w:rsidR="0093640E" w:rsidRPr="00E60668" w14:paraId="20FCFE23" w14:textId="77777777" w:rsidTr="0093640E">
        <w:trPr>
          <w:trHeight w:val="144"/>
          <w:jc w:val="center"/>
        </w:trPr>
        <w:tc>
          <w:tcPr>
            <w:tcW w:w="200" w:type="pct"/>
          </w:tcPr>
          <w:p w14:paraId="52279739" w14:textId="77777777" w:rsidR="0093640E" w:rsidRPr="007305D7" w:rsidRDefault="0093640E" w:rsidP="0093640E">
            <w:pPr>
              <w:widowControl w:val="0"/>
              <w:autoSpaceDE w:val="0"/>
              <w:autoSpaceDN w:val="0"/>
              <w:adjustRightInd w:val="0"/>
              <w:rPr>
                <w:sz w:val="16"/>
                <w:szCs w:val="16"/>
              </w:rPr>
            </w:pPr>
            <w:r w:rsidRPr="007305D7">
              <w:rPr>
                <w:sz w:val="16"/>
                <w:szCs w:val="16"/>
              </w:rPr>
              <w:t>3</w:t>
            </w:r>
          </w:p>
        </w:tc>
        <w:tc>
          <w:tcPr>
            <w:tcW w:w="480" w:type="pct"/>
          </w:tcPr>
          <w:p w14:paraId="53E1440A" w14:textId="77777777" w:rsidR="0093640E" w:rsidRPr="007305D7" w:rsidRDefault="0093640E" w:rsidP="0093640E">
            <w:pPr>
              <w:widowControl w:val="0"/>
              <w:autoSpaceDE w:val="0"/>
              <w:autoSpaceDN w:val="0"/>
              <w:adjustRightInd w:val="0"/>
              <w:rPr>
                <w:sz w:val="16"/>
                <w:szCs w:val="16"/>
              </w:rPr>
            </w:pPr>
            <w:r w:rsidRPr="007305D7">
              <w:rPr>
                <w:sz w:val="16"/>
                <w:szCs w:val="16"/>
              </w:rPr>
              <w:t>06/11/2012</w:t>
            </w:r>
          </w:p>
        </w:tc>
        <w:tc>
          <w:tcPr>
            <w:tcW w:w="1610" w:type="pct"/>
          </w:tcPr>
          <w:p w14:paraId="03FC27C7" w14:textId="77777777" w:rsidR="0093640E" w:rsidRPr="007305D7" w:rsidRDefault="0093640E" w:rsidP="0093640E">
            <w:pPr>
              <w:widowControl w:val="0"/>
              <w:autoSpaceDE w:val="0"/>
              <w:autoSpaceDN w:val="0"/>
              <w:adjustRightInd w:val="0"/>
              <w:rPr>
                <w:sz w:val="16"/>
                <w:szCs w:val="16"/>
              </w:rPr>
            </w:pPr>
            <w:r w:rsidRPr="007305D7">
              <w:rPr>
                <w:sz w:val="16"/>
                <w:szCs w:val="16"/>
              </w:rPr>
              <w:t>Far east golden resources investment ltd</w:t>
            </w:r>
          </w:p>
        </w:tc>
        <w:tc>
          <w:tcPr>
            <w:tcW w:w="1538" w:type="pct"/>
          </w:tcPr>
          <w:p w14:paraId="7B8E9F3B" w14:textId="77777777" w:rsidR="0093640E" w:rsidRPr="007305D7" w:rsidRDefault="0093640E" w:rsidP="0093640E">
            <w:pPr>
              <w:widowControl w:val="0"/>
              <w:autoSpaceDE w:val="0"/>
              <w:autoSpaceDN w:val="0"/>
              <w:adjustRightInd w:val="0"/>
              <w:rPr>
                <w:sz w:val="16"/>
                <w:szCs w:val="16"/>
              </w:rPr>
            </w:pPr>
            <w:r w:rsidRPr="007305D7">
              <w:rPr>
                <w:sz w:val="16"/>
                <w:szCs w:val="16"/>
              </w:rPr>
              <w:t>Hk battery technology inc</w:t>
            </w:r>
          </w:p>
        </w:tc>
        <w:tc>
          <w:tcPr>
            <w:tcW w:w="1172" w:type="pct"/>
          </w:tcPr>
          <w:p w14:paraId="297FA581" w14:textId="77777777" w:rsidR="0093640E" w:rsidRPr="00E60668" w:rsidRDefault="0093640E" w:rsidP="0093640E">
            <w:pPr>
              <w:widowControl w:val="0"/>
              <w:autoSpaceDE w:val="0"/>
              <w:autoSpaceDN w:val="0"/>
              <w:adjustRightInd w:val="0"/>
              <w:rPr>
                <w:sz w:val="16"/>
                <w:szCs w:val="16"/>
              </w:rPr>
            </w:pPr>
            <w:r w:rsidRPr="00E60668">
              <w:rPr>
                <w:sz w:val="16"/>
                <w:szCs w:val="16"/>
              </w:rPr>
              <w:t>Proximity to military facilities</w:t>
            </w:r>
          </w:p>
        </w:tc>
      </w:tr>
      <w:tr w:rsidR="0093640E" w:rsidRPr="00E60668" w14:paraId="12811BC8" w14:textId="77777777" w:rsidTr="0093640E">
        <w:trPr>
          <w:trHeight w:val="144"/>
          <w:jc w:val="center"/>
        </w:trPr>
        <w:tc>
          <w:tcPr>
            <w:tcW w:w="200" w:type="pct"/>
          </w:tcPr>
          <w:p w14:paraId="24AE4801" w14:textId="77777777" w:rsidR="0093640E" w:rsidRPr="007305D7" w:rsidRDefault="0093640E" w:rsidP="0093640E">
            <w:pPr>
              <w:widowControl w:val="0"/>
              <w:autoSpaceDE w:val="0"/>
              <w:autoSpaceDN w:val="0"/>
              <w:adjustRightInd w:val="0"/>
              <w:rPr>
                <w:sz w:val="16"/>
                <w:szCs w:val="16"/>
              </w:rPr>
            </w:pPr>
            <w:r w:rsidRPr="007305D7">
              <w:rPr>
                <w:sz w:val="16"/>
                <w:szCs w:val="16"/>
              </w:rPr>
              <w:t>4</w:t>
            </w:r>
          </w:p>
        </w:tc>
        <w:tc>
          <w:tcPr>
            <w:tcW w:w="480" w:type="pct"/>
          </w:tcPr>
          <w:p w14:paraId="4D0D062F" w14:textId="77777777" w:rsidR="0093640E" w:rsidRPr="007305D7" w:rsidRDefault="0093640E" w:rsidP="0093640E">
            <w:pPr>
              <w:widowControl w:val="0"/>
              <w:autoSpaceDE w:val="0"/>
              <w:autoSpaceDN w:val="0"/>
              <w:adjustRightInd w:val="0"/>
              <w:rPr>
                <w:sz w:val="16"/>
                <w:szCs w:val="16"/>
              </w:rPr>
            </w:pPr>
            <w:r w:rsidRPr="007305D7">
              <w:rPr>
                <w:sz w:val="16"/>
                <w:szCs w:val="16"/>
              </w:rPr>
              <w:t>9/28/2012</w:t>
            </w:r>
          </w:p>
        </w:tc>
        <w:tc>
          <w:tcPr>
            <w:tcW w:w="1610" w:type="pct"/>
          </w:tcPr>
          <w:p w14:paraId="07B31F48" w14:textId="77777777" w:rsidR="0093640E" w:rsidRPr="007305D7" w:rsidRDefault="0093640E" w:rsidP="0093640E">
            <w:pPr>
              <w:widowControl w:val="0"/>
              <w:autoSpaceDE w:val="0"/>
              <w:autoSpaceDN w:val="0"/>
              <w:adjustRightInd w:val="0"/>
              <w:rPr>
                <w:sz w:val="16"/>
                <w:szCs w:val="16"/>
              </w:rPr>
            </w:pPr>
            <w:r w:rsidRPr="007305D7">
              <w:rPr>
                <w:sz w:val="16"/>
                <w:szCs w:val="16"/>
              </w:rPr>
              <w:t>Ralls corp</w:t>
            </w:r>
          </w:p>
        </w:tc>
        <w:tc>
          <w:tcPr>
            <w:tcW w:w="1538" w:type="pct"/>
          </w:tcPr>
          <w:p w14:paraId="7DC3B756" w14:textId="77777777" w:rsidR="0093640E" w:rsidRPr="007305D7" w:rsidRDefault="0093640E" w:rsidP="0093640E">
            <w:pPr>
              <w:widowControl w:val="0"/>
              <w:autoSpaceDE w:val="0"/>
              <w:autoSpaceDN w:val="0"/>
              <w:adjustRightInd w:val="0"/>
              <w:rPr>
                <w:sz w:val="16"/>
                <w:szCs w:val="16"/>
              </w:rPr>
            </w:pPr>
            <w:r w:rsidRPr="007305D7">
              <w:rPr>
                <w:sz w:val="16"/>
                <w:szCs w:val="16"/>
              </w:rPr>
              <w:t>Butter creek projects</w:t>
            </w:r>
          </w:p>
        </w:tc>
        <w:tc>
          <w:tcPr>
            <w:tcW w:w="1172" w:type="pct"/>
          </w:tcPr>
          <w:p w14:paraId="585D688F" w14:textId="77777777" w:rsidR="0093640E" w:rsidRPr="00E60668" w:rsidRDefault="0093640E" w:rsidP="0093640E">
            <w:pPr>
              <w:widowControl w:val="0"/>
              <w:autoSpaceDE w:val="0"/>
              <w:autoSpaceDN w:val="0"/>
              <w:adjustRightInd w:val="0"/>
              <w:rPr>
                <w:sz w:val="16"/>
                <w:szCs w:val="16"/>
              </w:rPr>
            </w:pPr>
            <w:r w:rsidRPr="00E60668">
              <w:rPr>
                <w:sz w:val="16"/>
                <w:szCs w:val="16"/>
              </w:rPr>
              <w:t>Proximity to military facilities</w:t>
            </w:r>
          </w:p>
        </w:tc>
      </w:tr>
      <w:tr w:rsidR="0093640E" w:rsidRPr="00E60668" w14:paraId="73781BE3" w14:textId="77777777" w:rsidTr="0093640E">
        <w:trPr>
          <w:trHeight w:val="144"/>
          <w:jc w:val="center"/>
        </w:trPr>
        <w:tc>
          <w:tcPr>
            <w:tcW w:w="200" w:type="pct"/>
          </w:tcPr>
          <w:p w14:paraId="7E13755C" w14:textId="77777777" w:rsidR="0093640E" w:rsidRPr="007305D7" w:rsidRDefault="0093640E" w:rsidP="0093640E">
            <w:pPr>
              <w:widowControl w:val="0"/>
              <w:autoSpaceDE w:val="0"/>
              <w:autoSpaceDN w:val="0"/>
              <w:adjustRightInd w:val="0"/>
              <w:rPr>
                <w:sz w:val="16"/>
                <w:szCs w:val="16"/>
              </w:rPr>
            </w:pPr>
            <w:r w:rsidRPr="007305D7">
              <w:rPr>
                <w:sz w:val="16"/>
                <w:szCs w:val="16"/>
              </w:rPr>
              <w:t>5</w:t>
            </w:r>
          </w:p>
        </w:tc>
        <w:tc>
          <w:tcPr>
            <w:tcW w:w="480" w:type="pct"/>
          </w:tcPr>
          <w:p w14:paraId="4B8A42FB" w14:textId="77777777" w:rsidR="0093640E" w:rsidRPr="007305D7" w:rsidRDefault="0093640E" w:rsidP="0093640E">
            <w:pPr>
              <w:widowControl w:val="0"/>
              <w:autoSpaceDE w:val="0"/>
              <w:autoSpaceDN w:val="0"/>
              <w:adjustRightInd w:val="0"/>
              <w:rPr>
                <w:sz w:val="16"/>
                <w:szCs w:val="16"/>
              </w:rPr>
            </w:pPr>
            <w:r w:rsidRPr="007305D7">
              <w:rPr>
                <w:sz w:val="16"/>
                <w:szCs w:val="16"/>
              </w:rPr>
              <w:t>11/20/2012</w:t>
            </w:r>
          </w:p>
        </w:tc>
        <w:tc>
          <w:tcPr>
            <w:tcW w:w="1610" w:type="pct"/>
          </w:tcPr>
          <w:p w14:paraId="12387B11" w14:textId="77777777" w:rsidR="0093640E" w:rsidRPr="007305D7" w:rsidRDefault="0093640E" w:rsidP="0093640E">
            <w:pPr>
              <w:widowControl w:val="0"/>
              <w:autoSpaceDE w:val="0"/>
              <w:autoSpaceDN w:val="0"/>
              <w:adjustRightInd w:val="0"/>
              <w:rPr>
                <w:sz w:val="16"/>
                <w:szCs w:val="16"/>
              </w:rPr>
            </w:pPr>
            <w:r w:rsidRPr="007305D7">
              <w:rPr>
                <w:sz w:val="16"/>
                <w:szCs w:val="16"/>
              </w:rPr>
              <w:t>Polaris financial technology ltd</w:t>
            </w:r>
          </w:p>
        </w:tc>
        <w:tc>
          <w:tcPr>
            <w:tcW w:w="1538" w:type="pct"/>
          </w:tcPr>
          <w:p w14:paraId="1BD5F386" w14:textId="77777777" w:rsidR="0093640E" w:rsidRPr="007305D7" w:rsidRDefault="0093640E" w:rsidP="0093640E">
            <w:pPr>
              <w:widowControl w:val="0"/>
              <w:autoSpaceDE w:val="0"/>
              <w:autoSpaceDN w:val="0"/>
              <w:adjustRightInd w:val="0"/>
              <w:rPr>
                <w:sz w:val="16"/>
                <w:szCs w:val="16"/>
              </w:rPr>
            </w:pPr>
            <w:r w:rsidRPr="007305D7">
              <w:rPr>
                <w:sz w:val="16"/>
                <w:szCs w:val="16"/>
              </w:rPr>
              <w:t>Identrust inc</w:t>
            </w:r>
          </w:p>
        </w:tc>
        <w:tc>
          <w:tcPr>
            <w:tcW w:w="1172" w:type="pct"/>
          </w:tcPr>
          <w:p w14:paraId="79EC25EE"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45924D6C" w14:textId="77777777" w:rsidTr="0093640E">
        <w:trPr>
          <w:trHeight w:val="144"/>
          <w:jc w:val="center"/>
        </w:trPr>
        <w:tc>
          <w:tcPr>
            <w:tcW w:w="200" w:type="pct"/>
          </w:tcPr>
          <w:p w14:paraId="61D2BA31" w14:textId="77777777" w:rsidR="0093640E" w:rsidRPr="007305D7" w:rsidRDefault="0093640E" w:rsidP="0093640E">
            <w:pPr>
              <w:widowControl w:val="0"/>
              <w:autoSpaceDE w:val="0"/>
              <w:autoSpaceDN w:val="0"/>
              <w:adjustRightInd w:val="0"/>
              <w:rPr>
                <w:sz w:val="16"/>
                <w:szCs w:val="16"/>
              </w:rPr>
            </w:pPr>
            <w:r w:rsidRPr="007305D7">
              <w:rPr>
                <w:sz w:val="16"/>
                <w:szCs w:val="16"/>
              </w:rPr>
              <w:t>6</w:t>
            </w:r>
          </w:p>
        </w:tc>
        <w:tc>
          <w:tcPr>
            <w:tcW w:w="480" w:type="pct"/>
          </w:tcPr>
          <w:p w14:paraId="6C3DC4D6" w14:textId="77777777" w:rsidR="0093640E" w:rsidRPr="007305D7" w:rsidRDefault="0093640E" w:rsidP="0093640E">
            <w:pPr>
              <w:widowControl w:val="0"/>
              <w:autoSpaceDE w:val="0"/>
              <w:autoSpaceDN w:val="0"/>
              <w:adjustRightInd w:val="0"/>
              <w:rPr>
                <w:sz w:val="16"/>
                <w:szCs w:val="16"/>
              </w:rPr>
            </w:pPr>
            <w:r w:rsidRPr="007305D7">
              <w:rPr>
                <w:sz w:val="16"/>
                <w:szCs w:val="16"/>
              </w:rPr>
              <w:t>06/18/2013</w:t>
            </w:r>
          </w:p>
        </w:tc>
        <w:tc>
          <w:tcPr>
            <w:tcW w:w="1610" w:type="pct"/>
          </w:tcPr>
          <w:p w14:paraId="18B53A2F" w14:textId="77777777" w:rsidR="0093640E" w:rsidRPr="007305D7" w:rsidRDefault="0093640E" w:rsidP="0093640E">
            <w:pPr>
              <w:widowControl w:val="0"/>
              <w:autoSpaceDE w:val="0"/>
              <w:autoSpaceDN w:val="0"/>
              <w:adjustRightInd w:val="0"/>
              <w:rPr>
                <w:sz w:val="16"/>
                <w:szCs w:val="16"/>
              </w:rPr>
            </w:pPr>
            <w:r w:rsidRPr="007305D7">
              <w:rPr>
                <w:sz w:val="16"/>
                <w:szCs w:val="16"/>
              </w:rPr>
              <w:t>Procon mining and tunnelling ltd</w:t>
            </w:r>
          </w:p>
        </w:tc>
        <w:tc>
          <w:tcPr>
            <w:tcW w:w="1538" w:type="pct"/>
          </w:tcPr>
          <w:p w14:paraId="7B85DB09" w14:textId="77777777" w:rsidR="0093640E" w:rsidRPr="007305D7" w:rsidRDefault="0093640E" w:rsidP="0093640E">
            <w:pPr>
              <w:widowControl w:val="0"/>
              <w:autoSpaceDE w:val="0"/>
              <w:autoSpaceDN w:val="0"/>
              <w:adjustRightInd w:val="0"/>
              <w:rPr>
                <w:sz w:val="16"/>
                <w:szCs w:val="16"/>
              </w:rPr>
            </w:pPr>
            <w:r w:rsidRPr="007305D7">
              <w:rPr>
                <w:sz w:val="16"/>
                <w:szCs w:val="16"/>
              </w:rPr>
              <w:t>Lincoln gold mining inc</w:t>
            </w:r>
          </w:p>
        </w:tc>
        <w:tc>
          <w:tcPr>
            <w:tcW w:w="1172" w:type="pct"/>
          </w:tcPr>
          <w:p w14:paraId="5930F0CA" w14:textId="77777777" w:rsidR="0093640E" w:rsidRPr="00E60668" w:rsidRDefault="0093640E" w:rsidP="0093640E">
            <w:pPr>
              <w:widowControl w:val="0"/>
              <w:autoSpaceDE w:val="0"/>
              <w:autoSpaceDN w:val="0"/>
              <w:adjustRightInd w:val="0"/>
              <w:rPr>
                <w:sz w:val="16"/>
                <w:szCs w:val="16"/>
              </w:rPr>
            </w:pPr>
            <w:r w:rsidRPr="00E60668">
              <w:rPr>
                <w:sz w:val="16"/>
                <w:szCs w:val="16"/>
              </w:rPr>
              <w:t>Proximity to military facilities</w:t>
            </w:r>
          </w:p>
        </w:tc>
      </w:tr>
      <w:tr w:rsidR="0093640E" w:rsidRPr="00E60668" w14:paraId="6226111A" w14:textId="77777777" w:rsidTr="0093640E">
        <w:trPr>
          <w:trHeight w:val="144"/>
          <w:jc w:val="center"/>
        </w:trPr>
        <w:tc>
          <w:tcPr>
            <w:tcW w:w="200" w:type="pct"/>
          </w:tcPr>
          <w:p w14:paraId="18B1127C" w14:textId="77777777" w:rsidR="0093640E" w:rsidRPr="007305D7" w:rsidRDefault="0093640E" w:rsidP="0093640E">
            <w:pPr>
              <w:widowControl w:val="0"/>
              <w:autoSpaceDE w:val="0"/>
              <w:autoSpaceDN w:val="0"/>
              <w:adjustRightInd w:val="0"/>
              <w:rPr>
                <w:sz w:val="16"/>
                <w:szCs w:val="16"/>
              </w:rPr>
            </w:pPr>
            <w:r w:rsidRPr="007305D7">
              <w:rPr>
                <w:sz w:val="16"/>
                <w:szCs w:val="16"/>
              </w:rPr>
              <w:t>7</w:t>
            </w:r>
          </w:p>
        </w:tc>
        <w:tc>
          <w:tcPr>
            <w:tcW w:w="480" w:type="pct"/>
          </w:tcPr>
          <w:p w14:paraId="5C1EE840" w14:textId="77777777" w:rsidR="0093640E" w:rsidRPr="007305D7" w:rsidRDefault="0093640E" w:rsidP="0093640E">
            <w:pPr>
              <w:widowControl w:val="0"/>
              <w:autoSpaceDE w:val="0"/>
              <w:autoSpaceDN w:val="0"/>
              <w:adjustRightInd w:val="0"/>
              <w:rPr>
                <w:sz w:val="16"/>
                <w:szCs w:val="16"/>
              </w:rPr>
            </w:pPr>
            <w:r w:rsidRPr="007305D7">
              <w:rPr>
                <w:sz w:val="16"/>
                <w:szCs w:val="16"/>
              </w:rPr>
              <w:t>9/27/2016</w:t>
            </w:r>
          </w:p>
        </w:tc>
        <w:tc>
          <w:tcPr>
            <w:tcW w:w="1610" w:type="pct"/>
            <w:vAlign w:val="bottom"/>
          </w:tcPr>
          <w:p w14:paraId="28C0CAD9" w14:textId="77777777" w:rsidR="0093640E" w:rsidRPr="007305D7" w:rsidRDefault="0093640E" w:rsidP="0093640E">
            <w:pPr>
              <w:widowControl w:val="0"/>
              <w:autoSpaceDE w:val="0"/>
              <w:autoSpaceDN w:val="0"/>
              <w:adjustRightInd w:val="0"/>
              <w:rPr>
                <w:sz w:val="16"/>
                <w:szCs w:val="16"/>
              </w:rPr>
            </w:pPr>
            <w:r w:rsidRPr="007305D7">
              <w:rPr>
                <w:sz w:val="16"/>
                <w:szCs w:val="16"/>
              </w:rPr>
              <w:t>Fosun International Limited</w:t>
            </w:r>
          </w:p>
        </w:tc>
        <w:tc>
          <w:tcPr>
            <w:tcW w:w="1538" w:type="pct"/>
            <w:vAlign w:val="bottom"/>
          </w:tcPr>
          <w:p w14:paraId="0732BA62" w14:textId="77777777" w:rsidR="0093640E" w:rsidRPr="007305D7" w:rsidRDefault="0093640E" w:rsidP="0093640E">
            <w:pPr>
              <w:widowControl w:val="0"/>
              <w:autoSpaceDE w:val="0"/>
              <w:autoSpaceDN w:val="0"/>
              <w:adjustRightInd w:val="0"/>
              <w:rPr>
                <w:sz w:val="16"/>
                <w:szCs w:val="16"/>
              </w:rPr>
            </w:pPr>
            <w:r w:rsidRPr="007305D7">
              <w:rPr>
                <w:sz w:val="16"/>
                <w:szCs w:val="16"/>
              </w:rPr>
              <w:t>Ironshore Inc</w:t>
            </w:r>
          </w:p>
        </w:tc>
        <w:tc>
          <w:tcPr>
            <w:tcW w:w="1172" w:type="pct"/>
          </w:tcPr>
          <w:p w14:paraId="4024E305" w14:textId="7BAC03B8" w:rsidR="0093640E" w:rsidRPr="00E60668" w:rsidRDefault="0093640E" w:rsidP="00692229">
            <w:pPr>
              <w:widowControl w:val="0"/>
              <w:autoSpaceDE w:val="0"/>
              <w:autoSpaceDN w:val="0"/>
              <w:adjustRightInd w:val="0"/>
              <w:rPr>
                <w:sz w:val="16"/>
                <w:szCs w:val="16"/>
              </w:rPr>
            </w:pPr>
            <w:r w:rsidRPr="00F727EE">
              <w:rPr>
                <w:sz w:val="16"/>
                <w:szCs w:val="16"/>
              </w:rPr>
              <w:t>Public target</w:t>
            </w:r>
            <w:r w:rsidR="00C254A5">
              <w:rPr>
                <w:sz w:val="16"/>
                <w:szCs w:val="16"/>
              </w:rPr>
              <w:t xml:space="preserve"> (financial)</w:t>
            </w:r>
          </w:p>
        </w:tc>
      </w:tr>
      <w:tr w:rsidR="0093640E" w:rsidRPr="00E60668" w14:paraId="18D7A995" w14:textId="77777777" w:rsidTr="0093640E">
        <w:trPr>
          <w:trHeight w:val="144"/>
          <w:jc w:val="center"/>
        </w:trPr>
        <w:tc>
          <w:tcPr>
            <w:tcW w:w="200" w:type="pct"/>
          </w:tcPr>
          <w:p w14:paraId="696B0DED" w14:textId="77777777" w:rsidR="0093640E" w:rsidRPr="007305D7" w:rsidRDefault="0093640E" w:rsidP="0093640E">
            <w:pPr>
              <w:widowControl w:val="0"/>
              <w:autoSpaceDE w:val="0"/>
              <w:autoSpaceDN w:val="0"/>
              <w:adjustRightInd w:val="0"/>
              <w:rPr>
                <w:sz w:val="16"/>
                <w:szCs w:val="16"/>
              </w:rPr>
            </w:pPr>
            <w:r w:rsidRPr="007305D7">
              <w:rPr>
                <w:sz w:val="16"/>
                <w:szCs w:val="16"/>
              </w:rPr>
              <w:t>8</w:t>
            </w:r>
          </w:p>
        </w:tc>
        <w:tc>
          <w:tcPr>
            <w:tcW w:w="480" w:type="pct"/>
          </w:tcPr>
          <w:p w14:paraId="4B022420" w14:textId="77777777" w:rsidR="0093640E" w:rsidRPr="007305D7" w:rsidRDefault="0093640E" w:rsidP="0093640E">
            <w:pPr>
              <w:widowControl w:val="0"/>
              <w:autoSpaceDE w:val="0"/>
              <w:autoSpaceDN w:val="0"/>
              <w:adjustRightInd w:val="0"/>
              <w:rPr>
                <w:sz w:val="16"/>
                <w:szCs w:val="16"/>
              </w:rPr>
            </w:pPr>
            <w:r w:rsidRPr="007305D7">
              <w:rPr>
                <w:sz w:val="16"/>
                <w:szCs w:val="16"/>
              </w:rPr>
              <w:t>10/30/2018</w:t>
            </w:r>
          </w:p>
        </w:tc>
        <w:tc>
          <w:tcPr>
            <w:tcW w:w="1610" w:type="pct"/>
          </w:tcPr>
          <w:p w14:paraId="2C30B019" w14:textId="77777777" w:rsidR="0093640E" w:rsidRPr="007305D7" w:rsidRDefault="0093640E" w:rsidP="0093640E">
            <w:pPr>
              <w:widowControl w:val="0"/>
              <w:autoSpaceDE w:val="0"/>
              <w:autoSpaceDN w:val="0"/>
              <w:adjustRightInd w:val="0"/>
              <w:rPr>
                <w:sz w:val="16"/>
                <w:szCs w:val="16"/>
              </w:rPr>
            </w:pPr>
            <w:r w:rsidRPr="007305D7">
              <w:rPr>
                <w:sz w:val="16"/>
                <w:szCs w:val="16"/>
              </w:rPr>
              <w:t>Pamplona capital management llp</w:t>
            </w:r>
          </w:p>
        </w:tc>
        <w:tc>
          <w:tcPr>
            <w:tcW w:w="1538" w:type="pct"/>
          </w:tcPr>
          <w:p w14:paraId="62E08C11" w14:textId="77777777" w:rsidR="0093640E" w:rsidRPr="007305D7" w:rsidRDefault="0093640E" w:rsidP="0093640E">
            <w:pPr>
              <w:widowControl w:val="0"/>
              <w:autoSpaceDE w:val="0"/>
              <w:autoSpaceDN w:val="0"/>
              <w:adjustRightInd w:val="0"/>
              <w:rPr>
                <w:sz w:val="16"/>
                <w:szCs w:val="16"/>
              </w:rPr>
            </w:pPr>
            <w:r w:rsidRPr="007305D7">
              <w:rPr>
                <w:sz w:val="16"/>
                <w:szCs w:val="16"/>
              </w:rPr>
              <w:t>Cofense inc</w:t>
            </w:r>
          </w:p>
        </w:tc>
        <w:tc>
          <w:tcPr>
            <w:tcW w:w="1172" w:type="pct"/>
          </w:tcPr>
          <w:p w14:paraId="5B6A51F9"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3E11B45B" w14:textId="77777777" w:rsidTr="0093640E">
        <w:trPr>
          <w:trHeight w:val="144"/>
          <w:jc w:val="center"/>
        </w:trPr>
        <w:tc>
          <w:tcPr>
            <w:tcW w:w="200" w:type="pct"/>
          </w:tcPr>
          <w:p w14:paraId="249170BA" w14:textId="77777777" w:rsidR="0093640E" w:rsidRPr="007305D7" w:rsidRDefault="0093640E" w:rsidP="0093640E">
            <w:pPr>
              <w:widowControl w:val="0"/>
              <w:autoSpaceDE w:val="0"/>
              <w:autoSpaceDN w:val="0"/>
              <w:adjustRightInd w:val="0"/>
              <w:rPr>
                <w:sz w:val="16"/>
                <w:szCs w:val="16"/>
              </w:rPr>
            </w:pPr>
            <w:r w:rsidRPr="007305D7">
              <w:rPr>
                <w:sz w:val="16"/>
                <w:szCs w:val="16"/>
              </w:rPr>
              <w:t>9</w:t>
            </w:r>
          </w:p>
        </w:tc>
        <w:tc>
          <w:tcPr>
            <w:tcW w:w="480" w:type="pct"/>
          </w:tcPr>
          <w:p w14:paraId="7A9E60DD" w14:textId="77777777" w:rsidR="0093640E" w:rsidRPr="007305D7" w:rsidRDefault="0093640E" w:rsidP="0093640E">
            <w:pPr>
              <w:widowControl w:val="0"/>
              <w:autoSpaceDE w:val="0"/>
              <w:autoSpaceDN w:val="0"/>
              <w:adjustRightInd w:val="0"/>
              <w:rPr>
                <w:sz w:val="16"/>
                <w:szCs w:val="16"/>
              </w:rPr>
            </w:pPr>
            <w:r w:rsidRPr="007305D7">
              <w:rPr>
                <w:sz w:val="16"/>
                <w:szCs w:val="16"/>
              </w:rPr>
              <w:t>11/09/2018</w:t>
            </w:r>
          </w:p>
        </w:tc>
        <w:tc>
          <w:tcPr>
            <w:tcW w:w="1610" w:type="pct"/>
          </w:tcPr>
          <w:p w14:paraId="28F70190" w14:textId="77777777" w:rsidR="0093640E" w:rsidRPr="007305D7" w:rsidRDefault="0093640E" w:rsidP="0093640E">
            <w:pPr>
              <w:widowControl w:val="0"/>
              <w:autoSpaceDE w:val="0"/>
              <w:autoSpaceDN w:val="0"/>
              <w:adjustRightInd w:val="0"/>
              <w:rPr>
                <w:sz w:val="16"/>
                <w:szCs w:val="16"/>
              </w:rPr>
            </w:pPr>
            <w:r w:rsidRPr="007305D7">
              <w:rPr>
                <w:sz w:val="16"/>
                <w:szCs w:val="16"/>
              </w:rPr>
              <w:t>Hna capital group co</w:t>
            </w:r>
          </w:p>
        </w:tc>
        <w:tc>
          <w:tcPr>
            <w:tcW w:w="1538" w:type="pct"/>
          </w:tcPr>
          <w:p w14:paraId="2703ADC8" w14:textId="77777777" w:rsidR="0093640E" w:rsidRPr="007305D7" w:rsidRDefault="0093640E" w:rsidP="0093640E">
            <w:pPr>
              <w:widowControl w:val="0"/>
              <w:autoSpaceDE w:val="0"/>
              <w:autoSpaceDN w:val="0"/>
              <w:adjustRightInd w:val="0"/>
              <w:rPr>
                <w:sz w:val="16"/>
                <w:szCs w:val="16"/>
              </w:rPr>
            </w:pPr>
            <w:r w:rsidRPr="007305D7">
              <w:rPr>
                <w:sz w:val="16"/>
                <w:szCs w:val="16"/>
              </w:rPr>
              <w:t xml:space="preserve">Palace 850 third avenue </w:t>
            </w:r>
          </w:p>
        </w:tc>
        <w:tc>
          <w:tcPr>
            <w:tcW w:w="1172" w:type="pct"/>
          </w:tcPr>
          <w:p w14:paraId="532E9B89" w14:textId="77777777" w:rsidR="0093640E" w:rsidRPr="00E60668" w:rsidRDefault="0093640E" w:rsidP="0093640E">
            <w:pPr>
              <w:widowControl w:val="0"/>
              <w:autoSpaceDE w:val="0"/>
              <w:autoSpaceDN w:val="0"/>
              <w:adjustRightInd w:val="0"/>
              <w:rPr>
                <w:sz w:val="16"/>
                <w:szCs w:val="16"/>
              </w:rPr>
            </w:pPr>
            <w:r w:rsidRPr="00E60668">
              <w:rPr>
                <w:sz w:val="16"/>
                <w:szCs w:val="16"/>
              </w:rPr>
              <w:t>Proximity to military facilities</w:t>
            </w:r>
          </w:p>
        </w:tc>
      </w:tr>
      <w:tr w:rsidR="0093640E" w:rsidRPr="00E60668" w14:paraId="12B262FD" w14:textId="77777777" w:rsidTr="0093640E">
        <w:trPr>
          <w:trHeight w:val="144"/>
          <w:jc w:val="center"/>
        </w:trPr>
        <w:tc>
          <w:tcPr>
            <w:tcW w:w="200" w:type="pct"/>
          </w:tcPr>
          <w:p w14:paraId="4840DBE1" w14:textId="77777777" w:rsidR="0093640E" w:rsidRPr="007305D7" w:rsidRDefault="0093640E" w:rsidP="0093640E">
            <w:pPr>
              <w:widowControl w:val="0"/>
              <w:autoSpaceDE w:val="0"/>
              <w:autoSpaceDN w:val="0"/>
              <w:adjustRightInd w:val="0"/>
              <w:rPr>
                <w:sz w:val="16"/>
                <w:szCs w:val="16"/>
              </w:rPr>
            </w:pPr>
            <w:r w:rsidRPr="007305D7">
              <w:rPr>
                <w:sz w:val="16"/>
                <w:szCs w:val="16"/>
              </w:rPr>
              <w:t>10</w:t>
            </w:r>
          </w:p>
        </w:tc>
        <w:tc>
          <w:tcPr>
            <w:tcW w:w="480" w:type="pct"/>
          </w:tcPr>
          <w:p w14:paraId="7B4011E3" w14:textId="77777777" w:rsidR="0093640E" w:rsidRPr="007305D7" w:rsidRDefault="0093640E" w:rsidP="0093640E">
            <w:pPr>
              <w:widowControl w:val="0"/>
              <w:autoSpaceDE w:val="0"/>
              <w:autoSpaceDN w:val="0"/>
              <w:adjustRightInd w:val="0"/>
              <w:rPr>
                <w:sz w:val="16"/>
                <w:szCs w:val="16"/>
              </w:rPr>
            </w:pPr>
            <w:r w:rsidRPr="007305D7">
              <w:rPr>
                <w:sz w:val="16"/>
                <w:szCs w:val="16"/>
              </w:rPr>
              <w:t>04/04/2019</w:t>
            </w:r>
          </w:p>
        </w:tc>
        <w:tc>
          <w:tcPr>
            <w:tcW w:w="1610" w:type="pct"/>
          </w:tcPr>
          <w:p w14:paraId="63FB38C9" w14:textId="77777777" w:rsidR="0093640E" w:rsidRPr="007305D7" w:rsidRDefault="0093640E" w:rsidP="0093640E">
            <w:pPr>
              <w:widowControl w:val="0"/>
              <w:autoSpaceDE w:val="0"/>
              <w:autoSpaceDN w:val="0"/>
              <w:adjustRightInd w:val="0"/>
              <w:rPr>
                <w:sz w:val="16"/>
                <w:szCs w:val="16"/>
              </w:rPr>
            </w:pPr>
            <w:r w:rsidRPr="007305D7">
              <w:rPr>
                <w:sz w:val="16"/>
                <w:szCs w:val="16"/>
              </w:rPr>
              <w:t>Icarbonx</w:t>
            </w:r>
          </w:p>
        </w:tc>
        <w:tc>
          <w:tcPr>
            <w:tcW w:w="1538" w:type="pct"/>
          </w:tcPr>
          <w:p w14:paraId="37BE52A8" w14:textId="77777777" w:rsidR="0093640E" w:rsidRPr="007305D7" w:rsidRDefault="0093640E" w:rsidP="0093640E">
            <w:pPr>
              <w:widowControl w:val="0"/>
              <w:autoSpaceDE w:val="0"/>
              <w:autoSpaceDN w:val="0"/>
              <w:adjustRightInd w:val="0"/>
              <w:rPr>
                <w:sz w:val="16"/>
                <w:szCs w:val="16"/>
              </w:rPr>
            </w:pPr>
            <w:r w:rsidRPr="007305D7">
              <w:rPr>
                <w:sz w:val="16"/>
                <w:szCs w:val="16"/>
              </w:rPr>
              <w:t>Patientslikeme inc</w:t>
            </w:r>
          </w:p>
        </w:tc>
        <w:tc>
          <w:tcPr>
            <w:tcW w:w="1172" w:type="pct"/>
          </w:tcPr>
          <w:p w14:paraId="1B75D67E"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76B39DB6" w14:textId="77777777" w:rsidTr="0093640E">
        <w:trPr>
          <w:trHeight w:val="144"/>
          <w:jc w:val="center"/>
        </w:trPr>
        <w:tc>
          <w:tcPr>
            <w:tcW w:w="200" w:type="pct"/>
          </w:tcPr>
          <w:p w14:paraId="608C34C3" w14:textId="77777777" w:rsidR="0093640E" w:rsidRPr="007305D7" w:rsidRDefault="0093640E" w:rsidP="0093640E">
            <w:pPr>
              <w:widowControl w:val="0"/>
              <w:autoSpaceDE w:val="0"/>
              <w:autoSpaceDN w:val="0"/>
              <w:adjustRightInd w:val="0"/>
              <w:rPr>
                <w:sz w:val="16"/>
                <w:szCs w:val="16"/>
              </w:rPr>
            </w:pPr>
            <w:r w:rsidRPr="007305D7">
              <w:rPr>
                <w:sz w:val="16"/>
                <w:szCs w:val="16"/>
              </w:rPr>
              <w:t>11</w:t>
            </w:r>
          </w:p>
        </w:tc>
        <w:tc>
          <w:tcPr>
            <w:tcW w:w="480" w:type="pct"/>
          </w:tcPr>
          <w:p w14:paraId="7DD10729" w14:textId="77777777" w:rsidR="0093640E" w:rsidRPr="007305D7" w:rsidRDefault="0093640E" w:rsidP="0093640E">
            <w:pPr>
              <w:widowControl w:val="0"/>
              <w:autoSpaceDE w:val="0"/>
              <w:autoSpaceDN w:val="0"/>
              <w:adjustRightInd w:val="0"/>
              <w:rPr>
                <w:sz w:val="16"/>
                <w:szCs w:val="16"/>
              </w:rPr>
            </w:pPr>
            <w:r w:rsidRPr="007305D7">
              <w:rPr>
                <w:sz w:val="16"/>
                <w:szCs w:val="16"/>
              </w:rPr>
              <w:t>05/13/2019</w:t>
            </w:r>
          </w:p>
        </w:tc>
        <w:tc>
          <w:tcPr>
            <w:tcW w:w="1610" w:type="pct"/>
          </w:tcPr>
          <w:p w14:paraId="570CA66E" w14:textId="77777777" w:rsidR="0093640E" w:rsidRPr="007305D7" w:rsidRDefault="0093640E" w:rsidP="0093640E">
            <w:pPr>
              <w:widowControl w:val="0"/>
              <w:autoSpaceDE w:val="0"/>
              <w:autoSpaceDN w:val="0"/>
              <w:adjustRightInd w:val="0"/>
              <w:rPr>
                <w:sz w:val="16"/>
                <w:szCs w:val="16"/>
              </w:rPr>
            </w:pPr>
            <w:r w:rsidRPr="007305D7">
              <w:rPr>
                <w:sz w:val="16"/>
                <w:szCs w:val="16"/>
              </w:rPr>
              <w:t>Beijing kunlun wanwei technology co</w:t>
            </w:r>
          </w:p>
        </w:tc>
        <w:tc>
          <w:tcPr>
            <w:tcW w:w="1538" w:type="pct"/>
          </w:tcPr>
          <w:p w14:paraId="1B59B197" w14:textId="77777777" w:rsidR="0093640E" w:rsidRPr="007305D7" w:rsidRDefault="0093640E" w:rsidP="0093640E">
            <w:pPr>
              <w:widowControl w:val="0"/>
              <w:autoSpaceDE w:val="0"/>
              <w:autoSpaceDN w:val="0"/>
              <w:adjustRightInd w:val="0"/>
              <w:rPr>
                <w:sz w:val="16"/>
                <w:szCs w:val="16"/>
              </w:rPr>
            </w:pPr>
            <w:r w:rsidRPr="007305D7">
              <w:rPr>
                <w:sz w:val="16"/>
                <w:szCs w:val="16"/>
              </w:rPr>
              <w:t>Grindr llc</w:t>
            </w:r>
          </w:p>
        </w:tc>
        <w:tc>
          <w:tcPr>
            <w:tcW w:w="1172" w:type="pct"/>
          </w:tcPr>
          <w:p w14:paraId="5AFEA959"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0BACCB06" w14:textId="77777777" w:rsidTr="0093640E">
        <w:trPr>
          <w:trHeight w:val="144"/>
          <w:jc w:val="center"/>
        </w:trPr>
        <w:tc>
          <w:tcPr>
            <w:tcW w:w="200" w:type="pct"/>
          </w:tcPr>
          <w:p w14:paraId="63B63BE9" w14:textId="77777777" w:rsidR="0093640E" w:rsidRPr="007305D7" w:rsidRDefault="0093640E" w:rsidP="0093640E">
            <w:pPr>
              <w:widowControl w:val="0"/>
              <w:autoSpaceDE w:val="0"/>
              <w:autoSpaceDN w:val="0"/>
              <w:adjustRightInd w:val="0"/>
              <w:rPr>
                <w:sz w:val="16"/>
                <w:szCs w:val="16"/>
              </w:rPr>
            </w:pPr>
            <w:r w:rsidRPr="007305D7">
              <w:rPr>
                <w:sz w:val="16"/>
                <w:szCs w:val="16"/>
              </w:rPr>
              <w:t>12</w:t>
            </w:r>
          </w:p>
        </w:tc>
        <w:tc>
          <w:tcPr>
            <w:tcW w:w="480" w:type="pct"/>
          </w:tcPr>
          <w:p w14:paraId="61254FF4" w14:textId="77777777" w:rsidR="0093640E" w:rsidRPr="007305D7" w:rsidRDefault="0093640E" w:rsidP="0093640E">
            <w:pPr>
              <w:widowControl w:val="0"/>
              <w:autoSpaceDE w:val="0"/>
              <w:autoSpaceDN w:val="0"/>
              <w:adjustRightInd w:val="0"/>
              <w:rPr>
                <w:sz w:val="16"/>
                <w:szCs w:val="16"/>
              </w:rPr>
            </w:pPr>
            <w:r w:rsidRPr="007305D7">
              <w:rPr>
                <w:sz w:val="16"/>
                <w:szCs w:val="16"/>
              </w:rPr>
              <w:t>05/22/2019</w:t>
            </w:r>
          </w:p>
        </w:tc>
        <w:tc>
          <w:tcPr>
            <w:tcW w:w="1610" w:type="pct"/>
          </w:tcPr>
          <w:p w14:paraId="6F793C93" w14:textId="77777777" w:rsidR="0093640E" w:rsidRPr="007305D7" w:rsidRDefault="0093640E" w:rsidP="0093640E">
            <w:pPr>
              <w:widowControl w:val="0"/>
              <w:autoSpaceDE w:val="0"/>
              <w:autoSpaceDN w:val="0"/>
              <w:adjustRightInd w:val="0"/>
              <w:rPr>
                <w:sz w:val="16"/>
                <w:szCs w:val="16"/>
              </w:rPr>
            </w:pPr>
            <w:r w:rsidRPr="007305D7">
              <w:rPr>
                <w:sz w:val="16"/>
                <w:szCs w:val="16"/>
              </w:rPr>
              <w:t>Icarbonx</w:t>
            </w:r>
          </w:p>
        </w:tc>
        <w:tc>
          <w:tcPr>
            <w:tcW w:w="1538" w:type="pct"/>
          </w:tcPr>
          <w:p w14:paraId="1915B3B0" w14:textId="77777777" w:rsidR="0093640E" w:rsidRPr="007305D7" w:rsidRDefault="0093640E" w:rsidP="0093640E">
            <w:pPr>
              <w:widowControl w:val="0"/>
              <w:autoSpaceDE w:val="0"/>
              <w:autoSpaceDN w:val="0"/>
              <w:adjustRightInd w:val="0"/>
              <w:rPr>
                <w:sz w:val="16"/>
                <w:szCs w:val="16"/>
              </w:rPr>
            </w:pPr>
            <w:r w:rsidRPr="007305D7">
              <w:rPr>
                <w:sz w:val="16"/>
                <w:szCs w:val="16"/>
              </w:rPr>
              <w:t>HealthTell</w:t>
            </w:r>
          </w:p>
        </w:tc>
        <w:tc>
          <w:tcPr>
            <w:tcW w:w="1172" w:type="pct"/>
          </w:tcPr>
          <w:p w14:paraId="709B2A25" w14:textId="77777777" w:rsidR="0093640E" w:rsidRPr="00E60668" w:rsidRDefault="0093640E" w:rsidP="0093640E">
            <w:pPr>
              <w:widowControl w:val="0"/>
              <w:autoSpaceDE w:val="0"/>
              <w:autoSpaceDN w:val="0"/>
              <w:adjustRightInd w:val="0"/>
              <w:rPr>
                <w:sz w:val="16"/>
                <w:szCs w:val="16"/>
              </w:rPr>
            </w:pPr>
            <w:r w:rsidRPr="00E60668">
              <w:rPr>
                <w:sz w:val="16"/>
                <w:szCs w:val="16"/>
              </w:rPr>
              <w:t>Private target</w:t>
            </w:r>
          </w:p>
        </w:tc>
      </w:tr>
      <w:tr w:rsidR="0093640E" w:rsidRPr="00E60668" w14:paraId="3C44885C" w14:textId="77777777" w:rsidTr="0093640E">
        <w:trPr>
          <w:trHeight w:val="144"/>
          <w:jc w:val="center"/>
        </w:trPr>
        <w:tc>
          <w:tcPr>
            <w:tcW w:w="200" w:type="pct"/>
            <w:tcBorders>
              <w:top w:val="single" w:sz="4" w:space="0" w:color="auto"/>
              <w:left w:val="nil"/>
              <w:bottom w:val="nil"/>
              <w:right w:val="nil"/>
            </w:tcBorders>
          </w:tcPr>
          <w:p w14:paraId="7EF56923" w14:textId="77777777" w:rsidR="0093640E" w:rsidRPr="00E60668" w:rsidRDefault="0093640E" w:rsidP="0093640E">
            <w:pPr>
              <w:widowControl w:val="0"/>
              <w:autoSpaceDE w:val="0"/>
              <w:autoSpaceDN w:val="0"/>
              <w:adjustRightInd w:val="0"/>
              <w:rPr>
                <w:sz w:val="16"/>
                <w:szCs w:val="16"/>
              </w:rPr>
            </w:pPr>
          </w:p>
        </w:tc>
        <w:tc>
          <w:tcPr>
            <w:tcW w:w="480" w:type="pct"/>
            <w:tcBorders>
              <w:top w:val="single" w:sz="4" w:space="0" w:color="auto"/>
              <w:left w:val="nil"/>
              <w:bottom w:val="nil"/>
              <w:right w:val="nil"/>
            </w:tcBorders>
          </w:tcPr>
          <w:p w14:paraId="27CF5A41" w14:textId="77777777" w:rsidR="0093640E" w:rsidRPr="00E60668" w:rsidRDefault="0093640E" w:rsidP="0093640E">
            <w:pPr>
              <w:widowControl w:val="0"/>
              <w:autoSpaceDE w:val="0"/>
              <w:autoSpaceDN w:val="0"/>
              <w:adjustRightInd w:val="0"/>
              <w:rPr>
                <w:sz w:val="16"/>
                <w:szCs w:val="16"/>
              </w:rPr>
            </w:pPr>
          </w:p>
        </w:tc>
        <w:tc>
          <w:tcPr>
            <w:tcW w:w="1610" w:type="pct"/>
            <w:tcBorders>
              <w:top w:val="single" w:sz="4" w:space="0" w:color="auto"/>
              <w:left w:val="nil"/>
              <w:bottom w:val="nil"/>
              <w:right w:val="nil"/>
            </w:tcBorders>
          </w:tcPr>
          <w:p w14:paraId="58C630E0" w14:textId="77777777" w:rsidR="0093640E" w:rsidRPr="00E60668" w:rsidRDefault="0093640E" w:rsidP="0093640E">
            <w:pPr>
              <w:widowControl w:val="0"/>
              <w:autoSpaceDE w:val="0"/>
              <w:autoSpaceDN w:val="0"/>
              <w:adjustRightInd w:val="0"/>
              <w:rPr>
                <w:sz w:val="16"/>
                <w:szCs w:val="16"/>
              </w:rPr>
            </w:pPr>
          </w:p>
        </w:tc>
        <w:tc>
          <w:tcPr>
            <w:tcW w:w="1538" w:type="pct"/>
            <w:tcBorders>
              <w:top w:val="single" w:sz="4" w:space="0" w:color="auto"/>
              <w:left w:val="nil"/>
              <w:bottom w:val="nil"/>
              <w:right w:val="nil"/>
            </w:tcBorders>
          </w:tcPr>
          <w:p w14:paraId="464DE33B" w14:textId="77777777" w:rsidR="0093640E" w:rsidRPr="00E60668" w:rsidRDefault="0093640E" w:rsidP="0093640E">
            <w:pPr>
              <w:widowControl w:val="0"/>
              <w:autoSpaceDE w:val="0"/>
              <w:autoSpaceDN w:val="0"/>
              <w:adjustRightInd w:val="0"/>
              <w:rPr>
                <w:sz w:val="16"/>
                <w:szCs w:val="16"/>
              </w:rPr>
            </w:pPr>
          </w:p>
        </w:tc>
        <w:tc>
          <w:tcPr>
            <w:tcW w:w="1172" w:type="pct"/>
            <w:tcBorders>
              <w:top w:val="single" w:sz="4" w:space="0" w:color="auto"/>
              <w:left w:val="nil"/>
              <w:bottom w:val="nil"/>
              <w:right w:val="nil"/>
            </w:tcBorders>
          </w:tcPr>
          <w:p w14:paraId="351330D1" w14:textId="77777777" w:rsidR="0093640E" w:rsidRPr="00E60668" w:rsidRDefault="0093640E" w:rsidP="0093640E">
            <w:pPr>
              <w:widowControl w:val="0"/>
              <w:autoSpaceDE w:val="0"/>
              <w:autoSpaceDN w:val="0"/>
              <w:adjustRightInd w:val="0"/>
              <w:rPr>
                <w:sz w:val="16"/>
                <w:szCs w:val="16"/>
              </w:rPr>
            </w:pPr>
          </w:p>
        </w:tc>
      </w:tr>
      <w:tr w:rsidR="0093640E" w:rsidRPr="00E60668" w14:paraId="48B16C15" w14:textId="77777777" w:rsidTr="0093640E">
        <w:trPr>
          <w:trHeight w:val="144"/>
          <w:jc w:val="center"/>
        </w:trPr>
        <w:tc>
          <w:tcPr>
            <w:tcW w:w="5000" w:type="pct"/>
            <w:gridSpan w:val="5"/>
            <w:tcBorders>
              <w:top w:val="nil"/>
              <w:left w:val="nil"/>
              <w:bottom w:val="nil"/>
              <w:right w:val="nil"/>
            </w:tcBorders>
          </w:tcPr>
          <w:p w14:paraId="2C30015F" w14:textId="77777777" w:rsidR="0093640E" w:rsidRPr="00E60668" w:rsidRDefault="0093640E" w:rsidP="0093640E">
            <w:pPr>
              <w:widowControl w:val="0"/>
              <w:autoSpaceDE w:val="0"/>
              <w:autoSpaceDN w:val="0"/>
              <w:adjustRightInd w:val="0"/>
              <w:jc w:val="both"/>
              <w:rPr>
                <w:sz w:val="16"/>
                <w:szCs w:val="16"/>
              </w:rPr>
            </w:pPr>
            <w:r>
              <w:rPr>
                <w:sz w:val="16"/>
                <w:szCs w:val="16"/>
              </w:rPr>
              <w:t>This</w:t>
            </w:r>
            <w:r w:rsidRPr="00E60668">
              <w:rPr>
                <w:sz w:val="16"/>
                <w:szCs w:val="16"/>
              </w:rPr>
              <w:t xml:space="preserve"> table presents the list of </w:t>
            </w:r>
            <w:r>
              <w:rPr>
                <w:sz w:val="16"/>
                <w:szCs w:val="16"/>
              </w:rPr>
              <w:t xml:space="preserve">detected </w:t>
            </w:r>
            <w:r w:rsidRPr="00E60668">
              <w:rPr>
                <w:sz w:val="16"/>
                <w:szCs w:val="16"/>
              </w:rPr>
              <w:t xml:space="preserve">CFIUS </w:t>
            </w:r>
            <w:r w:rsidRPr="00315BBA">
              <w:rPr>
                <w:sz w:val="16"/>
                <w:szCs w:val="16"/>
              </w:rPr>
              <w:t>unwinding</w:t>
            </w:r>
            <w:r>
              <w:rPr>
                <w:sz w:val="16"/>
                <w:szCs w:val="16"/>
              </w:rPr>
              <w:t>s</w:t>
            </w:r>
            <w:r w:rsidRPr="00315BBA">
              <w:rPr>
                <w:sz w:val="16"/>
                <w:szCs w:val="16"/>
              </w:rPr>
              <w:t xml:space="preserve"> </w:t>
            </w:r>
            <w:r>
              <w:rPr>
                <w:sz w:val="16"/>
                <w:szCs w:val="16"/>
              </w:rPr>
              <w:t>after closing</w:t>
            </w:r>
            <w:r w:rsidRPr="00315BBA">
              <w:rPr>
                <w:sz w:val="16"/>
                <w:szCs w:val="16"/>
              </w:rPr>
              <w:t xml:space="preserve"> </w:t>
            </w:r>
            <w:r w:rsidRPr="00E60668">
              <w:rPr>
                <w:sz w:val="16"/>
                <w:szCs w:val="16"/>
              </w:rPr>
              <w:t>during FINSA. Data are collected from Factiva, SEC EDGAR, and the financial press. We remain available to provide any additional identifying information regarding CFIUS interventions.</w:t>
            </w:r>
          </w:p>
        </w:tc>
      </w:tr>
    </w:tbl>
    <w:p w14:paraId="598C41E9" w14:textId="77777777" w:rsidR="0093640E" w:rsidRDefault="0093640E" w:rsidP="0093640E">
      <w:pPr>
        <w:spacing w:after="160" w:line="259" w:lineRule="auto"/>
        <w:rPr>
          <w:rStyle w:val="Normal2Car"/>
        </w:rPr>
      </w:pPr>
    </w:p>
    <w:p w14:paraId="0CED05DD" w14:textId="77777777" w:rsidR="0093640E" w:rsidRDefault="0093640E" w:rsidP="00641D6D">
      <w:pPr>
        <w:spacing w:after="160" w:line="259" w:lineRule="auto"/>
        <w:rPr>
          <w:rStyle w:val="Normal2Car"/>
        </w:rPr>
      </w:pPr>
    </w:p>
    <w:p w14:paraId="50D215D5" w14:textId="77777777" w:rsidR="006901B3" w:rsidRDefault="00E60668">
      <w:pPr>
        <w:spacing w:after="160" w:line="259" w:lineRule="auto"/>
        <w:rPr>
          <w:rStyle w:val="Normal2Car"/>
        </w:rPr>
      </w:pPr>
      <w:r>
        <w:rPr>
          <w:rStyle w:val="Normal2Car"/>
        </w:rPr>
        <w:br w:type="page"/>
      </w:r>
    </w:p>
    <w:p w14:paraId="394F3E04" w14:textId="4CD3937E" w:rsidR="006901B3" w:rsidRDefault="006901B3">
      <w:pPr>
        <w:spacing w:after="160" w:line="259" w:lineRule="auto"/>
        <w:rPr>
          <w:rStyle w:val="Normal2C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945"/>
        <w:gridCol w:w="2185"/>
        <w:gridCol w:w="1323"/>
        <w:gridCol w:w="1465"/>
        <w:gridCol w:w="2701"/>
      </w:tblGrid>
      <w:tr w:rsidR="006901B3" w:rsidRPr="00E60668" w14:paraId="512C8B76" w14:textId="77777777" w:rsidTr="00F57ACE">
        <w:trPr>
          <w:trHeight w:val="144"/>
          <w:jc w:val="center"/>
        </w:trPr>
        <w:tc>
          <w:tcPr>
            <w:tcW w:w="0" w:type="auto"/>
            <w:gridSpan w:val="5"/>
            <w:tcBorders>
              <w:top w:val="nil"/>
              <w:left w:val="nil"/>
              <w:bottom w:val="nil"/>
              <w:right w:val="nil"/>
            </w:tcBorders>
          </w:tcPr>
          <w:p w14:paraId="3FAEE16F" w14:textId="7F425AD3" w:rsidR="006901B3" w:rsidRPr="00E60668" w:rsidRDefault="006901B3" w:rsidP="00F57ACE">
            <w:pPr>
              <w:widowControl w:val="0"/>
              <w:autoSpaceDE w:val="0"/>
              <w:autoSpaceDN w:val="0"/>
              <w:adjustRightInd w:val="0"/>
              <w:rPr>
                <w:b/>
                <w:bCs/>
                <w:sz w:val="16"/>
                <w:szCs w:val="16"/>
              </w:rPr>
            </w:pPr>
            <w:r w:rsidRPr="00E60668">
              <w:rPr>
                <w:b/>
                <w:bCs/>
                <w:sz w:val="16"/>
                <w:szCs w:val="16"/>
              </w:rPr>
              <w:t>Table A</w:t>
            </w:r>
            <w:r>
              <w:rPr>
                <w:b/>
                <w:bCs/>
                <w:sz w:val="16"/>
                <w:szCs w:val="16"/>
              </w:rPr>
              <w:t>7</w:t>
            </w:r>
          </w:p>
        </w:tc>
        <w:tc>
          <w:tcPr>
            <w:tcW w:w="0" w:type="auto"/>
            <w:tcBorders>
              <w:top w:val="nil"/>
              <w:left w:val="nil"/>
              <w:bottom w:val="nil"/>
              <w:right w:val="nil"/>
            </w:tcBorders>
          </w:tcPr>
          <w:p w14:paraId="330B3CE9" w14:textId="77777777" w:rsidR="006901B3" w:rsidRPr="00E60668" w:rsidRDefault="006901B3" w:rsidP="00F57ACE">
            <w:pPr>
              <w:widowControl w:val="0"/>
              <w:autoSpaceDE w:val="0"/>
              <w:autoSpaceDN w:val="0"/>
              <w:adjustRightInd w:val="0"/>
              <w:rPr>
                <w:b/>
                <w:bCs/>
                <w:sz w:val="16"/>
                <w:szCs w:val="16"/>
              </w:rPr>
            </w:pPr>
          </w:p>
        </w:tc>
      </w:tr>
      <w:tr w:rsidR="006901B3" w:rsidRPr="00E60668" w14:paraId="053FCA37" w14:textId="77777777" w:rsidTr="00F57ACE">
        <w:trPr>
          <w:trHeight w:val="144"/>
          <w:jc w:val="center"/>
        </w:trPr>
        <w:tc>
          <w:tcPr>
            <w:tcW w:w="0" w:type="auto"/>
            <w:gridSpan w:val="5"/>
            <w:tcBorders>
              <w:top w:val="nil"/>
              <w:left w:val="nil"/>
              <w:bottom w:val="single" w:sz="4" w:space="0" w:color="auto"/>
              <w:right w:val="nil"/>
            </w:tcBorders>
          </w:tcPr>
          <w:p w14:paraId="34EF1F62" w14:textId="7C31E94A" w:rsidR="006901B3" w:rsidRPr="00E60668" w:rsidRDefault="00B01D5F" w:rsidP="00F57ACE">
            <w:pPr>
              <w:widowControl w:val="0"/>
              <w:autoSpaceDE w:val="0"/>
              <w:autoSpaceDN w:val="0"/>
              <w:adjustRightInd w:val="0"/>
              <w:rPr>
                <w:b/>
                <w:bCs/>
                <w:sz w:val="16"/>
                <w:szCs w:val="16"/>
              </w:rPr>
            </w:pPr>
            <w:r w:rsidRPr="00B01D5F">
              <w:rPr>
                <w:b/>
                <w:bCs/>
                <w:sz w:val="16"/>
                <w:szCs w:val="16"/>
              </w:rPr>
              <w:t xml:space="preserve">Validation </w:t>
            </w:r>
            <w:r w:rsidR="006901B3" w:rsidRPr="00E60668">
              <w:rPr>
                <w:b/>
                <w:bCs/>
                <w:sz w:val="16"/>
                <w:szCs w:val="16"/>
              </w:rPr>
              <w:t xml:space="preserve">of CFIUS interventions </w:t>
            </w:r>
            <w:r>
              <w:rPr>
                <w:b/>
                <w:bCs/>
                <w:sz w:val="16"/>
                <w:szCs w:val="16"/>
              </w:rPr>
              <w:t xml:space="preserve">involving listed targets </w:t>
            </w:r>
            <w:r w:rsidR="006901B3" w:rsidRPr="00E60668">
              <w:rPr>
                <w:b/>
                <w:bCs/>
                <w:sz w:val="16"/>
                <w:szCs w:val="16"/>
              </w:rPr>
              <w:t>during FINSA</w:t>
            </w:r>
          </w:p>
          <w:p w14:paraId="5493D38F" w14:textId="77777777" w:rsidR="006901B3" w:rsidRPr="00E60668" w:rsidRDefault="006901B3" w:rsidP="00F57ACE">
            <w:pPr>
              <w:widowControl w:val="0"/>
              <w:autoSpaceDE w:val="0"/>
              <w:autoSpaceDN w:val="0"/>
              <w:adjustRightInd w:val="0"/>
              <w:jc w:val="both"/>
              <w:rPr>
                <w:sz w:val="16"/>
                <w:szCs w:val="16"/>
              </w:rPr>
            </w:pPr>
          </w:p>
        </w:tc>
        <w:tc>
          <w:tcPr>
            <w:tcW w:w="0" w:type="auto"/>
            <w:tcBorders>
              <w:top w:val="nil"/>
              <w:left w:val="nil"/>
              <w:bottom w:val="single" w:sz="4" w:space="0" w:color="auto"/>
              <w:right w:val="nil"/>
            </w:tcBorders>
          </w:tcPr>
          <w:p w14:paraId="4627F070" w14:textId="77777777" w:rsidR="006901B3" w:rsidRPr="00E60668" w:rsidRDefault="006901B3" w:rsidP="00F57ACE">
            <w:pPr>
              <w:widowControl w:val="0"/>
              <w:autoSpaceDE w:val="0"/>
              <w:autoSpaceDN w:val="0"/>
              <w:adjustRightInd w:val="0"/>
              <w:rPr>
                <w:b/>
                <w:bCs/>
                <w:sz w:val="16"/>
                <w:szCs w:val="16"/>
              </w:rPr>
            </w:pPr>
          </w:p>
        </w:tc>
      </w:tr>
      <w:tr w:rsidR="00830C24" w:rsidRPr="00E60668" w14:paraId="616BDFC5" w14:textId="77777777" w:rsidTr="00F57ACE">
        <w:trPr>
          <w:trHeight w:val="144"/>
          <w:jc w:val="center"/>
        </w:trPr>
        <w:tc>
          <w:tcPr>
            <w:tcW w:w="0" w:type="auto"/>
            <w:tcBorders>
              <w:top w:val="single" w:sz="4" w:space="0" w:color="auto"/>
            </w:tcBorders>
            <w:hideMark/>
          </w:tcPr>
          <w:p w14:paraId="7B3D4511" w14:textId="77777777" w:rsidR="00830C24" w:rsidRPr="00E60668" w:rsidRDefault="00830C24" w:rsidP="00830C24">
            <w:pPr>
              <w:widowControl w:val="0"/>
              <w:autoSpaceDE w:val="0"/>
              <w:autoSpaceDN w:val="0"/>
              <w:adjustRightInd w:val="0"/>
              <w:rPr>
                <w:sz w:val="16"/>
                <w:szCs w:val="16"/>
              </w:rPr>
            </w:pPr>
            <w:r w:rsidRPr="00E60668">
              <w:rPr>
                <w:b/>
                <w:bCs/>
                <w:sz w:val="16"/>
                <w:szCs w:val="16"/>
              </w:rPr>
              <w:t>ID</w:t>
            </w:r>
          </w:p>
        </w:tc>
        <w:tc>
          <w:tcPr>
            <w:tcW w:w="0" w:type="auto"/>
            <w:tcBorders>
              <w:top w:val="single" w:sz="4" w:space="0" w:color="auto"/>
            </w:tcBorders>
          </w:tcPr>
          <w:p w14:paraId="788F9A01" w14:textId="77777777" w:rsidR="00830C24" w:rsidRPr="00E60668" w:rsidRDefault="00830C24" w:rsidP="00830C24">
            <w:pPr>
              <w:widowControl w:val="0"/>
              <w:autoSpaceDE w:val="0"/>
              <w:autoSpaceDN w:val="0"/>
              <w:adjustRightInd w:val="0"/>
              <w:rPr>
                <w:sz w:val="16"/>
                <w:szCs w:val="16"/>
              </w:rPr>
            </w:pPr>
            <w:r w:rsidRPr="00E60668">
              <w:rPr>
                <w:b/>
                <w:bCs/>
                <w:sz w:val="16"/>
                <w:szCs w:val="16"/>
              </w:rPr>
              <w:t>Date</w:t>
            </w:r>
          </w:p>
        </w:tc>
        <w:tc>
          <w:tcPr>
            <w:tcW w:w="0" w:type="auto"/>
            <w:tcBorders>
              <w:top w:val="single" w:sz="4" w:space="0" w:color="auto"/>
            </w:tcBorders>
          </w:tcPr>
          <w:p w14:paraId="381409E1" w14:textId="77777777" w:rsidR="00830C24" w:rsidRPr="00E60668" w:rsidRDefault="00830C24" w:rsidP="00830C24">
            <w:pPr>
              <w:widowControl w:val="0"/>
              <w:autoSpaceDE w:val="0"/>
              <w:autoSpaceDN w:val="0"/>
              <w:adjustRightInd w:val="0"/>
              <w:rPr>
                <w:sz w:val="16"/>
                <w:szCs w:val="16"/>
              </w:rPr>
            </w:pPr>
            <w:r w:rsidRPr="00E60668">
              <w:rPr>
                <w:b/>
                <w:bCs/>
                <w:sz w:val="16"/>
                <w:szCs w:val="16"/>
              </w:rPr>
              <w:t>Target</w:t>
            </w:r>
          </w:p>
        </w:tc>
        <w:tc>
          <w:tcPr>
            <w:tcW w:w="0" w:type="auto"/>
            <w:tcBorders>
              <w:top w:val="single" w:sz="4" w:space="0" w:color="auto"/>
            </w:tcBorders>
          </w:tcPr>
          <w:p w14:paraId="73CBDDC5" w14:textId="6199EB97" w:rsidR="00830C24" w:rsidRPr="003A2572" w:rsidRDefault="00830C24" w:rsidP="00830C24">
            <w:pPr>
              <w:widowControl w:val="0"/>
              <w:autoSpaceDE w:val="0"/>
              <w:autoSpaceDN w:val="0"/>
              <w:adjustRightInd w:val="0"/>
              <w:rPr>
                <w:b/>
                <w:sz w:val="16"/>
                <w:szCs w:val="16"/>
              </w:rPr>
            </w:pPr>
            <w:r>
              <w:rPr>
                <w:b/>
                <w:bCs/>
                <w:sz w:val="16"/>
                <w:szCs w:val="16"/>
              </w:rPr>
              <w:t>Industry notices</w:t>
            </w:r>
          </w:p>
        </w:tc>
        <w:tc>
          <w:tcPr>
            <w:tcW w:w="0" w:type="auto"/>
            <w:tcBorders>
              <w:top w:val="single" w:sz="4" w:space="0" w:color="auto"/>
            </w:tcBorders>
          </w:tcPr>
          <w:p w14:paraId="6F07B105" w14:textId="4A5EC06B" w:rsidR="00830C24" w:rsidRPr="00E60668" w:rsidRDefault="00830C24" w:rsidP="00830C24">
            <w:pPr>
              <w:widowControl w:val="0"/>
              <w:autoSpaceDE w:val="0"/>
              <w:autoSpaceDN w:val="0"/>
              <w:adjustRightInd w:val="0"/>
              <w:rPr>
                <w:b/>
                <w:bCs/>
                <w:sz w:val="16"/>
                <w:szCs w:val="16"/>
              </w:rPr>
            </w:pPr>
            <w:r w:rsidRPr="003A2572">
              <w:rPr>
                <w:b/>
                <w:sz w:val="16"/>
                <w:szCs w:val="16"/>
              </w:rPr>
              <w:t>Deal value</w:t>
            </w:r>
            <w:r>
              <w:rPr>
                <w:b/>
                <w:sz w:val="16"/>
                <w:szCs w:val="16"/>
              </w:rPr>
              <w:t xml:space="preserve"> </w:t>
            </w:r>
            <w:r w:rsidRPr="00AD55AA">
              <w:rPr>
                <w:b/>
                <w:bCs/>
                <w:sz w:val="16"/>
                <w:szCs w:val="16"/>
              </w:rPr>
              <w:t>($ mln)</w:t>
            </w:r>
          </w:p>
        </w:tc>
        <w:tc>
          <w:tcPr>
            <w:tcW w:w="0" w:type="auto"/>
            <w:tcBorders>
              <w:top w:val="single" w:sz="4" w:space="0" w:color="auto"/>
            </w:tcBorders>
          </w:tcPr>
          <w:p w14:paraId="151F00BC" w14:textId="340065AD" w:rsidR="00830C24" w:rsidRPr="00E60668" w:rsidRDefault="00830C24" w:rsidP="00830C24">
            <w:pPr>
              <w:widowControl w:val="0"/>
              <w:autoSpaceDE w:val="0"/>
              <w:autoSpaceDN w:val="0"/>
              <w:adjustRightInd w:val="0"/>
              <w:rPr>
                <w:b/>
                <w:bCs/>
                <w:sz w:val="16"/>
                <w:szCs w:val="16"/>
              </w:rPr>
            </w:pPr>
            <w:r>
              <w:rPr>
                <w:b/>
                <w:bCs/>
                <w:sz w:val="16"/>
                <w:szCs w:val="16"/>
              </w:rPr>
              <w:t xml:space="preserve">Industry average total assets </w:t>
            </w:r>
            <w:r w:rsidRPr="00AD55AA">
              <w:rPr>
                <w:b/>
                <w:bCs/>
                <w:sz w:val="16"/>
                <w:szCs w:val="16"/>
              </w:rPr>
              <w:t>($ mln)</w:t>
            </w:r>
          </w:p>
        </w:tc>
      </w:tr>
      <w:tr w:rsidR="00830C24" w:rsidRPr="00E60668" w14:paraId="2F5EB0C5" w14:textId="77777777" w:rsidTr="00830C24">
        <w:trPr>
          <w:trHeight w:val="144"/>
          <w:jc w:val="center"/>
        </w:trPr>
        <w:tc>
          <w:tcPr>
            <w:tcW w:w="0" w:type="auto"/>
          </w:tcPr>
          <w:p w14:paraId="0274809B" w14:textId="77777777" w:rsidR="00830C24" w:rsidRPr="00E60668" w:rsidRDefault="00830C24" w:rsidP="00830C24">
            <w:pPr>
              <w:widowControl w:val="0"/>
              <w:autoSpaceDE w:val="0"/>
              <w:autoSpaceDN w:val="0"/>
              <w:adjustRightInd w:val="0"/>
              <w:rPr>
                <w:sz w:val="16"/>
                <w:szCs w:val="16"/>
              </w:rPr>
            </w:pPr>
            <w:r w:rsidRPr="00E60668">
              <w:rPr>
                <w:sz w:val="16"/>
                <w:szCs w:val="16"/>
              </w:rPr>
              <w:t>1</w:t>
            </w:r>
          </w:p>
        </w:tc>
        <w:tc>
          <w:tcPr>
            <w:tcW w:w="0" w:type="auto"/>
          </w:tcPr>
          <w:p w14:paraId="4A766D56" w14:textId="77777777" w:rsidR="00830C24" w:rsidRPr="00E60668" w:rsidRDefault="00830C24" w:rsidP="00830C24">
            <w:pPr>
              <w:widowControl w:val="0"/>
              <w:autoSpaceDE w:val="0"/>
              <w:autoSpaceDN w:val="0"/>
              <w:adjustRightInd w:val="0"/>
              <w:rPr>
                <w:sz w:val="16"/>
                <w:szCs w:val="16"/>
              </w:rPr>
            </w:pPr>
            <w:r w:rsidRPr="00E60668">
              <w:rPr>
                <w:sz w:val="16"/>
                <w:szCs w:val="16"/>
              </w:rPr>
              <w:t>2/21/2008</w:t>
            </w:r>
          </w:p>
        </w:tc>
        <w:tc>
          <w:tcPr>
            <w:tcW w:w="0" w:type="auto"/>
          </w:tcPr>
          <w:p w14:paraId="3C4D4A78" w14:textId="77777777" w:rsidR="00830C24" w:rsidRPr="00E60668" w:rsidRDefault="00830C24" w:rsidP="00830C24">
            <w:pPr>
              <w:widowControl w:val="0"/>
              <w:autoSpaceDE w:val="0"/>
              <w:autoSpaceDN w:val="0"/>
              <w:adjustRightInd w:val="0"/>
              <w:rPr>
                <w:sz w:val="16"/>
                <w:szCs w:val="16"/>
              </w:rPr>
            </w:pPr>
            <w:r w:rsidRPr="00E60668">
              <w:rPr>
                <w:sz w:val="16"/>
                <w:szCs w:val="16"/>
              </w:rPr>
              <w:t>3com corp</w:t>
            </w:r>
          </w:p>
        </w:tc>
        <w:tc>
          <w:tcPr>
            <w:tcW w:w="0" w:type="auto"/>
          </w:tcPr>
          <w:p w14:paraId="7C2EC059" w14:textId="09CD2F56" w:rsidR="00830C24" w:rsidRPr="00AD55AA" w:rsidRDefault="00830C24" w:rsidP="00830C24">
            <w:pPr>
              <w:widowControl w:val="0"/>
              <w:autoSpaceDE w:val="0"/>
              <w:autoSpaceDN w:val="0"/>
              <w:adjustRightInd w:val="0"/>
              <w:jc w:val="center"/>
              <w:rPr>
                <w:sz w:val="16"/>
                <w:szCs w:val="16"/>
              </w:rPr>
            </w:pPr>
            <w:r>
              <w:rPr>
                <w:sz w:val="16"/>
                <w:szCs w:val="16"/>
              </w:rPr>
              <w:t>33</w:t>
            </w:r>
          </w:p>
        </w:tc>
        <w:tc>
          <w:tcPr>
            <w:tcW w:w="0" w:type="auto"/>
            <w:vAlign w:val="center"/>
          </w:tcPr>
          <w:p w14:paraId="2895FF9C" w14:textId="300898BF" w:rsidR="00830C24" w:rsidRPr="00E60668" w:rsidRDefault="00830C24" w:rsidP="00830C24">
            <w:pPr>
              <w:widowControl w:val="0"/>
              <w:autoSpaceDE w:val="0"/>
              <w:autoSpaceDN w:val="0"/>
              <w:adjustRightInd w:val="0"/>
              <w:jc w:val="center"/>
              <w:rPr>
                <w:sz w:val="16"/>
                <w:szCs w:val="16"/>
              </w:rPr>
            </w:pPr>
            <w:r w:rsidRPr="00AD55AA">
              <w:rPr>
                <w:sz w:val="16"/>
                <w:szCs w:val="16"/>
              </w:rPr>
              <w:t>2,200</w:t>
            </w:r>
          </w:p>
        </w:tc>
        <w:tc>
          <w:tcPr>
            <w:tcW w:w="0" w:type="auto"/>
            <w:vAlign w:val="bottom"/>
          </w:tcPr>
          <w:p w14:paraId="1D7BBF18" w14:textId="60BDB25A" w:rsidR="00830C24" w:rsidRPr="001228EC" w:rsidRDefault="00DA6211" w:rsidP="00830C24">
            <w:pPr>
              <w:widowControl w:val="0"/>
              <w:autoSpaceDE w:val="0"/>
              <w:autoSpaceDN w:val="0"/>
              <w:adjustRightInd w:val="0"/>
              <w:jc w:val="center"/>
              <w:rPr>
                <w:sz w:val="16"/>
                <w:szCs w:val="16"/>
              </w:rPr>
            </w:pPr>
            <w:r w:rsidRPr="00DA6211">
              <w:rPr>
                <w:sz w:val="16"/>
                <w:szCs w:val="16"/>
              </w:rPr>
              <w:t>1</w:t>
            </w:r>
            <w:r>
              <w:rPr>
                <w:sz w:val="16"/>
                <w:szCs w:val="16"/>
              </w:rPr>
              <w:t>,</w:t>
            </w:r>
            <w:r w:rsidRPr="00DA6211">
              <w:rPr>
                <w:sz w:val="16"/>
                <w:szCs w:val="16"/>
              </w:rPr>
              <w:t>643</w:t>
            </w:r>
          </w:p>
        </w:tc>
      </w:tr>
      <w:tr w:rsidR="00830C24" w:rsidRPr="00E60668" w14:paraId="380E2A0B" w14:textId="77777777" w:rsidTr="00830C24">
        <w:trPr>
          <w:trHeight w:val="144"/>
          <w:jc w:val="center"/>
        </w:trPr>
        <w:tc>
          <w:tcPr>
            <w:tcW w:w="0" w:type="auto"/>
          </w:tcPr>
          <w:p w14:paraId="5EB0401E" w14:textId="77777777" w:rsidR="00830C24" w:rsidRPr="00E60668" w:rsidRDefault="00830C24" w:rsidP="00830C24">
            <w:pPr>
              <w:widowControl w:val="0"/>
              <w:autoSpaceDE w:val="0"/>
              <w:autoSpaceDN w:val="0"/>
              <w:adjustRightInd w:val="0"/>
              <w:rPr>
                <w:sz w:val="16"/>
                <w:szCs w:val="16"/>
              </w:rPr>
            </w:pPr>
            <w:r>
              <w:rPr>
                <w:sz w:val="16"/>
                <w:szCs w:val="16"/>
              </w:rPr>
              <w:t>2</w:t>
            </w:r>
          </w:p>
        </w:tc>
        <w:tc>
          <w:tcPr>
            <w:tcW w:w="0" w:type="auto"/>
          </w:tcPr>
          <w:p w14:paraId="2A98B4D6" w14:textId="77777777" w:rsidR="00830C24" w:rsidRPr="00E60668" w:rsidRDefault="00830C24" w:rsidP="00830C24">
            <w:pPr>
              <w:widowControl w:val="0"/>
              <w:autoSpaceDE w:val="0"/>
              <w:autoSpaceDN w:val="0"/>
              <w:adjustRightInd w:val="0"/>
              <w:rPr>
                <w:sz w:val="16"/>
                <w:szCs w:val="16"/>
              </w:rPr>
            </w:pPr>
            <w:r w:rsidRPr="00E60668">
              <w:rPr>
                <w:sz w:val="16"/>
                <w:szCs w:val="16"/>
              </w:rPr>
              <w:t>6/24/2010</w:t>
            </w:r>
          </w:p>
        </w:tc>
        <w:tc>
          <w:tcPr>
            <w:tcW w:w="0" w:type="auto"/>
            <w:vAlign w:val="bottom"/>
          </w:tcPr>
          <w:p w14:paraId="3F5E4BD6" w14:textId="77777777" w:rsidR="00830C24" w:rsidRPr="00E60668" w:rsidRDefault="00830C24" w:rsidP="00830C24">
            <w:pPr>
              <w:widowControl w:val="0"/>
              <w:autoSpaceDE w:val="0"/>
              <w:autoSpaceDN w:val="0"/>
              <w:adjustRightInd w:val="0"/>
              <w:rPr>
                <w:sz w:val="16"/>
                <w:szCs w:val="16"/>
              </w:rPr>
            </w:pPr>
            <w:r w:rsidRPr="00E60668">
              <w:rPr>
                <w:sz w:val="16"/>
                <w:szCs w:val="16"/>
              </w:rPr>
              <w:t>Emcore corp</w:t>
            </w:r>
          </w:p>
        </w:tc>
        <w:tc>
          <w:tcPr>
            <w:tcW w:w="0" w:type="auto"/>
          </w:tcPr>
          <w:p w14:paraId="1F901F45" w14:textId="01142C09" w:rsidR="00830C24" w:rsidRPr="00AD55AA" w:rsidRDefault="00830C24" w:rsidP="00830C24">
            <w:pPr>
              <w:widowControl w:val="0"/>
              <w:autoSpaceDE w:val="0"/>
              <w:autoSpaceDN w:val="0"/>
              <w:adjustRightInd w:val="0"/>
              <w:jc w:val="center"/>
              <w:rPr>
                <w:sz w:val="16"/>
                <w:szCs w:val="16"/>
              </w:rPr>
            </w:pPr>
            <w:r>
              <w:rPr>
                <w:sz w:val="16"/>
                <w:szCs w:val="16"/>
              </w:rPr>
              <w:t>17</w:t>
            </w:r>
          </w:p>
        </w:tc>
        <w:tc>
          <w:tcPr>
            <w:tcW w:w="0" w:type="auto"/>
            <w:vAlign w:val="center"/>
          </w:tcPr>
          <w:p w14:paraId="770C5B53" w14:textId="54D8A2FD" w:rsidR="00830C24" w:rsidRPr="00E60668" w:rsidRDefault="00830C24" w:rsidP="00830C24">
            <w:pPr>
              <w:widowControl w:val="0"/>
              <w:autoSpaceDE w:val="0"/>
              <w:autoSpaceDN w:val="0"/>
              <w:adjustRightInd w:val="0"/>
              <w:jc w:val="center"/>
              <w:rPr>
                <w:sz w:val="16"/>
                <w:szCs w:val="16"/>
              </w:rPr>
            </w:pPr>
            <w:r w:rsidRPr="00AD55AA">
              <w:rPr>
                <w:sz w:val="16"/>
                <w:szCs w:val="16"/>
              </w:rPr>
              <w:t>28</w:t>
            </w:r>
          </w:p>
        </w:tc>
        <w:tc>
          <w:tcPr>
            <w:tcW w:w="0" w:type="auto"/>
            <w:vAlign w:val="bottom"/>
          </w:tcPr>
          <w:p w14:paraId="30188760" w14:textId="1419D825" w:rsidR="00830C24" w:rsidRPr="001228EC" w:rsidRDefault="00DA6211" w:rsidP="00830C24">
            <w:pPr>
              <w:widowControl w:val="0"/>
              <w:autoSpaceDE w:val="0"/>
              <w:autoSpaceDN w:val="0"/>
              <w:adjustRightInd w:val="0"/>
              <w:jc w:val="center"/>
              <w:rPr>
                <w:sz w:val="16"/>
                <w:szCs w:val="16"/>
              </w:rPr>
            </w:pPr>
            <w:r w:rsidRPr="00DA6211">
              <w:rPr>
                <w:sz w:val="16"/>
                <w:szCs w:val="16"/>
              </w:rPr>
              <w:t>2</w:t>
            </w:r>
            <w:r>
              <w:rPr>
                <w:sz w:val="16"/>
                <w:szCs w:val="16"/>
              </w:rPr>
              <w:t>,</w:t>
            </w:r>
            <w:r w:rsidRPr="00DA6211">
              <w:rPr>
                <w:sz w:val="16"/>
                <w:szCs w:val="16"/>
              </w:rPr>
              <w:t>218</w:t>
            </w:r>
          </w:p>
        </w:tc>
      </w:tr>
      <w:tr w:rsidR="00830C24" w:rsidRPr="00E60668" w14:paraId="697E0AF1" w14:textId="77777777" w:rsidTr="00830C24">
        <w:trPr>
          <w:trHeight w:val="144"/>
          <w:jc w:val="center"/>
        </w:trPr>
        <w:tc>
          <w:tcPr>
            <w:tcW w:w="0" w:type="auto"/>
          </w:tcPr>
          <w:p w14:paraId="126FBC5E" w14:textId="77777777" w:rsidR="00830C24" w:rsidRPr="00E60668" w:rsidRDefault="00830C24" w:rsidP="00830C24">
            <w:pPr>
              <w:widowControl w:val="0"/>
              <w:autoSpaceDE w:val="0"/>
              <w:autoSpaceDN w:val="0"/>
              <w:adjustRightInd w:val="0"/>
              <w:rPr>
                <w:sz w:val="16"/>
                <w:szCs w:val="16"/>
              </w:rPr>
            </w:pPr>
            <w:r>
              <w:rPr>
                <w:sz w:val="16"/>
                <w:szCs w:val="16"/>
              </w:rPr>
              <w:t>3</w:t>
            </w:r>
          </w:p>
        </w:tc>
        <w:tc>
          <w:tcPr>
            <w:tcW w:w="0" w:type="auto"/>
          </w:tcPr>
          <w:p w14:paraId="639A29DA" w14:textId="77777777" w:rsidR="00830C24" w:rsidRPr="00E60668" w:rsidRDefault="00830C24" w:rsidP="00830C24">
            <w:pPr>
              <w:widowControl w:val="0"/>
              <w:autoSpaceDE w:val="0"/>
              <w:autoSpaceDN w:val="0"/>
              <w:adjustRightInd w:val="0"/>
              <w:rPr>
                <w:sz w:val="16"/>
                <w:szCs w:val="16"/>
              </w:rPr>
            </w:pPr>
            <w:r>
              <w:rPr>
                <w:sz w:val="16"/>
                <w:szCs w:val="16"/>
              </w:rPr>
              <w:t>7/01/2010</w:t>
            </w:r>
          </w:p>
        </w:tc>
        <w:tc>
          <w:tcPr>
            <w:tcW w:w="0" w:type="auto"/>
          </w:tcPr>
          <w:p w14:paraId="2C4489E1" w14:textId="77777777" w:rsidR="00830C24" w:rsidRPr="00E60668" w:rsidRDefault="00830C24" w:rsidP="00830C24">
            <w:pPr>
              <w:widowControl w:val="0"/>
              <w:autoSpaceDE w:val="0"/>
              <w:autoSpaceDN w:val="0"/>
              <w:adjustRightInd w:val="0"/>
              <w:rPr>
                <w:sz w:val="16"/>
                <w:szCs w:val="16"/>
              </w:rPr>
            </w:pPr>
            <w:r>
              <w:rPr>
                <w:sz w:val="16"/>
                <w:szCs w:val="16"/>
              </w:rPr>
              <w:t>Motorola solutions inc</w:t>
            </w:r>
          </w:p>
        </w:tc>
        <w:tc>
          <w:tcPr>
            <w:tcW w:w="0" w:type="auto"/>
          </w:tcPr>
          <w:p w14:paraId="5C6A55FA" w14:textId="1378BA6E" w:rsidR="00830C24" w:rsidRPr="00AD55AA" w:rsidRDefault="00830C24" w:rsidP="00830C24">
            <w:pPr>
              <w:widowControl w:val="0"/>
              <w:autoSpaceDE w:val="0"/>
              <w:autoSpaceDN w:val="0"/>
              <w:adjustRightInd w:val="0"/>
              <w:jc w:val="center"/>
              <w:rPr>
                <w:sz w:val="16"/>
                <w:szCs w:val="16"/>
              </w:rPr>
            </w:pPr>
            <w:r>
              <w:rPr>
                <w:sz w:val="16"/>
                <w:szCs w:val="16"/>
              </w:rPr>
              <w:t>17</w:t>
            </w:r>
          </w:p>
        </w:tc>
        <w:tc>
          <w:tcPr>
            <w:tcW w:w="0" w:type="auto"/>
            <w:vAlign w:val="center"/>
          </w:tcPr>
          <w:p w14:paraId="76713E78" w14:textId="15F1A851" w:rsidR="00830C24" w:rsidRPr="00E60668" w:rsidRDefault="00830C24" w:rsidP="00830C24">
            <w:pPr>
              <w:widowControl w:val="0"/>
              <w:autoSpaceDE w:val="0"/>
              <w:autoSpaceDN w:val="0"/>
              <w:adjustRightInd w:val="0"/>
              <w:jc w:val="center"/>
              <w:rPr>
                <w:sz w:val="16"/>
                <w:szCs w:val="16"/>
              </w:rPr>
            </w:pPr>
            <w:r w:rsidRPr="00AD55AA">
              <w:rPr>
                <w:sz w:val="16"/>
                <w:szCs w:val="16"/>
              </w:rPr>
              <w:t>16,000</w:t>
            </w:r>
          </w:p>
        </w:tc>
        <w:tc>
          <w:tcPr>
            <w:tcW w:w="0" w:type="auto"/>
            <w:vAlign w:val="bottom"/>
          </w:tcPr>
          <w:p w14:paraId="71767BF3" w14:textId="48E3B91D" w:rsidR="00830C24" w:rsidRPr="001228EC" w:rsidRDefault="00DA6211" w:rsidP="00830C24">
            <w:pPr>
              <w:widowControl w:val="0"/>
              <w:autoSpaceDE w:val="0"/>
              <w:autoSpaceDN w:val="0"/>
              <w:adjustRightInd w:val="0"/>
              <w:jc w:val="center"/>
              <w:rPr>
                <w:sz w:val="16"/>
                <w:szCs w:val="16"/>
              </w:rPr>
            </w:pPr>
            <w:r w:rsidRPr="00DA6211">
              <w:rPr>
                <w:sz w:val="16"/>
                <w:szCs w:val="16"/>
              </w:rPr>
              <w:t>2</w:t>
            </w:r>
            <w:r>
              <w:rPr>
                <w:sz w:val="16"/>
                <w:szCs w:val="16"/>
              </w:rPr>
              <w:t>,</w:t>
            </w:r>
            <w:r w:rsidRPr="00DA6211">
              <w:rPr>
                <w:sz w:val="16"/>
                <w:szCs w:val="16"/>
              </w:rPr>
              <w:t>218</w:t>
            </w:r>
          </w:p>
        </w:tc>
      </w:tr>
      <w:tr w:rsidR="00830C24" w:rsidRPr="00E60668" w14:paraId="74DBCE70" w14:textId="77777777" w:rsidTr="00830C24">
        <w:trPr>
          <w:trHeight w:val="144"/>
          <w:jc w:val="center"/>
        </w:trPr>
        <w:tc>
          <w:tcPr>
            <w:tcW w:w="0" w:type="auto"/>
          </w:tcPr>
          <w:p w14:paraId="2376AE86" w14:textId="77777777" w:rsidR="00830C24" w:rsidRPr="00E60668" w:rsidRDefault="00830C24" w:rsidP="00830C24">
            <w:pPr>
              <w:widowControl w:val="0"/>
              <w:autoSpaceDE w:val="0"/>
              <w:autoSpaceDN w:val="0"/>
              <w:adjustRightInd w:val="0"/>
              <w:rPr>
                <w:sz w:val="16"/>
                <w:szCs w:val="16"/>
              </w:rPr>
            </w:pPr>
            <w:r>
              <w:rPr>
                <w:sz w:val="16"/>
                <w:szCs w:val="16"/>
              </w:rPr>
              <w:t>4</w:t>
            </w:r>
          </w:p>
        </w:tc>
        <w:tc>
          <w:tcPr>
            <w:tcW w:w="0" w:type="auto"/>
          </w:tcPr>
          <w:p w14:paraId="1B11FE88" w14:textId="77777777" w:rsidR="00830C24" w:rsidRPr="00E60668" w:rsidRDefault="00830C24" w:rsidP="00830C24">
            <w:pPr>
              <w:widowControl w:val="0"/>
              <w:autoSpaceDE w:val="0"/>
              <w:autoSpaceDN w:val="0"/>
              <w:adjustRightInd w:val="0"/>
              <w:rPr>
                <w:sz w:val="16"/>
                <w:szCs w:val="16"/>
              </w:rPr>
            </w:pPr>
            <w:r w:rsidRPr="00E60668">
              <w:rPr>
                <w:sz w:val="16"/>
                <w:szCs w:val="16"/>
              </w:rPr>
              <w:t>10/18/2012</w:t>
            </w:r>
          </w:p>
        </w:tc>
        <w:tc>
          <w:tcPr>
            <w:tcW w:w="0" w:type="auto"/>
            <w:vAlign w:val="bottom"/>
          </w:tcPr>
          <w:p w14:paraId="1C5E758F" w14:textId="77777777" w:rsidR="00830C24" w:rsidRPr="00E60668" w:rsidRDefault="00830C24" w:rsidP="00830C24">
            <w:pPr>
              <w:widowControl w:val="0"/>
              <w:autoSpaceDE w:val="0"/>
              <w:autoSpaceDN w:val="0"/>
              <w:adjustRightInd w:val="0"/>
              <w:rPr>
                <w:sz w:val="16"/>
                <w:szCs w:val="16"/>
              </w:rPr>
            </w:pPr>
            <w:r w:rsidRPr="00E60668">
              <w:rPr>
                <w:sz w:val="16"/>
                <w:szCs w:val="16"/>
              </w:rPr>
              <w:t>Hawker beechcraft inc</w:t>
            </w:r>
          </w:p>
        </w:tc>
        <w:tc>
          <w:tcPr>
            <w:tcW w:w="0" w:type="auto"/>
          </w:tcPr>
          <w:p w14:paraId="6ED0B3BB" w14:textId="7AD37719" w:rsidR="00830C24" w:rsidRPr="00AD55AA" w:rsidRDefault="00830C24" w:rsidP="00830C24">
            <w:pPr>
              <w:widowControl w:val="0"/>
              <w:autoSpaceDE w:val="0"/>
              <w:autoSpaceDN w:val="0"/>
              <w:adjustRightInd w:val="0"/>
              <w:jc w:val="center"/>
              <w:rPr>
                <w:sz w:val="16"/>
                <w:szCs w:val="16"/>
              </w:rPr>
            </w:pPr>
            <w:r>
              <w:rPr>
                <w:sz w:val="16"/>
                <w:szCs w:val="16"/>
              </w:rPr>
              <w:t>5</w:t>
            </w:r>
          </w:p>
        </w:tc>
        <w:tc>
          <w:tcPr>
            <w:tcW w:w="0" w:type="auto"/>
            <w:vAlign w:val="center"/>
          </w:tcPr>
          <w:p w14:paraId="578C0365" w14:textId="72D2EE2F" w:rsidR="00830C24" w:rsidRPr="00E60668" w:rsidRDefault="00830C24" w:rsidP="00830C24">
            <w:pPr>
              <w:widowControl w:val="0"/>
              <w:autoSpaceDE w:val="0"/>
              <w:autoSpaceDN w:val="0"/>
              <w:adjustRightInd w:val="0"/>
              <w:jc w:val="center"/>
              <w:rPr>
                <w:sz w:val="16"/>
                <w:szCs w:val="16"/>
              </w:rPr>
            </w:pPr>
            <w:r w:rsidRPr="00AD55AA">
              <w:rPr>
                <w:sz w:val="16"/>
                <w:szCs w:val="16"/>
              </w:rPr>
              <w:t>1,800</w:t>
            </w:r>
          </w:p>
        </w:tc>
        <w:tc>
          <w:tcPr>
            <w:tcW w:w="0" w:type="auto"/>
            <w:vAlign w:val="bottom"/>
          </w:tcPr>
          <w:p w14:paraId="316B1A46" w14:textId="152D1BCA" w:rsidR="00830C24" w:rsidRPr="001228EC" w:rsidRDefault="00B06518" w:rsidP="00830C24">
            <w:pPr>
              <w:widowControl w:val="0"/>
              <w:autoSpaceDE w:val="0"/>
              <w:autoSpaceDN w:val="0"/>
              <w:adjustRightInd w:val="0"/>
              <w:jc w:val="center"/>
              <w:rPr>
                <w:sz w:val="16"/>
                <w:szCs w:val="16"/>
              </w:rPr>
            </w:pPr>
            <w:r w:rsidRPr="00B06518">
              <w:rPr>
                <w:sz w:val="16"/>
                <w:szCs w:val="16"/>
              </w:rPr>
              <w:t>8</w:t>
            </w:r>
            <w:r>
              <w:rPr>
                <w:sz w:val="16"/>
                <w:szCs w:val="16"/>
              </w:rPr>
              <w:t>,</w:t>
            </w:r>
            <w:r w:rsidRPr="00B06518">
              <w:rPr>
                <w:sz w:val="16"/>
                <w:szCs w:val="16"/>
              </w:rPr>
              <w:t>319</w:t>
            </w:r>
          </w:p>
        </w:tc>
      </w:tr>
      <w:tr w:rsidR="00830C24" w:rsidRPr="00E60668" w14:paraId="7633D9AA" w14:textId="77777777" w:rsidTr="00830C24">
        <w:trPr>
          <w:trHeight w:val="144"/>
          <w:jc w:val="center"/>
        </w:trPr>
        <w:tc>
          <w:tcPr>
            <w:tcW w:w="0" w:type="auto"/>
          </w:tcPr>
          <w:p w14:paraId="2F8B84D1" w14:textId="77777777" w:rsidR="00830C24" w:rsidRPr="00E60668" w:rsidRDefault="00830C24" w:rsidP="00830C24">
            <w:pPr>
              <w:widowControl w:val="0"/>
              <w:autoSpaceDE w:val="0"/>
              <w:autoSpaceDN w:val="0"/>
              <w:adjustRightInd w:val="0"/>
              <w:rPr>
                <w:sz w:val="16"/>
                <w:szCs w:val="16"/>
              </w:rPr>
            </w:pPr>
            <w:r>
              <w:rPr>
                <w:sz w:val="16"/>
                <w:szCs w:val="16"/>
              </w:rPr>
              <w:t>5</w:t>
            </w:r>
          </w:p>
        </w:tc>
        <w:tc>
          <w:tcPr>
            <w:tcW w:w="0" w:type="auto"/>
          </w:tcPr>
          <w:p w14:paraId="16730F95" w14:textId="77777777" w:rsidR="00830C24" w:rsidRPr="00E60668" w:rsidRDefault="00830C24" w:rsidP="00830C24">
            <w:pPr>
              <w:widowControl w:val="0"/>
              <w:autoSpaceDE w:val="0"/>
              <w:autoSpaceDN w:val="0"/>
              <w:adjustRightInd w:val="0"/>
              <w:rPr>
                <w:sz w:val="16"/>
                <w:szCs w:val="16"/>
              </w:rPr>
            </w:pPr>
            <w:r w:rsidRPr="00E60668">
              <w:rPr>
                <w:sz w:val="16"/>
                <w:szCs w:val="16"/>
              </w:rPr>
              <w:t>2/16/2016</w:t>
            </w:r>
          </w:p>
        </w:tc>
        <w:tc>
          <w:tcPr>
            <w:tcW w:w="0" w:type="auto"/>
            <w:vAlign w:val="bottom"/>
          </w:tcPr>
          <w:p w14:paraId="57298FCF" w14:textId="77777777" w:rsidR="00830C24" w:rsidRPr="00E60668" w:rsidRDefault="00830C24" w:rsidP="00830C24">
            <w:pPr>
              <w:widowControl w:val="0"/>
              <w:autoSpaceDE w:val="0"/>
              <w:autoSpaceDN w:val="0"/>
              <w:adjustRightInd w:val="0"/>
              <w:rPr>
                <w:sz w:val="16"/>
                <w:szCs w:val="16"/>
              </w:rPr>
            </w:pPr>
            <w:r w:rsidRPr="00E60668">
              <w:rPr>
                <w:sz w:val="16"/>
                <w:szCs w:val="16"/>
              </w:rPr>
              <w:t>Fairchild semiconductor inc</w:t>
            </w:r>
          </w:p>
        </w:tc>
        <w:tc>
          <w:tcPr>
            <w:tcW w:w="0" w:type="auto"/>
          </w:tcPr>
          <w:p w14:paraId="707ED961" w14:textId="431D2345" w:rsidR="00830C24" w:rsidRPr="00AD55AA" w:rsidRDefault="00830C24" w:rsidP="00830C24">
            <w:pPr>
              <w:widowControl w:val="0"/>
              <w:autoSpaceDE w:val="0"/>
              <w:autoSpaceDN w:val="0"/>
              <w:adjustRightInd w:val="0"/>
              <w:jc w:val="center"/>
              <w:rPr>
                <w:sz w:val="16"/>
                <w:szCs w:val="16"/>
              </w:rPr>
            </w:pPr>
            <w:r>
              <w:rPr>
                <w:sz w:val="16"/>
                <w:szCs w:val="16"/>
              </w:rPr>
              <w:t>25</w:t>
            </w:r>
          </w:p>
        </w:tc>
        <w:tc>
          <w:tcPr>
            <w:tcW w:w="0" w:type="auto"/>
            <w:vAlign w:val="center"/>
          </w:tcPr>
          <w:p w14:paraId="4D664EA1" w14:textId="21087B36" w:rsidR="00830C24" w:rsidRPr="00E60668" w:rsidRDefault="00830C24" w:rsidP="00830C24">
            <w:pPr>
              <w:widowControl w:val="0"/>
              <w:autoSpaceDE w:val="0"/>
              <w:autoSpaceDN w:val="0"/>
              <w:adjustRightInd w:val="0"/>
              <w:jc w:val="center"/>
              <w:rPr>
                <w:sz w:val="16"/>
                <w:szCs w:val="16"/>
              </w:rPr>
            </w:pPr>
            <w:r w:rsidRPr="00AD55AA">
              <w:rPr>
                <w:sz w:val="16"/>
                <w:szCs w:val="16"/>
              </w:rPr>
              <w:t>2,460</w:t>
            </w:r>
          </w:p>
        </w:tc>
        <w:tc>
          <w:tcPr>
            <w:tcW w:w="0" w:type="auto"/>
            <w:vAlign w:val="bottom"/>
          </w:tcPr>
          <w:p w14:paraId="68E36202" w14:textId="1629DD27" w:rsidR="00830C24" w:rsidRPr="001228EC" w:rsidRDefault="00DA6211" w:rsidP="00830C24">
            <w:pPr>
              <w:widowControl w:val="0"/>
              <w:autoSpaceDE w:val="0"/>
              <w:autoSpaceDN w:val="0"/>
              <w:adjustRightInd w:val="0"/>
              <w:jc w:val="center"/>
              <w:rPr>
                <w:sz w:val="16"/>
                <w:szCs w:val="16"/>
              </w:rPr>
            </w:pPr>
            <w:r w:rsidRPr="00DA6211">
              <w:rPr>
                <w:sz w:val="16"/>
                <w:szCs w:val="16"/>
              </w:rPr>
              <w:t>3</w:t>
            </w:r>
            <w:r>
              <w:rPr>
                <w:sz w:val="16"/>
                <w:szCs w:val="16"/>
              </w:rPr>
              <w:t>,</w:t>
            </w:r>
            <w:r w:rsidRPr="00DA6211">
              <w:rPr>
                <w:sz w:val="16"/>
                <w:szCs w:val="16"/>
              </w:rPr>
              <w:t>963</w:t>
            </w:r>
          </w:p>
        </w:tc>
      </w:tr>
      <w:tr w:rsidR="00830C24" w:rsidRPr="00E60668" w14:paraId="08054FEA" w14:textId="77777777" w:rsidTr="00830C24">
        <w:trPr>
          <w:trHeight w:val="144"/>
          <w:jc w:val="center"/>
        </w:trPr>
        <w:tc>
          <w:tcPr>
            <w:tcW w:w="0" w:type="auto"/>
          </w:tcPr>
          <w:p w14:paraId="3E324106" w14:textId="77777777" w:rsidR="00830C24" w:rsidRPr="00E60668" w:rsidRDefault="00830C24" w:rsidP="00830C24">
            <w:pPr>
              <w:widowControl w:val="0"/>
              <w:autoSpaceDE w:val="0"/>
              <w:autoSpaceDN w:val="0"/>
              <w:adjustRightInd w:val="0"/>
              <w:rPr>
                <w:sz w:val="16"/>
                <w:szCs w:val="16"/>
              </w:rPr>
            </w:pPr>
            <w:r>
              <w:rPr>
                <w:sz w:val="16"/>
                <w:szCs w:val="16"/>
              </w:rPr>
              <w:t>6</w:t>
            </w:r>
          </w:p>
        </w:tc>
        <w:tc>
          <w:tcPr>
            <w:tcW w:w="0" w:type="auto"/>
          </w:tcPr>
          <w:p w14:paraId="28F55D2C" w14:textId="77777777" w:rsidR="00830C24" w:rsidRPr="00E60668" w:rsidRDefault="00830C24" w:rsidP="00830C24">
            <w:pPr>
              <w:widowControl w:val="0"/>
              <w:autoSpaceDE w:val="0"/>
              <w:autoSpaceDN w:val="0"/>
              <w:adjustRightInd w:val="0"/>
              <w:rPr>
                <w:sz w:val="16"/>
                <w:szCs w:val="16"/>
              </w:rPr>
            </w:pPr>
            <w:r w:rsidRPr="00E60668">
              <w:rPr>
                <w:sz w:val="16"/>
                <w:szCs w:val="16"/>
              </w:rPr>
              <w:t>2/23/2016</w:t>
            </w:r>
          </w:p>
        </w:tc>
        <w:tc>
          <w:tcPr>
            <w:tcW w:w="0" w:type="auto"/>
            <w:vAlign w:val="bottom"/>
          </w:tcPr>
          <w:p w14:paraId="68041A3A" w14:textId="77777777" w:rsidR="00830C24" w:rsidRPr="00E60668" w:rsidRDefault="00830C24" w:rsidP="00830C24">
            <w:pPr>
              <w:widowControl w:val="0"/>
              <w:autoSpaceDE w:val="0"/>
              <w:autoSpaceDN w:val="0"/>
              <w:adjustRightInd w:val="0"/>
              <w:rPr>
                <w:sz w:val="16"/>
                <w:szCs w:val="16"/>
              </w:rPr>
            </w:pPr>
            <w:r w:rsidRPr="00E60668">
              <w:rPr>
                <w:sz w:val="16"/>
                <w:szCs w:val="16"/>
              </w:rPr>
              <w:t>Western digital corp</w:t>
            </w:r>
          </w:p>
        </w:tc>
        <w:tc>
          <w:tcPr>
            <w:tcW w:w="0" w:type="auto"/>
          </w:tcPr>
          <w:p w14:paraId="006F1A96" w14:textId="33543966" w:rsidR="00830C24" w:rsidRPr="00AD55AA" w:rsidRDefault="00830C24" w:rsidP="00830C24">
            <w:pPr>
              <w:widowControl w:val="0"/>
              <w:autoSpaceDE w:val="0"/>
              <w:autoSpaceDN w:val="0"/>
              <w:adjustRightInd w:val="0"/>
              <w:jc w:val="center"/>
              <w:rPr>
                <w:sz w:val="16"/>
                <w:szCs w:val="16"/>
              </w:rPr>
            </w:pPr>
            <w:r>
              <w:rPr>
                <w:sz w:val="16"/>
                <w:szCs w:val="16"/>
              </w:rPr>
              <w:t>25</w:t>
            </w:r>
          </w:p>
        </w:tc>
        <w:tc>
          <w:tcPr>
            <w:tcW w:w="0" w:type="auto"/>
            <w:vAlign w:val="center"/>
          </w:tcPr>
          <w:p w14:paraId="415B951B" w14:textId="5D6B7D17" w:rsidR="00830C24" w:rsidRPr="00E60668" w:rsidRDefault="00830C24" w:rsidP="00830C24">
            <w:pPr>
              <w:widowControl w:val="0"/>
              <w:autoSpaceDE w:val="0"/>
              <w:autoSpaceDN w:val="0"/>
              <w:adjustRightInd w:val="0"/>
              <w:jc w:val="center"/>
              <w:rPr>
                <w:sz w:val="16"/>
                <w:szCs w:val="16"/>
              </w:rPr>
            </w:pPr>
            <w:r w:rsidRPr="00AD55AA">
              <w:rPr>
                <w:sz w:val="16"/>
                <w:szCs w:val="16"/>
              </w:rPr>
              <w:t>3,780</w:t>
            </w:r>
          </w:p>
        </w:tc>
        <w:tc>
          <w:tcPr>
            <w:tcW w:w="0" w:type="auto"/>
            <w:vAlign w:val="bottom"/>
          </w:tcPr>
          <w:p w14:paraId="7173F184" w14:textId="25EBA7E7" w:rsidR="00830C24" w:rsidRPr="001228EC" w:rsidRDefault="00DA6211" w:rsidP="00830C24">
            <w:pPr>
              <w:widowControl w:val="0"/>
              <w:autoSpaceDE w:val="0"/>
              <w:autoSpaceDN w:val="0"/>
              <w:adjustRightInd w:val="0"/>
              <w:jc w:val="center"/>
              <w:rPr>
                <w:sz w:val="16"/>
                <w:szCs w:val="16"/>
              </w:rPr>
            </w:pPr>
            <w:r w:rsidRPr="00DA6211">
              <w:rPr>
                <w:sz w:val="16"/>
                <w:szCs w:val="16"/>
              </w:rPr>
              <w:t>3</w:t>
            </w:r>
            <w:r>
              <w:rPr>
                <w:sz w:val="16"/>
                <w:szCs w:val="16"/>
              </w:rPr>
              <w:t>,</w:t>
            </w:r>
            <w:r w:rsidRPr="00DA6211">
              <w:rPr>
                <w:sz w:val="16"/>
                <w:szCs w:val="16"/>
              </w:rPr>
              <w:t>963</w:t>
            </w:r>
          </w:p>
        </w:tc>
      </w:tr>
      <w:tr w:rsidR="00830C24" w:rsidRPr="00E60668" w14:paraId="1875D92C" w14:textId="77777777" w:rsidTr="00830C24">
        <w:trPr>
          <w:trHeight w:val="144"/>
          <w:jc w:val="center"/>
        </w:trPr>
        <w:tc>
          <w:tcPr>
            <w:tcW w:w="0" w:type="auto"/>
          </w:tcPr>
          <w:p w14:paraId="4ED77A55" w14:textId="77777777" w:rsidR="00830C24" w:rsidRPr="00E60668" w:rsidRDefault="00830C24" w:rsidP="00830C24">
            <w:pPr>
              <w:widowControl w:val="0"/>
              <w:autoSpaceDE w:val="0"/>
              <w:autoSpaceDN w:val="0"/>
              <w:adjustRightInd w:val="0"/>
              <w:rPr>
                <w:sz w:val="16"/>
                <w:szCs w:val="16"/>
              </w:rPr>
            </w:pPr>
            <w:r>
              <w:rPr>
                <w:sz w:val="16"/>
                <w:szCs w:val="16"/>
              </w:rPr>
              <w:t>7</w:t>
            </w:r>
          </w:p>
        </w:tc>
        <w:tc>
          <w:tcPr>
            <w:tcW w:w="0" w:type="auto"/>
          </w:tcPr>
          <w:p w14:paraId="3B7CDCCE" w14:textId="77777777" w:rsidR="00830C24" w:rsidRPr="00E60668" w:rsidRDefault="00830C24" w:rsidP="00830C24">
            <w:pPr>
              <w:widowControl w:val="0"/>
              <w:autoSpaceDE w:val="0"/>
              <w:autoSpaceDN w:val="0"/>
              <w:adjustRightInd w:val="0"/>
              <w:rPr>
                <w:sz w:val="16"/>
                <w:szCs w:val="16"/>
              </w:rPr>
            </w:pPr>
            <w:r w:rsidRPr="00E60668">
              <w:rPr>
                <w:sz w:val="16"/>
                <w:szCs w:val="16"/>
              </w:rPr>
              <w:t>3/28/2016</w:t>
            </w:r>
          </w:p>
        </w:tc>
        <w:tc>
          <w:tcPr>
            <w:tcW w:w="0" w:type="auto"/>
            <w:vAlign w:val="bottom"/>
          </w:tcPr>
          <w:p w14:paraId="402FA114" w14:textId="77777777" w:rsidR="00830C24" w:rsidRPr="00E60668" w:rsidRDefault="00830C24" w:rsidP="00830C24">
            <w:pPr>
              <w:widowControl w:val="0"/>
              <w:autoSpaceDE w:val="0"/>
              <w:autoSpaceDN w:val="0"/>
              <w:adjustRightInd w:val="0"/>
              <w:rPr>
                <w:sz w:val="16"/>
                <w:szCs w:val="16"/>
              </w:rPr>
            </w:pPr>
            <w:r w:rsidRPr="00E60668">
              <w:rPr>
                <w:sz w:val="16"/>
                <w:szCs w:val="16"/>
              </w:rPr>
              <w:t>Affymetrix inc</w:t>
            </w:r>
          </w:p>
        </w:tc>
        <w:tc>
          <w:tcPr>
            <w:tcW w:w="0" w:type="auto"/>
          </w:tcPr>
          <w:p w14:paraId="7E4358B9" w14:textId="1F95CCD0" w:rsidR="00830C24" w:rsidRPr="00AD55AA" w:rsidRDefault="00830C24" w:rsidP="00830C24">
            <w:pPr>
              <w:widowControl w:val="0"/>
              <w:autoSpaceDE w:val="0"/>
              <w:autoSpaceDN w:val="0"/>
              <w:adjustRightInd w:val="0"/>
              <w:jc w:val="center"/>
              <w:rPr>
                <w:sz w:val="16"/>
                <w:szCs w:val="16"/>
              </w:rPr>
            </w:pPr>
            <w:r>
              <w:rPr>
                <w:sz w:val="16"/>
                <w:szCs w:val="16"/>
              </w:rPr>
              <w:t>25</w:t>
            </w:r>
          </w:p>
        </w:tc>
        <w:tc>
          <w:tcPr>
            <w:tcW w:w="0" w:type="auto"/>
            <w:vAlign w:val="center"/>
          </w:tcPr>
          <w:p w14:paraId="78AFB6F3" w14:textId="7FAAB737" w:rsidR="00830C24" w:rsidRPr="00E60668" w:rsidRDefault="00830C24" w:rsidP="00830C24">
            <w:pPr>
              <w:widowControl w:val="0"/>
              <w:autoSpaceDE w:val="0"/>
              <w:autoSpaceDN w:val="0"/>
              <w:adjustRightInd w:val="0"/>
              <w:jc w:val="center"/>
              <w:rPr>
                <w:sz w:val="16"/>
                <w:szCs w:val="16"/>
              </w:rPr>
            </w:pPr>
            <w:r w:rsidRPr="00AD55AA">
              <w:rPr>
                <w:sz w:val="16"/>
                <w:szCs w:val="16"/>
              </w:rPr>
              <w:t>1,600</w:t>
            </w:r>
          </w:p>
        </w:tc>
        <w:tc>
          <w:tcPr>
            <w:tcW w:w="0" w:type="auto"/>
            <w:vAlign w:val="bottom"/>
          </w:tcPr>
          <w:p w14:paraId="080A9153" w14:textId="5C9BBA1F" w:rsidR="00830C24" w:rsidRPr="001228EC" w:rsidRDefault="00DA6211" w:rsidP="00830C24">
            <w:pPr>
              <w:widowControl w:val="0"/>
              <w:autoSpaceDE w:val="0"/>
              <w:autoSpaceDN w:val="0"/>
              <w:adjustRightInd w:val="0"/>
              <w:jc w:val="center"/>
              <w:rPr>
                <w:sz w:val="16"/>
                <w:szCs w:val="16"/>
              </w:rPr>
            </w:pPr>
            <w:r w:rsidRPr="00DA6211">
              <w:rPr>
                <w:sz w:val="16"/>
                <w:szCs w:val="16"/>
              </w:rPr>
              <w:t>3</w:t>
            </w:r>
            <w:r>
              <w:rPr>
                <w:sz w:val="16"/>
                <w:szCs w:val="16"/>
              </w:rPr>
              <w:t>,</w:t>
            </w:r>
            <w:r w:rsidRPr="00DA6211">
              <w:rPr>
                <w:sz w:val="16"/>
                <w:szCs w:val="16"/>
              </w:rPr>
              <w:t>963</w:t>
            </w:r>
          </w:p>
        </w:tc>
      </w:tr>
      <w:tr w:rsidR="00830C24" w:rsidRPr="00E60668" w14:paraId="4769E229" w14:textId="77777777" w:rsidTr="00830C24">
        <w:trPr>
          <w:trHeight w:val="144"/>
          <w:jc w:val="center"/>
        </w:trPr>
        <w:tc>
          <w:tcPr>
            <w:tcW w:w="0" w:type="auto"/>
          </w:tcPr>
          <w:p w14:paraId="7C19336A" w14:textId="77777777" w:rsidR="00830C24" w:rsidRPr="00E60668" w:rsidRDefault="00830C24" w:rsidP="00830C24">
            <w:pPr>
              <w:widowControl w:val="0"/>
              <w:autoSpaceDE w:val="0"/>
              <w:autoSpaceDN w:val="0"/>
              <w:adjustRightInd w:val="0"/>
              <w:rPr>
                <w:sz w:val="16"/>
                <w:szCs w:val="16"/>
              </w:rPr>
            </w:pPr>
            <w:r>
              <w:rPr>
                <w:sz w:val="16"/>
                <w:szCs w:val="16"/>
              </w:rPr>
              <w:t>8</w:t>
            </w:r>
          </w:p>
        </w:tc>
        <w:tc>
          <w:tcPr>
            <w:tcW w:w="0" w:type="auto"/>
          </w:tcPr>
          <w:p w14:paraId="6DD65FD1" w14:textId="77777777" w:rsidR="00830C24" w:rsidRPr="00E60668" w:rsidRDefault="00830C24" w:rsidP="00830C24">
            <w:pPr>
              <w:widowControl w:val="0"/>
              <w:autoSpaceDE w:val="0"/>
              <w:autoSpaceDN w:val="0"/>
              <w:adjustRightInd w:val="0"/>
              <w:rPr>
                <w:sz w:val="16"/>
                <w:szCs w:val="16"/>
              </w:rPr>
            </w:pPr>
            <w:r w:rsidRPr="00E60668">
              <w:rPr>
                <w:sz w:val="16"/>
                <w:szCs w:val="16"/>
              </w:rPr>
              <w:t>5/27/2016</w:t>
            </w:r>
          </w:p>
        </w:tc>
        <w:tc>
          <w:tcPr>
            <w:tcW w:w="0" w:type="auto"/>
            <w:vAlign w:val="bottom"/>
          </w:tcPr>
          <w:p w14:paraId="5426CDEF" w14:textId="77777777" w:rsidR="00830C24" w:rsidRPr="00E60668" w:rsidRDefault="00830C24" w:rsidP="00830C24">
            <w:pPr>
              <w:widowControl w:val="0"/>
              <w:autoSpaceDE w:val="0"/>
              <w:autoSpaceDN w:val="0"/>
              <w:adjustRightInd w:val="0"/>
              <w:rPr>
                <w:sz w:val="16"/>
                <w:szCs w:val="16"/>
              </w:rPr>
            </w:pPr>
            <w:r w:rsidRPr="00E60668">
              <w:rPr>
                <w:sz w:val="16"/>
                <w:szCs w:val="16"/>
              </w:rPr>
              <w:t>Terex corp</w:t>
            </w:r>
          </w:p>
        </w:tc>
        <w:tc>
          <w:tcPr>
            <w:tcW w:w="0" w:type="auto"/>
          </w:tcPr>
          <w:p w14:paraId="6FB73126" w14:textId="1537A179" w:rsidR="00830C24" w:rsidRPr="00AD55AA" w:rsidRDefault="00830C24" w:rsidP="00830C24">
            <w:pPr>
              <w:widowControl w:val="0"/>
              <w:autoSpaceDE w:val="0"/>
              <w:autoSpaceDN w:val="0"/>
              <w:adjustRightInd w:val="0"/>
              <w:jc w:val="center"/>
              <w:rPr>
                <w:sz w:val="16"/>
                <w:szCs w:val="16"/>
              </w:rPr>
            </w:pPr>
            <w:r>
              <w:rPr>
                <w:sz w:val="16"/>
                <w:szCs w:val="16"/>
              </w:rPr>
              <w:t>11</w:t>
            </w:r>
          </w:p>
        </w:tc>
        <w:tc>
          <w:tcPr>
            <w:tcW w:w="0" w:type="auto"/>
            <w:vAlign w:val="center"/>
          </w:tcPr>
          <w:p w14:paraId="61E56B26" w14:textId="5343AD58" w:rsidR="00830C24" w:rsidRPr="00E60668" w:rsidRDefault="00830C24" w:rsidP="00830C24">
            <w:pPr>
              <w:widowControl w:val="0"/>
              <w:autoSpaceDE w:val="0"/>
              <w:autoSpaceDN w:val="0"/>
              <w:adjustRightInd w:val="0"/>
              <w:jc w:val="center"/>
              <w:rPr>
                <w:sz w:val="16"/>
                <w:szCs w:val="16"/>
              </w:rPr>
            </w:pPr>
            <w:r w:rsidRPr="00AD55AA">
              <w:rPr>
                <w:sz w:val="16"/>
                <w:szCs w:val="16"/>
              </w:rPr>
              <w:t>3,400</w:t>
            </w:r>
          </w:p>
        </w:tc>
        <w:tc>
          <w:tcPr>
            <w:tcW w:w="0" w:type="auto"/>
            <w:vAlign w:val="bottom"/>
          </w:tcPr>
          <w:p w14:paraId="394C83D2" w14:textId="05519BA4" w:rsidR="00830C24" w:rsidRPr="001228EC" w:rsidRDefault="006C4972" w:rsidP="00830C24">
            <w:pPr>
              <w:widowControl w:val="0"/>
              <w:autoSpaceDE w:val="0"/>
              <w:autoSpaceDN w:val="0"/>
              <w:adjustRightInd w:val="0"/>
              <w:jc w:val="center"/>
              <w:rPr>
                <w:sz w:val="16"/>
                <w:szCs w:val="16"/>
              </w:rPr>
            </w:pPr>
            <w:r w:rsidRPr="006C4972">
              <w:rPr>
                <w:sz w:val="16"/>
                <w:szCs w:val="16"/>
              </w:rPr>
              <w:t>3</w:t>
            </w:r>
            <w:r>
              <w:rPr>
                <w:sz w:val="16"/>
                <w:szCs w:val="16"/>
              </w:rPr>
              <w:t>,</w:t>
            </w:r>
            <w:r w:rsidRPr="006C4972">
              <w:rPr>
                <w:sz w:val="16"/>
                <w:szCs w:val="16"/>
              </w:rPr>
              <w:t>045</w:t>
            </w:r>
          </w:p>
        </w:tc>
      </w:tr>
      <w:tr w:rsidR="00830C24" w:rsidRPr="00E60668" w14:paraId="55EF5DEA" w14:textId="77777777" w:rsidTr="00830C24">
        <w:trPr>
          <w:trHeight w:val="144"/>
          <w:jc w:val="center"/>
        </w:trPr>
        <w:tc>
          <w:tcPr>
            <w:tcW w:w="0" w:type="auto"/>
          </w:tcPr>
          <w:p w14:paraId="441614B0" w14:textId="77777777" w:rsidR="00830C24" w:rsidRPr="00E60668" w:rsidRDefault="00830C24" w:rsidP="00830C24">
            <w:pPr>
              <w:widowControl w:val="0"/>
              <w:autoSpaceDE w:val="0"/>
              <w:autoSpaceDN w:val="0"/>
              <w:adjustRightInd w:val="0"/>
              <w:rPr>
                <w:sz w:val="16"/>
                <w:szCs w:val="16"/>
              </w:rPr>
            </w:pPr>
            <w:r>
              <w:rPr>
                <w:sz w:val="16"/>
                <w:szCs w:val="16"/>
              </w:rPr>
              <w:t>9</w:t>
            </w:r>
          </w:p>
        </w:tc>
        <w:tc>
          <w:tcPr>
            <w:tcW w:w="0" w:type="auto"/>
          </w:tcPr>
          <w:p w14:paraId="1E247CF4" w14:textId="77777777" w:rsidR="00830C24" w:rsidRPr="00E60668" w:rsidRDefault="00830C24" w:rsidP="00830C24">
            <w:pPr>
              <w:widowControl w:val="0"/>
              <w:autoSpaceDE w:val="0"/>
              <w:autoSpaceDN w:val="0"/>
              <w:adjustRightInd w:val="0"/>
              <w:rPr>
                <w:sz w:val="16"/>
                <w:szCs w:val="16"/>
              </w:rPr>
            </w:pPr>
            <w:r w:rsidRPr="00E60668">
              <w:rPr>
                <w:sz w:val="16"/>
                <w:szCs w:val="16"/>
              </w:rPr>
              <w:t>11/5/2016</w:t>
            </w:r>
          </w:p>
        </w:tc>
        <w:tc>
          <w:tcPr>
            <w:tcW w:w="0" w:type="auto"/>
            <w:vAlign w:val="bottom"/>
          </w:tcPr>
          <w:p w14:paraId="78DA6E62" w14:textId="77777777" w:rsidR="00830C24" w:rsidRPr="00E60668" w:rsidRDefault="00830C24" w:rsidP="00830C24">
            <w:pPr>
              <w:widowControl w:val="0"/>
              <w:autoSpaceDE w:val="0"/>
              <w:autoSpaceDN w:val="0"/>
              <w:adjustRightInd w:val="0"/>
              <w:rPr>
                <w:sz w:val="16"/>
                <w:szCs w:val="16"/>
              </w:rPr>
            </w:pPr>
            <w:r w:rsidRPr="00E60668">
              <w:rPr>
                <w:sz w:val="16"/>
                <w:szCs w:val="16"/>
              </w:rPr>
              <w:t>Vizio holdings inc</w:t>
            </w:r>
          </w:p>
        </w:tc>
        <w:tc>
          <w:tcPr>
            <w:tcW w:w="0" w:type="auto"/>
          </w:tcPr>
          <w:p w14:paraId="6EC9AC52" w14:textId="623720F8" w:rsidR="00830C24" w:rsidRPr="00AD55AA" w:rsidRDefault="00830C24" w:rsidP="00830C24">
            <w:pPr>
              <w:widowControl w:val="0"/>
              <w:autoSpaceDE w:val="0"/>
              <w:autoSpaceDN w:val="0"/>
              <w:adjustRightInd w:val="0"/>
              <w:jc w:val="center"/>
              <w:rPr>
                <w:sz w:val="16"/>
                <w:szCs w:val="16"/>
              </w:rPr>
            </w:pPr>
            <w:r>
              <w:rPr>
                <w:sz w:val="16"/>
                <w:szCs w:val="16"/>
              </w:rPr>
              <w:t>25</w:t>
            </w:r>
          </w:p>
        </w:tc>
        <w:tc>
          <w:tcPr>
            <w:tcW w:w="0" w:type="auto"/>
            <w:vAlign w:val="center"/>
          </w:tcPr>
          <w:p w14:paraId="49E4B668" w14:textId="665DE641" w:rsidR="00830C24" w:rsidRPr="00E60668" w:rsidRDefault="00830C24" w:rsidP="00830C24">
            <w:pPr>
              <w:widowControl w:val="0"/>
              <w:autoSpaceDE w:val="0"/>
              <w:autoSpaceDN w:val="0"/>
              <w:adjustRightInd w:val="0"/>
              <w:jc w:val="center"/>
              <w:rPr>
                <w:sz w:val="16"/>
                <w:szCs w:val="16"/>
              </w:rPr>
            </w:pPr>
            <w:r w:rsidRPr="00AD55AA">
              <w:rPr>
                <w:sz w:val="16"/>
                <w:szCs w:val="16"/>
              </w:rPr>
              <w:t>2,250</w:t>
            </w:r>
          </w:p>
        </w:tc>
        <w:tc>
          <w:tcPr>
            <w:tcW w:w="0" w:type="auto"/>
            <w:vAlign w:val="bottom"/>
          </w:tcPr>
          <w:p w14:paraId="66368DEB" w14:textId="05255C08" w:rsidR="00830C24" w:rsidRPr="001228EC" w:rsidRDefault="00DA6211" w:rsidP="00830C24">
            <w:pPr>
              <w:widowControl w:val="0"/>
              <w:autoSpaceDE w:val="0"/>
              <w:autoSpaceDN w:val="0"/>
              <w:adjustRightInd w:val="0"/>
              <w:jc w:val="center"/>
              <w:rPr>
                <w:sz w:val="16"/>
                <w:szCs w:val="16"/>
              </w:rPr>
            </w:pPr>
            <w:r w:rsidRPr="00DA6211">
              <w:rPr>
                <w:sz w:val="16"/>
                <w:szCs w:val="16"/>
              </w:rPr>
              <w:t>3</w:t>
            </w:r>
            <w:r>
              <w:rPr>
                <w:sz w:val="16"/>
                <w:szCs w:val="16"/>
              </w:rPr>
              <w:t>,</w:t>
            </w:r>
            <w:r w:rsidRPr="00DA6211">
              <w:rPr>
                <w:sz w:val="16"/>
                <w:szCs w:val="16"/>
              </w:rPr>
              <w:t>963</w:t>
            </w:r>
          </w:p>
        </w:tc>
      </w:tr>
      <w:tr w:rsidR="00830C24" w:rsidRPr="00E60668" w14:paraId="1C92949D" w14:textId="77777777" w:rsidTr="00830C24">
        <w:trPr>
          <w:trHeight w:val="144"/>
          <w:jc w:val="center"/>
        </w:trPr>
        <w:tc>
          <w:tcPr>
            <w:tcW w:w="0" w:type="auto"/>
          </w:tcPr>
          <w:p w14:paraId="5AF2C946" w14:textId="77777777" w:rsidR="00830C24" w:rsidRPr="00E60668" w:rsidRDefault="00830C24" w:rsidP="00830C24">
            <w:pPr>
              <w:widowControl w:val="0"/>
              <w:autoSpaceDE w:val="0"/>
              <w:autoSpaceDN w:val="0"/>
              <w:adjustRightInd w:val="0"/>
              <w:rPr>
                <w:sz w:val="16"/>
                <w:szCs w:val="16"/>
              </w:rPr>
            </w:pPr>
            <w:r>
              <w:rPr>
                <w:sz w:val="16"/>
                <w:szCs w:val="16"/>
              </w:rPr>
              <w:t>10</w:t>
            </w:r>
          </w:p>
        </w:tc>
        <w:tc>
          <w:tcPr>
            <w:tcW w:w="0" w:type="auto"/>
          </w:tcPr>
          <w:p w14:paraId="2F207885" w14:textId="77777777" w:rsidR="00830C24" w:rsidRPr="00E60668" w:rsidRDefault="00830C24" w:rsidP="00830C24">
            <w:pPr>
              <w:widowControl w:val="0"/>
              <w:autoSpaceDE w:val="0"/>
              <w:autoSpaceDN w:val="0"/>
              <w:adjustRightInd w:val="0"/>
              <w:rPr>
                <w:sz w:val="16"/>
                <w:szCs w:val="16"/>
              </w:rPr>
            </w:pPr>
            <w:r w:rsidRPr="00E60668">
              <w:rPr>
                <w:sz w:val="16"/>
                <w:szCs w:val="16"/>
              </w:rPr>
              <w:t>12/2/2016</w:t>
            </w:r>
          </w:p>
        </w:tc>
        <w:tc>
          <w:tcPr>
            <w:tcW w:w="0" w:type="auto"/>
            <w:vAlign w:val="bottom"/>
          </w:tcPr>
          <w:p w14:paraId="0BBC43FC" w14:textId="77777777" w:rsidR="00830C24" w:rsidRPr="00E60668" w:rsidRDefault="00830C24" w:rsidP="00830C24">
            <w:pPr>
              <w:widowControl w:val="0"/>
              <w:autoSpaceDE w:val="0"/>
              <w:autoSpaceDN w:val="0"/>
              <w:adjustRightInd w:val="0"/>
              <w:rPr>
                <w:sz w:val="16"/>
                <w:szCs w:val="16"/>
              </w:rPr>
            </w:pPr>
            <w:r w:rsidRPr="00E60668">
              <w:rPr>
                <w:sz w:val="16"/>
                <w:szCs w:val="16"/>
              </w:rPr>
              <w:t>Aixtron se</w:t>
            </w:r>
          </w:p>
        </w:tc>
        <w:tc>
          <w:tcPr>
            <w:tcW w:w="0" w:type="auto"/>
          </w:tcPr>
          <w:p w14:paraId="5088E0D4" w14:textId="1B595B1B" w:rsidR="00830C24" w:rsidRPr="00AD55AA" w:rsidRDefault="00830C24" w:rsidP="00830C24">
            <w:pPr>
              <w:widowControl w:val="0"/>
              <w:autoSpaceDE w:val="0"/>
              <w:autoSpaceDN w:val="0"/>
              <w:adjustRightInd w:val="0"/>
              <w:jc w:val="center"/>
              <w:rPr>
                <w:sz w:val="16"/>
                <w:szCs w:val="16"/>
              </w:rPr>
            </w:pPr>
            <w:r>
              <w:rPr>
                <w:sz w:val="16"/>
                <w:szCs w:val="16"/>
              </w:rPr>
              <w:t>11</w:t>
            </w:r>
          </w:p>
        </w:tc>
        <w:tc>
          <w:tcPr>
            <w:tcW w:w="0" w:type="auto"/>
            <w:vAlign w:val="center"/>
          </w:tcPr>
          <w:p w14:paraId="2E260D64" w14:textId="3B572AEC" w:rsidR="00830C24" w:rsidRPr="00E60668" w:rsidRDefault="00830C24" w:rsidP="00830C24">
            <w:pPr>
              <w:widowControl w:val="0"/>
              <w:autoSpaceDE w:val="0"/>
              <w:autoSpaceDN w:val="0"/>
              <w:adjustRightInd w:val="0"/>
              <w:jc w:val="center"/>
              <w:rPr>
                <w:sz w:val="16"/>
                <w:szCs w:val="16"/>
              </w:rPr>
            </w:pPr>
            <w:r w:rsidRPr="00AD55AA">
              <w:rPr>
                <w:sz w:val="16"/>
                <w:szCs w:val="16"/>
              </w:rPr>
              <w:t>723</w:t>
            </w:r>
          </w:p>
        </w:tc>
        <w:tc>
          <w:tcPr>
            <w:tcW w:w="0" w:type="auto"/>
            <w:vAlign w:val="bottom"/>
          </w:tcPr>
          <w:p w14:paraId="04DC9025" w14:textId="00B49343" w:rsidR="00830C24" w:rsidRPr="001228EC" w:rsidRDefault="006C4972" w:rsidP="00830C24">
            <w:pPr>
              <w:widowControl w:val="0"/>
              <w:autoSpaceDE w:val="0"/>
              <w:autoSpaceDN w:val="0"/>
              <w:adjustRightInd w:val="0"/>
              <w:jc w:val="center"/>
              <w:rPr>
                <w:sz w:val="16"/>
                <w:szCs w:val="16"/>
              </w:rPr>
            </w:pPr>
            <w:r w:rsidRPr="006C4972">
              <w:rPr>
                <w:sz w:val="16"/>
                <w:szCs w:val="16"/>
              </w:rPr>
              <w:t>3</w:t>
            </w:r>
            <w:r>
              <w:rPr>
                <w:sz w:val="16"/>
                <w:szCs w:val="16"/>
              </w:rPr>
              <w:t>,</w:t>
            </w:r>
            <w:r w:rsidRPr="006C4972">
              <w:rPr>
                <w:sz w:val="16"/>
                <w:szCs w:val="16"/>
              </w:rPr>
              <w:t>045</w:t>
            </w:r>
          </w:p>
        </w:tc>
      </w:tr>
      <w:tr w:rsidR="00830C24" w:rsidRPr="00E60668" w14:paraId="4D37C1D7" w14:textId="77777777" w:rsidTr="00830C24">
        <w:trPr>
          <w:trHeight w:val="144"/>
          <w:jc w:val="center"/>
        </w:trPr>
        <w:tc>
          <w:tcPr>
            <w:tcW w:w="0" w:type="auto"/>
          </w:tcPr>
          <w:p w14:paraId="3E5C1537" w14:textId="77777777" w:rsidR="00830C24" w:rsidRPr="00E60668" w:rsidRDefault="00830C24" w:rsidP="00830C24">
            <w:pPr>
              <w:widowControl w:val="0"/>
              <w:autoSpaceDE w:val="0"/>
              <w:autoSpaceDN w:val="0"/>
              <w:adjustRightInd w:val="0"/>
              <w:rPr>
                <w:sz w:val="16"/>
                <w:szCs w:val="16"/>
              </w:rPr>
            </w:pPr>
            <w:r>
              <w:rPr>
                <w:sz w:val="16"/>
                <w:szCs w:val="16"/>
              </w:rPr>
              <w:t>11</w:t>
            </w:r>
          </w:p>
        </w:tc>
        <w:tc>
          <w:tcPr>
            <w:tcW w:w="0" w:type="auto"/>
          </w:tcPr>
          <w:p w14:paraId="6DA6B213" w14:textId="77777777" w:rsidR="00830C24" w:rsidRPr="00E60668" w:rsidRDefault="00830C24" w:rsidP="00830C24">
            <w:pPr>
              <w:widowControl w:val="0"/>
              <w:autoSpaceDE w:val="0"/>
              <w:autoSpaceDN w:val="0"/>
              <w:adjustRightInd w:val="0"/>
              <w:rPr>
                <w:sz w:val="16"/>
                <w:szCs w:val="16"/>
              </w:rPr>
            </w:pPr>
            <w:r w:rsidRPr="00E60668">
              <w:rPr>
                <w:sz w:val="16"/>
                <w:szCs w:val="16"/>
              </w:rPr>
              <w:t>12/26/2016</w:t>
            </w:r>
          </w:p>
        </w:tc>
        <w:tc>
          <w:tcPr>
            <w:tcW w:w="0" w:type="auto"/>
            <w:vAlign w:val="bottom"/>
          </w:tcPr>
          <w:p w14:paraId="2F0A6D9A" w14:textId="77777777" w:rsidR="00830C24" w:rsidRPr="00E60668" w:rsidRDefault="00830C24" w:rsidP="00830C24">
            <w:pPr>
              <w:widowControl w:val="0"/>
              <w:autoSpaceDE w:val="0"/>
              <w:autoSpaceDN w:val="0"/>
              <w:adjustRightInd w:val="0"/>
              <w:rPr>
                <w:sz w:val="16"/>
                <w:szCs w:val="16"/>
              </w:rPr>
            </w:pPr>
            <w:r w:rsidRPr="00E60668">
              <w:rPr>
                <w:sz w:val="16"/>
                <w:szCs w:val="16"/>
              </w:rPr>
              <w:t>Uqm technologies inc</w:t>
            </w:r>
          </w:p>
        </w:tc>
        <w:tc>
          <w:tcPr>
            <w:tcW w:w="0" w:type="auto"/>
          </w:tcPr>
          <w:p w14:paraId="3E1B7999" w14:textId="4728A6CA" w:rsidR="00830C24" w:rsidRPr="00AD55AA" w:rsidRDefault="00830C24" w:rsidP="00830C24">
            <w:pPr>
              <w:widowControl w:val="0"/>
              <w:autoSpaceDE w:val="0"/>
              <w:autoSpaceDN w:val="0"/>
              <w:adjustRightInd w:val="0"/>
              <w:jc w:val="center"/>
              <w:rPr>
                <w:sz w:val="16"/>
                <w:szCs w:val="16"/>
              </w:rPr>
            </w:pPr>
            <w:r>
              <w:rPr>
                <w:sz w:val="16"/>
                <w:szCs w:val="16"/>
              </w:rPr>
              <w:t>5</w:t>
            </w:r>
          </w:p>
        </w:tc>
        <w:tc>
          <w:tcPr>
            <w:tcW w:w="0" w:type="auto"/>
            <w:vAlign w:val="center"/>
          </w:tcPr>
          <w:p w14:paraId="3F14B574" w14:textId="1A167B60" w:rsidR="00830C24" w:rsidRPr="00E60668" w:rsidRDefault="00830C24" w:rsidP="00830C24">
            <w:pPr>
              <w:widowControl w:val="0"/>
              <w:autoSpaceDE w:val="0"/>
              <w:autoSpaceDN w:val="0"/>
              <w:adjustRightInd w:val="0"/>
              <w:jc w:val="center"/>
              <w:rPr>
                <w:sz w:val="16"/>
                <w:szCs w:val="16"/>
              </w:rPr>
            </w:pPr>
            <w:r w:rsidRPr="00AD55AA">
              <w:rPr>
                <w:sz w:val="16"/>
                <w:szCs w:val="16"/>
              </w:rPr>
              <w:t>48</w:t>
            </w:r>
          </w:p>
        </w:tc>
        <w:tc>
          <w:tcPr>
            <w:tcW w:w="0" w:type="auto"/>
            <w:vAlign w:val="bottom"/>
          </w:tcPr>
          <w:p w14:paraId="1881F8F0" w14:textId="6AD4E6CA" w:rsidR="00830C24" w:rsidRPr="001228EC" w:rsidRDefault="00706737" w:rsidP="00830C24">
            <w:pPr>
              <w:widowControl w:val="0"/>
              <w:autoSpaceDE w:val="0"/>
              <w:autoSpaceDN w:val="0"/>
              <w:adjustRightInd w:val="0"/>
              <w:jc w:val="center"/>
              <w:rPr>
                <w:sz w:val="16"/>
                <w:szCs w:val="16"/>
              </w:rPr>
            </w:pPr>
            <w:r w:rsidRPr="00706737">
              <w:rPr>
                <w:sz w:val="16"/>
                <w:szCs w:val="16"/>
              </w:rPr>
              <w:t>1</w:t>
            </w:r>
            <w:r>
              <w:rPr>
                <w:sz w:val="16"/>
                <w:szCs w:val="16"/>
              </w:rPr>
              <w:t>,</w:t>
            </w:r>
            <w:r w:rsidRPr="00706737">
              <w:rPr>
                <w:sz w:val="16"/>
                <w:szCs w:val="16"/>
              </w:rPr>
              <w:t>659</w:t>
            </w:r>
          </w:p>
        </w:tc>
      </w:tr>
      <w:tr w:rsidR="00830C24" w:rsidRPr="00E60668" w14:paraId="4A7CEBE1" w14:textId="77777777" w:rsidTr="00830C24">
        <w:trPr>
          <w:trHeight w:val="144"/>
          <w:jc w:val="center"/>
        </w:trPr>
        <w:tc>
          <w:tcPr>
            <w:tcW w:w="0" w:type="auto"/>
          </w:tcPr>
          <w:p w14:paraId="6F1426DA" w14:textId="77777777" w:rsidR="00830C24" w:rsidRPr="00E60668" w:rsidRDefault="00830C24" w:rsidP="00830C24">
            <w:pPr>
              <w:widowControl w:val="0"/>
              <w:autoSpaceDE w:val="0"/>
              <w:autoSpaceDN w:val="0"/>
              <w:adjustRightInd w:val="0"/>
              <w:rPr>
                <w:sz w:val="16"/>
                <w:szCs w:val="16"/>
              </w:rPr>
            </w:pPr>
            <w:r>
              <w:rPr>
                <w:sz w:val="16"/>
                <w:szCs w:val="16"/>
              </w:rPr>
              <w:t>12</w:t>
            </w:r>
          </w:p>
        </w:tc>
        <w:tc>
          <w:tcPr>
            <w:tcW w:w="0" w:type="auto"/>
          </w:tcPr>
          <w:p w14:paraId="7323598D" w14:textId="77777777" w:rsidR="00830C24" w:rsidRPr="00E60668" w:rsidRDefault="00830C24" w:rsidP="00830C24">
            <w:pPr>
              <w:widowControl w:val="0"/>
              <w:autoSpaceDE w:val="0"/>
              <w:autoSpaceDN w:val="0"/>
              <w:adjustRightInd w:val="0"/>
              <w:rPr>
                <w:sz w:val="16"/>
                <w:szCs w:val="16"/>
              </w:rPr>
            </w:pPr>
            <w:r w:rsidRPr="00E60668">
              <w:rPr>
                <w:sz w:val="16"/>
                <w:szCs w:val="16"/>
              </w:rPr>
              <w:t>6/1/2017</w:t>
            </w:r>
          </w:p>
        </w:tc>
        <w:tc>
          <w:tcPr>
            <w:tcW w:w="0" w:type="auto"/>
            <w:vAlign w:val="bottom"/>
          </w:tcPr>
          <w:p w14:paraId="2E2F66D7" w14:textId="77777777" w:rsidR="00830C24" w:rsidRPr="00E60668" w:rsidRDefault="00830C24" w:rsidP="00830C24">
            <w:pPr>
              <w:widowControl w:val="0"/>
              <w:autoSpaceDE w:val="0"/>
              <w:autoSpaceDN w:val="0"/>
              <w:adjustRightInd w:val="0"/>
              <w:rPr>
                <w:sz w:val="16"/>
                <w:szCs w:val="16"/>
              </w:rPr>
            </w:pPr>
            <w:r w:rsidRPr="00E60668">
              <w:rPr>
                <w:sz w:val="16"/>
                <w:szCs w:val="16"/>
              </w:rPr>
              <w:t>Intelsat sa</w:t>
            </w:r>
          </w:p>
        </w:tc>
        <w:tc>
          <w:tcPr>
            <w:tcW w:w="0" w:type="auto"/>
          </w:tcPr>
          <w:p w14:paraId="6B89203E" w14:textId="1B8CF87C" w:rsidR="00830C24" w:rsidRPr="00AD55AA" w:rsidRDefault="00830C24" w:rsidP="00830C24">
            <w:pPr>
              <w:widowControl w:val="0"/>
              <w:autoSpaceDE w:val="0"/>
              <w:autoSpaceDN w:val="0"/>
              <w:adjustRightInd w:val="0"/>
              <w:jc w:val="center"/>
              <w:rPr>
                <w:sz w:val="16"/>
                <w:szCs w:val="16"/>
              </w:rPr>
            </w:pPr>
            <w:r>
              <w:rPr>
                <w:sz w:val="16"/>
                <w:szCs w:val="16"/>
              </w:rPr>
              <w:t>11</w:t>
            </w:r>
          </w:p>
        </w:tc>
        <w:tc>
          <w:tcPr>
            <w:tcW w:w="0" w:type="auto"/>
            <w:vAlign w:val="center"/>
          </w:tcPr>
          <w:p w14:paraId="06A6D813" w14:textId="6B87CAF8" w:rsidR="00830C24" w:rsidRPr="00E60668" w:rsidRDefault="00830C24" w:rsidP="00830C24">
            <w:pPr>
              <w:widowControl w:val="0"/>
              <w:autoSpaceDE w:val="0"/>
              <w:autoSpaceDN w:val="0"/>
              <w:adjustRightInd w:val="0"/>
              <w:jc w:val="center"/>
              <w:rPr>
                <w:sz w:val="16"/>
                <w:szCs w:val="16"/>
              </w:rPr>
            </w:pPr>
            <w:r w:rsidRPr="00AD55AA">
              <w:rPr>
                <w:sz w:val="16"/>
                <w:szCs w:val="16"/>
              </w:rPr>
              <w:t>1,700</w:t>
            </w:r>
          </w:p>
        </w:tc>
        <w:tc>
          <w:tcPr>
            <w:tcW w:w="0" w:type="auto"/>
            <w:vAlign w:val="bottom"/>
          </w:tcPr>
          <w:p w14:paraId="49BBF398" w14:textId="633CFFB6" w:rsidR="00830C24" w:rsidRPr="001228EC" w:rsidRDefault="00297098" w:rsidP="00830C24">
            <w:pPr>
              <w:widowControl w:val="0"/>
              <w:autoSpaceDE w:val="0"/>
              <w:autoSpaceDN w:val="0"/>
              <w:adjustRightInd w:val="0"/>
              <w:jc w:val="center"/>
              <w:rPr>
                <w:sz w:val="16"/>
                <w:szCs w:val="16"/>
              </w:rPr>
            </w:pPr>
            <w:r w:rsidRPr="00297098">
              <w:rPr>
                <w:sz w:val="16"/>
                <w:szCs w:val="16"/>
              </w:rPr>
              <w:t>20</w:t>
            </w:r>
            <w:r>
              <w:rPr>
                <w:sz w:val="16"/>
                <w:szCs w:val="16"/>
              </w:rPr>
              <w:t>,</w:t>
            </w:r>
            <w:r w:rsidRPr="00297098">
              <w:rPr>
                <w:sz w:val="16"/>
                <w:szCs w:val="16"/>
              </w:rPr>
              <w:t>032</w:t>
            </w:r>
          </w:p>
        </w:tc>
      </w:tr>
      <w:tr w:rsidR="00830C24" w:rsidRPr="00E60668" w14:paraId="69724700" w14:textId="77777777" w:rsidTr="00830C24">
        <w:trPr>
          <w:trHeight w:val="144"/>
          <w:jc w:val="center"/>
        </w:trPr>
        <w:tc>
          <w:tcPr>
            <w:tcW w:w="0" w:type="auto"/>
          </w:tcPr>
          <w:p w14:paraId="3571F287" w14:textId="77777777" w:rsidR="00830C24" w:rsidRPr="00E60668" w:rsidRDefault="00830C24" w:rsidP="00830C24">
            <w:pPr>
              <w:widowControl w:val="0"/>
              <w:autoSpaceDE w:val="0"/>
              <w:autoSpaceDN w:val="0"/>
              <w:adjustRightInd w:val="0"/>
              <w:rPr>
                <w:sz w:val="16"/>
                <w:szCs w:val="16"/>
              </w:rPr>
            </w:pPr>
            <w:r>
              <w:rPr>
                <w:sz w:val="16"/>
                <w:szCs w:val="16"/>
              </w:rPr>
              <w:t>13</w:t>
            </w:r>
          </w:p>
        </w:tc>
        <w:tc>
          <w:tcPr>
            <w:tcW w:w="0" w:type="auto"/>
          </w:tcPr>
          <w:p w14:paraId="6F71EC13" w14:textId="77777777" w:rsidR="00830C24" w:rsidRPr="00E60668" w:rsidRDefault="00830C24" w:rsidP="00830C24">
            <w:pPr>
              <w:widowControl w:val="0"/>
              <w:autoSpaceDE w:val="0"/>
              <w:autoSpaceDN w:val="0"/>
              <w:adjustRightInd w:val="0"/>
              <w:rPr>
                <w:sz w:val="16"/>
                <w:szCs w:val="16"/>
              </w:rPr>
            </w:pPr>
            <w:r w:rsidRPr="00E60668">
              <w:rPr>
                <w:sz w:val="16"/>
                <w:szCs w:val="16"/>
              </w:rPr>
              <w:t>7/26/2017</w:t>
            </w:r>
          </w:p>
        </w:tc>
        <w:tc>
          <w:tcPr>
            <w:tcW w:w="0" w:type="auto"/>
            <w:vAlign w:val="bottom"/>
          </w:tcPr>
          <w:p w14:paraId="007A763D" w14:textId="77777777" w:rsidR="00830C24" w:rsidRPr="00E60668" w:rsidRDefault="00830C24" w:rsidP="00830C24">
            <w:pPr>
              <w:widowControl w:val="0"/>
              <w:autoSpaceDE w:val="0"/>
              <w:autoSpaceDN w:val="0"/>
              <w:adjustRightInd w:val="0"/>
              <w:rPr>
                <w:sz w:val="16"/>
                <w:szCs w:val="16"/>
              </w:rPr>
            </w:pPr>
            <w:r w:rsidRPr="00E60668">
              <w:rPr>
                <w:sz w:val="16"/>
                <w:szCs w:val="16"/>
              </w:rPr>
              <w:t>Global eagle entertainment inc</w:t>
            </w:r>
          </w:p>
        </w:tc>
        <w:tc>
          <w:tcPr>
            <w:tcW w:w="0" w:type="auto"/>
          </w:tcPr>
          <w:p w14:paraId="7516B3D6" w14:textId="5A3C2096" w:rsidR="00830C24" w:rsidRPr="00AD55AA" w:rsidRDefault="00830C24" w:rsidP="00830C24">
            <w:pPr>
              <w:widowControl w:val="0"/>
              <w:autoSpaceDE w:val="0"/>
              <w:autoSpaceDN w:val="0"/>
              <w:adjustRightInd w:val="0"/>
              <w:jc w:val="center"/>
              <w:rPr>
                <w:sz w:val="16"/>
                <w:szCs w:val="16"/>
              </w:rPr>
            </w:pPr>
            <w:r>
              <w:rPr>
                <w:sz w:val="16"/>
                <w:szCs w:val="16"/>
              </w:rPr>
              <w:t>11</w:t>
            </w:r>
          </w:p>
        </w:tc>
        <w:tc>
          <w:tcPr>
            <w:tcW w:w="0" w:type="auto"/>
            <w:vAlign w:val="center"/>
          </w:tcPr>
          <w:p w14:paraId="02FE02FF" w14:textId="538275AB" w:rsidR="00830C24" w:rsidRPr="00E60668" w:rsidRDefault="00830C24" w:rsidP="00830C24">
            <w:pPr>
              <w:widowControl w:val="0"/>
              <w:autoSpaceDE w:val="0"/>
              <w:autoSpaceDN w:val="0"/>
              <w:adjustRightInd w:val="0"/>
              <w:jc w:val="center"/>
              <w:rPr>
                <w:sz w:val="16"/>
                <w:szCs w:val="16"/>
              </w:rPr>
            </w:pPr>
            <w:r w:rsidRPr="00AD55AA">
              <w:rPr>
                <w:sz w:val="16"/>
                <w:szCs w:val="16"/>
              </w:rPr>
              <w:t>416</w:t>
            </w:r>
          </w:p>
        </w:tc>
        <w:tc>
          <w:tcPr>
            <w:tcW w:w="0" w:type="auto"/>
            <w:vAlign w:val="bottom"/>
          </w:tcPr>
          <w:p w14:paraId="65C59F04" w14:textId="7E2812CC" w:rsidR="00830C24" w:rsidRPr="001228EC" w:rsidRDefault="00297098" w:rsidP="00830C24">
            <w:pPr>
              <w:widowControl w:val="0"/>
              <w:autoSpaceDE w:val="0"/>
              <w:autoSpaceDN w:val="0"/>
              <w:adjustRightInd w:val="0"/>
              <w:jc w:val="center"/>
              <w:rPr>
                <w:sz w:val="16"/>
                <w:szCs w:val="16"/>
              </w:rPr>
            </w:pPr>
            <w:r w:rsidRPr="00297098">
              <w:rPr>
                <w:sz w:val="16"/>
                <w:szCs w:val="16"/>
              </w:rPr>
              <w:t>20</w:t>
            </w:r>
            <w:r>
              <w:rPr>
                <w:sz w:val="16"/>
                <w:szCs w:val="16"/>
              </w:rPr>
              <w:t>,</w:t>
            </w:r>
            <w:r w:rsidRPr="00297098">
              <w:rPr>
                <w:sz w:val="16"/>
                <w:szCs w:val="16"/>
              </w:rPr>
              <w:t>032</w:t>
            </w:r>
          </w:p>
        </w:tc>
      </w:tr>
      <w:tr w:rsidR="00830C24" w:rsidRPr="00E60668" w14:paraId="6C6A4472" w14:textId="77777777" w:rsidTr="00830C24">
        <w:trPr>
          <w:trHeight w:val="144"/>
          <w:jc w:val="center"/>
        </w:trPr>
        <w:tc>
          <w:tcPr>
            <w:tcW w:w="0" w:type="auto"/>
          </w:tcPr>
          <w:p w14:paraId="601AC714" w14:textId="77777777" w:rsidR="00830C24" w:rsidRPr="00E60668" w:rsidRDefault="00830C24" w:rsidP="00830C24">
            <w:pPr>
              <w:widowControl w:val="0"/>
              <w:autoSpaceDE w:val="0"/>
              <w:autoSpaceDN w:val="0"/>
              <w:adjustRightInd w:val="0"/>
              <w:rPr>
                <w:sz w:val="16"/>
                <w:szCs w:val="16"/>
              </w:rPr>
            </w:pPr>
            <w:r>
              <w:rPr>
                <w:sz w:val="16"/>
                <w:szCs w:val="16"/>
              </w:rPr>
              <w:t>14</w:t>
            </w:r>
          </w:p>
        </w:tc>
        <w:tc>
          <w:tcPr>
            <w:tcW w:w="0" w:type="auto"/>
          </w:tcPr>
          <w:p w14:paraId="7E5442AC" w14:textId="77777777" w:rsidR="00830C24" w:rsidRPr="00E60668" w:rsidRDefault="00830C24" w:rsidP="00830C24">
            <w:pPr>
              <w:widowControl w:val="0"/>
              <w:autoSpaceDE w:val="0"/>
              <w:autoSpaceDN w:val="0"/>
              <w:adjustRightInd w:val="0"/>
              <w:rPr>
                <w:sz w:val="16"/>
                <w:szCs w:val="16"/>
              </w:rPr>
            </w:pPr>
            <w:r w:rsidRPr="00E60668">
              <w:rPr>
                <w:sz w:val="16"/>
                <w:szCs w:val="16"/>
              </w:rPr>
              <w:t>8/4/2017</w:t>
            </w:r>
          </w:p>
        </w:tc>
        <w:tc>
          <w:tcPr>
            <w:tcW w:w="0" w:type="auto"/>
            <w:vAlign w:val="bottom"/>
          </w:tcPr>
          <w:p w14:paraId="018EBCB8" w14:textId="77777777" w:rsidR="00830C24" w:rsidRPr="00E60668" w:rsidRDefault="00830C24" w:rsidP="00830C24">
            <w:pPr>
              <w:widowControl w:val="0"/>
              <w:autoSpaceDE w:val="0"/>
              <w:autoSpaceDN w:val="0"/>
              <w:adjustRightInd w:val="0"/>
              <w:rPr>
                <w:sz w:val="16"/>
                <w:szCs w:val="16"/>
              </w:rPr>
            </w:pPr>
            <w:r w:rsidRPr="00E60668">
              <w:rPr>
                <w:sz w:val="16"/>
                <w:szCs w:val="16"/>
              </w:rPr>
              <w:t>Maxwell technologies inc</w:t>
            </w:r>
          </w:p>
        </w:tc>
        <w:tc>
          <w:tcPr>
            <w:tcW w:w="0" w:type="auto"/>
          </w:tcPr>
          <w:p w14:paraId="5BEA989D" w14:textId="55CE496D" w:rsidR="00830C24" w:rsidRPr="00AD55AA" w:rsidRDefault="00830C24" w:rsidP="00830C24">
            <w:pPr>
              <w:widowControl w:val="0"/>
              <w:autoSpaceDE w:val="0"/>
              <w:autoSpaceDN w:val="0"/>
              <w:adjustRightInd w:val="0"/>
              <w:jc w:val="center"/>
              <w:rPr>
                <w:sz w:val="16"/>
                <w:szCs w:val="16"/>
              </w:rPr>
            </w:pPr>
            <w:r>
              <w:rPr>
                <w:sz w:val="16"/>
                <w:szCs w:val="16"/>
              </w:rPr>
              <w:t>6</w:t>
            </w:r>
          </w:p>
        </w:tc>
        <w:tc>
          <w:tcPr>
            <w:tcW w:w="0" w:type="auto"/>
            <w:vAlign w:val="center"/>
          </w:tcPr>
          <w:p w14:paraId="51ED9A99" w14:textId="4EE8F869" w:rsidR="00830C24" w:rsidRPr="00E60668" w:rsidRDefault="00830C24" w:rsidP="00830C24">
            <w:pPr>
              <w:widowControl w:val="0"/>
              <w:autoSpaceDE w:val="0"/>
              <w:autoSpaceDN w:val="0"/>
              <w:adjustRightInd w:val="0"/>
              <w:jc w:val="center"/>
              <w:rPr>
                <w:sz w:val="16"/>
                <w:szCs w:val="16"/>
              </w:rPr>
            </w:pPr>
            <w:r w:rsidRPr="00AD55AA">
              <w:rPr>
                <w:sz w:val="16"/>
                <w:szCs w:val="16"/>
              </w:rPr>
              <w:t>47</w:t>
            </w:r>
          </w:p>
        </w:tc>
        <w:tc>
          <w:tcPr>
            <w:tcW w:w="0" w:type="auto"/>
            <w:vAlign w:val="bottom"/>
          </w:tcPr>
          <w:p w14:paraId="2350C38A" w14:textId="245004E2" w:rsidR="00830C24" w:rsidRPr="001228EC" w:rsidRDefault="00706737" w:rsidP="00830C24">
            <w:pPr>
              <w:widowControl w:val="0"/>
              <w:autoSpaceDE w:val="0"/>
              <w:autoSpaceDN w:val="0"/>
              <w:adjustRightInd w:val="0"/>
              <w:jc w:val="center"/>
              <w:rPr>
                <w:sz w:val="16"/>
                <w:szCs w:val="16"/>
              </w:rPr>
            </w:pPr>
            <w:r w:rsidRPr="00706737">
              <w:rPr>
                <w:sz w:val="16"/>
                <w:szCs w:val="16"/>
              </w:rPr>
              <w:t>1</w:t>
            </w:r>
            <w:r>
              <w:rPr>
                <w:sz w:val="16"/>
                <w:szCs w:val="16"/>
              </w:rPr>
              <w:t>,</w:t>
            </w:r>
            <w:r w:rsidRPr="00706737">
              <w:rPr>
                <w:sz w:val="16"/>
                <w:szCs w:val="16"/>
              </w:rPr>
              <w:t>828</w:t>
            </w:r>
          </w:p>
        </w:tc>
      </w:tr>
      <w:tr w:rsidR="00830C24" w:rsidRPr="00E60668" w14:paraId="1214F9D2" w14:textId="77777777" w:rsidTr="00830C24">
        <w:trPr>
          <w:trHeight w:val="144"/>
          <w:jc w:val="center"/>
        </w:trPr>
        <w:tc>
          <w:tcPr>
            <w:tcW w:w="0" w:type="auto"/>
          </w:tcPr>
          <w:p w14:paraId="43D0B5E9" w14:textId="77777777" w:rsidR="00830C24" w:rsidRPr="00E60668" w:rsidRDefault="00830C24" w:rsidP="00830C24">
            <w:pPr>
              <w:widowControl w:val="0"/>
              <w:autoSpaceDE w:val="0"/>
              <w:autoSpaceDN w:val="0"/>
              <w:adjustRightInd w:val="0"/>
              <w:rPr>
                <w:sz w:val="16"/>
                <w:szCs w:val="16"/>
              </w:rPr>
            </w:pPr>
            <w:r>
              <w:rPr>
                <w:sz w:val="16"/>
                <w:szCs w:val="16"/>
              </w:rPr>
              <w:t>15</w:t>
            </w:r>
          </w:p>
        </w:tc>
        <w:tc>
          <w:tcPr>
            <w:tcW w:w="0" w:type="auto"/>
          </w:tcPr>
          <w:p w14:paraId="38DF8615" w14:textId="77777777" w:rsidR="00830C24" w:rsidRPr="00E60668" w:rsidRDefault="00830C24" w:rsidP="00830C24">
            <w:pPr>
              <w:widowControl w:val="0"/>
              <w:autoSpaceDE w:val="0"/>
              <w:autoSpaceDN w:val="0"/>
              <w:adjustRightInd w:val="0"/>
              <w:rPr>
                <w:sz w:val="16"/>
                <w:szCs w:val="16"/>
              </w:rPr>
            </w:pPr>
            <w:r w:rsidRPr="00E60668">
              <w:rPr>
                <w:sz w:val="16"/>
                <w:szCs w:val="16"/>
              </w:rPr>
              <w:t>9/13/2017</w:t>
            </w:r>
          </w:p>
        </w:tc>
        <w:tc>
          <w:tcPr>
            <w:tcW w:w="0" w:type="auto"/>
            <w:vAlign w:val="bottom"/>
          </w:tcPr>
          <w:p w14:paraId="7227B6AE" w14:textId="77777777" w:rsidR="00830C24" w:rsidRPr="00E60668" w:rsidRDefault="00830C24" w:rsidP="00830C24">
            <w:pPr>
              <w:widowControl w:val="0"/>
              <w:autoSpaceDE w:val="0"/>
              <w:autoSpaceDN w:val="0"/>
              <w:adjustRightInd w:val="0"/>
              <w:rPr>
                <w:sz w:val="16"/>
                <w:szCs w:val="16"/>
              </w:rPr>
            </w:pPr>
            <w:r w:rsidRPr="00E60668">
              <w:rPr>
                <w:sz w:val="16"/>
                <w:szCs w:val="16"/>
              </w:rPr>
              <w:t>Lattice semiconductor corp</w:t>
            </w:r>
          </w:p>
        </w:tc>
        <w:tc>
          <w:tcPr>
            <w:tcW w:w="0" w:type="auto"/>
          </w:tcPr>
          <w:p w14:paraId="7898365B" w14:textId="6A9109BD" w:rsidR="00830C24" w:rsidRPr="00AD55AA" w:rsidRDefault="00830C24" w:rsidP="00830C24">
            <w:pPr>
              <w:widowControl w:val="0"/>
              <w:autoSpaceDE w:val="0"/>
              <w:autoSpaceDN w:val="0"/>
              <w:adjustRightInd w:val="0"/>
              <w:jc w:val="center"/>
              <w:rPr>
                <w:sz w:val="16"/>
                <w:szCs w:val="16"/>
              </w:rPr>
            </w:pPr>
            <w:r>
              <w:rPr>
                <w:sz w:val="16"/>
                <w:szCs w:val="16"/>
              </w:rPr>
              <w:t>27</w:t>
            </w:r>
          </w:p>
        </w:tc>
        <w:tc>
          <w:tcPr>
            <w:tcW w:w="0" w:type="auto"/>
            <w:vAlign w:val="center"/>
          </w:tcPr>
          <w:p w14:paraId="026A38B9" w14:textId="5A8EC56F" w:rsidR="00830C24" w:rsidRPr="00E60668" w:rsidRDefault="00830C24" w:rsidP="00830C24">
            <w:pPr>
              <w:widowControl w:val="0"/>
              <w:autoSpaceDE w:val="0"/>
              <w:autoSpaceDN w:val="0"/>
              <w:adjustRightInd w:val="0"/>
              <w:jc w:val="center"/>
              <w:rPr>
                <w:sz w:val="16"/>
                <w:szCs w:val="16"/>
              </w:rPr>
            </w:pPr>
            <w:r w:rsidRPr="00AD55AA">
              <w:rPr>
                <w:sz w:val="16"/>
                <w:szCs w:val="16"/>
              </w:rPr>
              <w:t>1,300</w:t>
            </w:r>
          </w:p>
        </w:tc>
        <w:tc>
          <w:tcPr>
            <w:tcW w:w="0" w:type="auto"/>
            <w:vAlign w:val="bottom"/>
          </w:tcPr>
          <w:p w14:paraId="400EC7D5" w14:textId="38139EA1" w:rsidR="00830C24" w:rsidRPr="001228EC" w:rsidRDefault="00DA6211" w:rsidP="00830C24">
            <w:pPr>
              <w:widowControl w:val="0"/>
              <w:autoSpaceDE w:val="0"/>
              <w:autoSpaceDN w:val="0"/>
              <w:adjustRightInd w:val="0"/>
              <w:jc w:val="center"/>
              <w:rPr>
                <w:sz w:val="16"/>
                <w:szCs w:val="16"/>
              </w:rPr>
            </w:pPr>
            <w:r w:rsidRPr="00DA6211">
              <w:rPr>
                <w:sz w:val="16"/>
                <w:szCs w:val="16"/>
              </w:rPr>
              <w:t>4</w:t>
            </w:r>
            <w:r>
              <w:rPr>
                <w:sz w:val="16"/>
                <w:szCs w:val="16"/>
              </w:rPr>
              <w:t>,</w:t>
            </w:r>
            <w:r w:rsidRPr="00DA6211">
              <w:rPr>
                <w:sz w:val="16"/>
                <w:szCs w:val="16"/>
              </w:rPr>
              <w:t>699</w:t>
            </w:r>
          </w:p>
        </w:tc>
      </w:tr>
      <w:tr w:rsidR="00830C24" w:rsidRPr="00E60668" w14:paraId="58450126" w14:textId="77777777" w:rsidTr="00830C24">
        <w:trPr>
          <w:trHeight w:val="144"/>
          <w:jc w:val="center"/>
        </w:trPr>
        <w:tc>
          <w:tcPr>
            <w:tcW w:w="0" w:type="auto"/>
          </w:tcPr>
          <w:p w14:paraId="49C0A3B0" w14:textId="77777777" w:rsidR="00830C24" w:rsidRPr="00E60668" w:rsidRDefault="00830C24" w:rsidP="00830C24">
            <w:pPr>
              <w:widowControl w:val="0"/>
              <w:autoSpaceDE w:val="0"/>
              <w:autoSpaceDN w:val="0"/>
              <w:adjustRightInd w:val="0"/>
              <w:rPr>
                <w:sz w:val="16"/>
                <w:szCs w:val="16"/>
              </w:rPr>
            </w:pPr>
            <w:r>
              <w:rPr>
                <w:sz w:val="16"/>
                <w:szCs w:val="16"/>
              </w:rPr>
              <w:t>16</w:t>
            </w:r>
          </w:p>
        </w:tc>
        <w:tc>
          <w:tcPr>
            <w:tcW w:w="0" w:type="auto"/>
          </w:tcPr>
          <w:p w14:paraId="7E546BD4" w14:textId="77777777" w:rsidR="00830C24" w:rsidRPr="00E60668" w:rsidRDefault="00830C24" w:rsidP="00830C24">
            <w:pPr>
              <w:widowControl w:val="0"/>
              <w:autoSpaceDE w:val="0"/>
              <w:autoSpaceDN w:val="0"/>
              <w:adjustRightInd w:val="0"/>
              <w:rPr>
                <w:sz w:val="16"/>
                <w:szCs w:val="16"/>
              </w:rPr>
            </w:pPr>
            <w:r w:rsidRPr="00E60668">
              <w:rPr>
                <w:sz w:val="16"/>
                <w:szCs w:val="16"/>
              </w:rPr>
              <w:t>10/4/2017</w:t>
            </w:r>
          </w:p>
        </w:tc>
        <w:tc>
          <w:tcPr>
            <w:tcW w:w="0" w:type="auto"/>
            <w:vAlign w:val="bottom"/>
          </w:tcPr>
          <w:p w14:paraId="07B99C81" w14:textId="77777777" w:rsidR="00830C24" w:rsidRPr="00E60668" w:rsidRDefault="00830C24" w:rsidP="00830C24">
            <w:pPr>
              <w:widowControl w:val="0"/>
              <w:autoSpaceDE w:val="0"/>
              <w:autoSpaceDN w:val="0"/>
              <w:adjustRightInd w:val="0"/>
              <w:rPr>
                <w:sz w:val="16"/>
                <w:szCs w:val="16"/>
              </w:rPr>
            </w:pPr>
            <w:r w:rsidRPr="00E60668">
              <w:rPr>
                <w:sz w:val="16"/>
                <w:szCs w:val="16"/>
              </w:rPr>
              <w:t>Pedevco corp</w:t>
            </w:r>
          </w:p>
        </w:tc>
        <w:tc>
          <w:tcPr>
            <w:tcW w:w="0" w:type="auto"/>
          </w:tcPr>
          <w:p w14:paraId="76B5B755" w14:textId="0EABAFF3" w:rsidR="00830C24" w:rsidRPr="00AD55AA" w:rsidRDefault="00830C24" w:rsidP="00830C24">
            <w:pPr>
              <w:widowControl w:val="0"/>
              <w:autoSpaceDE w:val="0"/>
              <w:autoSpaceDN w:val="0"/>
              <w:adjustRightInd w:val="0"/>
              <w:jc w:val="center"/>
              <w:rPr>
                <w:sz w:val="16"/>
                <w:szCs w:val="16"/>
              </w:rPr>
            </w:pPr>
            <w:r>
              <w:rPr>
                <w:sz w:val="16"/>
                <w:szCs w:val="16"/>
              </w:rPr>
              <w:t>5</w:t>
            </w:r>
          </w:p>
        </w:tc>
        <w:tc>
          <w:tcPr>
            <w:tcW w:w="0" w:type="auto"/>
            <w:vAlign w:val="center"/>
          </w:tcPr>
          <w:p w14:paraId="34473A1B" w14:textId="323925BE" w:rsidR="00830C24" w:rsidRPr="00E60668" w:rsidRDefault="00830C24" w:rsidP="00830C24">
            <w:pPr>
              <w:widowControl w:val="0"/>
              <w:autoSpaceDE w:val="0"/>
              <w:autoSpaceDN w:val="0"/>
              <w:adjustRightInd w:val="0"/>
              <w:jc w:val="center"/>
              <w:rPr>
                <w:sz w:val="16"/>
                <w:szCs w:val="16"/>
              </w:rPr>
            </w:pPr>
            <w:r w:rsidRPr="00AD55AA">
              <w:rPr>
                <w:sz w:val="16"/>
                <w:szCs w:val="16"/>
              </w:rPr>
              <w:t>12</w:t>
            </w:r>
          </w:p>
        </w:tc>
        <w:tc>
          <w:tcPr>
            <w:tcW w:w="0" w:type="auto"/>
            <w:vAlign w:val="bottom"/>
          </w:tcPr>
          <w:p w14:paraId="2B8CEBF6" w14:textId="06C83611" w:rsidR="00830C24" w:rsidRPr="001228EC" w:rsidRDefault="005F5D34" w:rsidP="00830C24">
            <w:pPr>
              <w:widowControl w:val="0"/>
              <w:autoSpaceDE w:val="0"/>
              <w:autoSpaceDN w:val="0"/>
              <w:adjustRightInd w:val="0"/>
              <w:jc w:val="center"/>
              <w:rPr>
                <w:sz w:val="16"/>
                <w:szCs w:val="16"/>
              </w:rPr>
            </w:pPr>
            <w:r w:rsidRPr="005F5D34">
              <w:rPr>
                <w:sz w:val="16"/>
                <w:szCs w:val="16"/>
              </w:rPr>
              <w:t>5</w:t>
            </w:r>
            <w:r>
              <w:rPr>
                <w:sz w:val="16"/>
                <w:szCs w:val="16"/>
              </w:rPr>
              <w:t>,</w:t>
            </w:r>
            <w:r w:rsidRPr="005F5D34">
              <w:rPr>
                <w:sz w:val="16"/>
                <w:szCs w:val="16"/>
              </w:rPr>
              <w:t>432</w:t>
            </w:r>
          </w:p>
        </w:tc>
      </w:tr>
      <w:tr w:rsidR="00830C24" w:rsidRPr="00E60668" w14:paraId="1CC08B5D" w14:textId="77777777" w:rsidTr="00830C24">
        <w:trPr>
          <w:trHeight w:val="144"/>
          <w:jc w:val="center"/>
        </w:trPr>
        <w:tc>
          <w:tcPr>
            <w:tcW w:w="0" w:type="auto"/>
          </w:tcPr>
          <w:p w14:paraId="6A4A0544" w14:textId="77777777" w:rsidR="00830C24" w:rsidRPr="00E60668" w:rsidRDefault="00830C24" w:rsidP="00830C24">
            <w:pPr>
              <w:widowControl w:val="0"/>
              <w:autoSpaceDE w:val="0"/>
              <w:autoSpaceDN w:val="0"/>
              <w:adjustRightInd w:val="0"/>
              <w:rPr>
                <w:sz w:val="16"/>
                <w:szCs w:val="16"/>
              </w:rPr>
            </w:pPr>
            <w:r>
              <w:rPr>
                <w:sz w:val="16"/>
                <w:szCs w:val="16"/>
              </w:rPr>
              <w:t>17</w:t>
            </w:r>
          </w:p>
        </w:tc>
        <w:tc>
          <w:tcPr>
            <w:tcW w:w="0" w:type="auto"/>
          </w:tcPr>
          <w:p w14:paraId="34B8E236" w14:textId="77777777" w:rsidR="00830C24" w:rsidRPr="00E60668" w:rsidRDefault="00830C24" w:rsidP="00830C24">
            <w:pPr>
              <w:widowControl w:val="0"/>
              <w:autoSpaceDE w:val="0"/>
              <w:autoSpaceDN w:val="0"/>
              <w:adjustRightInd w:val="0"/>
              <w:rPr>
                <w:sz w:val="16"/>
                <w:szCs w:val="16"/>
              </w:rPr>
            </w:pPr>
            <w:r w:rsidRPr="00E60668">
              <w:rPr>
                <w:sz w:val="16"/>
                <w:szCs w:val="16"/>
              </w:rPr>
              <w:t>11/13/2017</w:t>
            </w:r>
          </w:p>
        </w:tc>
        <w:tc>
          <w:tcPr>
            <w:tcW w:w="0" w:type="auto"/>
            <w:vAlign w:val="bottom"/>
          </w:tcPr>
          <w:p w14:paraId="33CB09A9" w14:textId="77777777" w:rsidR="00830C24" w:rsidRPr="00E60668" w:rsidRDefault="00830C24" w:rsidP="00830C24">
            <w:pPr>
              <w:widowControl w:val="0"/>
              <w:autoSpaceDE w:val="0"/>
              <w:autoSpaceDN w:val="0"/>
              <w:adjustRightInd w:val="0"/>
              <w:rPr>
                <w:sz w:val="16"/>
                <w:szCs w:val="16"/>
              </w:rPr>
            </w:pPr>
            <w:r w:rsidRPr="00E60668">
              <w:rPr>
                <w:sz w:val="16"/>
                <w:szCs w:val="16"/>
              </w:rPr>
              <w:t>Aleris corporation</w:t>
            </w:r>
          </w:p>
        </w:tc>
        <w:tc>
          <w:tcPr>
            <w:tcW w:w="0" w:type="auto"/>
          </w:tcPr>
          <w:p w14:paraId="0F3E5C48" w14:textId="1AA540EE" w:rsidR="00830C24" w:rsidRPr="00AD55AA" w:rsidRDefault="00830C24" w:rsidP="00830C24">
            <w:pPr>
              <w:widowControl w:val="0"/>
              <w:autoSpaceDE w:val="0"/>
              <w:autoSpaceDN w:val="0"/>
              <w:adjustRightInd w:val="0"/>
              <w:jc w:val="center"/>
              <w:rPr>
                <w:sz w:val="16"/>
                <w:szCs w:val="16"/>
              </w:rPr>
            </w:pPr>
            <w:r>
              <w:rPr>
                <w:sz w:val="16"/>
                <w:szCs w:val="16"/>
              </w:rPr>
              <w:t>4</w:t>
            </w:r>
          </w:p>
        </w:tc>
        <w:tc>
          <w:tcPr>
            <w:tcW w:w="0" w:type="auto"/>
            <w:vAlign w:val="center"/>
          </w:tcPr>
          <w:p w14:paraId="6666FF5C" w14:textId="5569AB83" w:rsidR="00830C24" w:rsidRPr="00E60668" w:rsidRDefault="00830C24" w:rsidP="00830C24">
            <w:pPr>
              <w:widowControl w:val="0"/>
              <w:autoSpaceDE w:val="0"/>
              <w:autoSpaceDN w:val="0"/>
              <w:adjustRightInd w:val="0"/>
              <w:jc w:val="center"/>
              <w:rPr>
                <w:sz w:val="16"/>
                <w:szCs w:val="16"/>
              </w:rPr>
            </w:pPr>
            <w:r w:rsidRPr="00AD55AA">
              <w:rPr>
                <w:sz w:val="16"/>
                <w:szCs w:val="16"/>
              </w:rPr>
              <w:t>2,330</w:t>
            </w:r>
          </w:p>
        </w:tc>
        <w:tc>
          <w:tcPr>
            <w:tcW w:w="0" w:type="auto"/>
            <w:vAlign w:val="bottom"/>
          </w:tcPr>
          <w:p w14:paraId="185F5806" w14:textId="1D8637F7" w:rsidR="00830C24" w:rsidRPr="001228EC" w:rsidRDefault="005F5D34" w:rsidP="00830C24">
            <w:pPr>
              <w:widowControl w:val="0"/>
              <w:autoSpaceDE w:val="0"/>
              <w:autoSpaceDN w:val="0"/>
              <w:adjustRightInd w:val="0"/>
              <w:jc w:val="center"/>
              <w:rPr>
                <w:sz w:val="16"/>
                <w:szCs w:val="16"/>
              </w:rPr>
            </w:pPr>
            <w:r w:rsidRPr="005F5D34">
              <w:rPr>
                <w:sz w:val="16"/>
                <w:szCs w:val="16"/>
              </w:rPr>
              <w:t>2</w:t>
            </w:r>
            <w:r>
              <w:rPr>
                <w:sz w:val="16"/>
                <w:szCs w:val="16"/>
              </w:rPr>
              <w:t>,</w:t>
            </w:r>
            <w:r w:rsidRPr="005F5D34">
              <w:rPr>
                <w:sz w:val="16"/>
                <w:szCs w:val="16"/>
              </w:rPr>
              <w:t>850</w:t>
            </w:r>
          </w:p>
        </w:tc>
      </w:tr>
      <w:tr w:rsidR="00830C24" w:rsidRPr="00E60668" w14:paraId="3D8A3AA6" w14:textId="77777777" w:rsidTr="00830C24">
        <w:trPr>
          <w:trHeight w:val="144"/>
          <w:jc w:val="center"/>
        </w:trPr>
        <w:tc>
          <w:tcPr>
            <w:tcW w:w="0" w:type="auto"/>
          </w:tcPr>
          <w:p w14:paraId="21AF3692" w14:textId="77777777" w:rsidR="00830C24" w:rsidRPr="00E60668" w:rsidRDefault="00830C24" w:rsidP="00830C24">
            <w:pPr>
              <w:widowControl w:val="0"/>
              <w:autoSpaceDE w:val="0"/>
              <w:autoSpaceDN w:val="0"/>
              <w:adjustRightInd w:val="0"/>
              <w:rPr>
                <w:sz w:val="16"/>
                <w:szCs w:val="16"/>
              </w:rPr>
            </w:pPr>
            <w:r>
              <w:rPr>
                <w:sz w:val="16"/>
                <w:szCs w:val="16"/>
              </w:rPr>
              <w:t>18</w:t>
            </w:r>
          </w:p>
        </w:tc>
        <w:tc>
          <w:tcPr>
            <w:tcW w:w="0" w:type="auto"/>
          </w:tcPr>
          <w:p w14:paraId="59CD32F7" w14:textId="77777777" w:rsidR="00830C24" w:rsidRPr="00E60668" w:rsidRDefault="00830C24" w:rsidP="00830C24">
            <w:pPr>
              <w:widowControl w:val="0"/>
              <w:autoSpaceDE w:val="0"/>
              <w:autoSpaceDN w:val="0"/>
              <w:adjustRightInd w:val="0"/>
              <w:rPr>
                <w:sz w:val="16"/>
                <w:szCs w:val="16"/>
              </w:rPr>
            </w:pPr>
            <w:r w:rsidRPr="00E60668">
              <w:rPr>
                <w:sz w:val="16"/>
                <w:szCs w:val="16"/>
              </w:rPr>
              <w:t>1/2/2018</w:t>
            </w:r>
          </w:p>
        </w:tc>
        <w:tc>
          <w:tcPr>
            <w:tcW w:w="0" w:type="auto"/>
          </w:tcPr>
          <w:p w14:paraId="302902DA" w14:textId="77777777" w:rsidR="00830C24" w:rsidRPr="00E60668" w:rsidRDefault="00830C24" w:rsidP="00830C24">
            <w:pPr>
              <w:widowControl w:val="0"/>
              <w:autoSpaceDE w:val="0"/>
              <w:autoSpaceDN w:val="0"/>
              <w:adjustRightInd w:val="0"/>
              <w:rPr>
                <w:sz w:val="16"/>
                <w:szCs w:val="16"/>
              </w:rPr>
            </w:pPr>
            <w:r w:rsidRPr="00E60668">
              <w:rPr>
                <w:sz w:val="16"/>
                <w:szCs w:val="16"/>
              </w:rPr>
              <w:t>Moneygram international inc</w:t>
            </w:r>
          </w:p>
        </w:tc>
        <w:tc>
          <w:tcPr>
            <w:tcW w:w="0" w:type="auto"/>
          </w:tcPr>
          <w:p w14:paraId="305F25DC" w14:textId="54EED91A" w:rsidR="00830C24" w:rsidRPr="00AD55AA" w:rsidRDefault="00830C24" w:rsidP="00830C24">
            <w:pPr>
              <w:widowControl w:val="0"/>
              <w:autoSpaceDE w:val="0"/>
              <w:autoSpaceDN w:val="0"/>
              <w:adjustRightInd w:val="0"/>
              <w:jc w:val="center"/>
              <w:rPr>
                <w:sz w:val="16"/>
                <w:szCs w:val="16"/>
              </w:rPr>
            </w:pPr>
            <w:r>
              <w:rPr>
                <w:sz w:val="16"/>
                <w:szCs w:val="16"/>
              </w:rPr>
              <w:t>3</w:t>
            </w:r>
          </w:p>
        </w:tc>
        <w:tc>
          <w:tcPr>
            <w:tcW w:w="0" w:type="auto"/>
            <w:vAlign w:val="center"/>
          </w:tcPr>
          <w:p w14:paraId="4D3C3965" w14:textId="51E590FD" w:rsidR="00830C24" w:rsidRPr="00E60668" w:rsidRDefault="00830C24" w:rsidP="00830C24">
            <w:pPr>
              <w:widowControl w:val="0"/>
              <w:autoSpaceDE w:val="0"/>
              <w:autoSpaceDN w:val="0"/>
              <w:adjustRightInd w:val="0"/>
              <w:jc w:val="center"/>
              <w:rPr>
                <w:sz w:val="16"/>
                <w:szCs w:val="16"/>
              </w:rPr>
            </w:pPr>
            <w:r>
              <w:rPr>
                <w:sz w:val="16"/>
                <w:szCs w:val="16"/>
              </w:rPr>
              <w:t>1,200</w:t>
            </w:r>
          </w:p>
        </w:tc>
        <w:tc>
          <w:tcPr>
            <w:tcW w:w="0" w:type="auto"/>
            <w:vAlign w:val="bottom"/>
          </w:tcPr>
          <w:p w14:paraId="1A72B4AE" w14:textId="58B18CC9" w:rsidR="00830C24" w:rsidRPr="001228EC" w:rsidRDefault="009740BC" w:rsidP="00830C24">
            <w:pPr>
              <w:widowControl w:val="0"/>
              <w:autoSpaceDE w:val="0"/>
              <w:autoSpaceDN w:val="0"/>
              <w:adjustRightInd w:val="0"/>
              <w:jc w:val="center"/>
              <w:rPr>
                <w:sz w:val="16"/>
                <w:szCs w:val="16"/>
              </w:rPr>
            </w:pPr>
            <w:r w:rsidRPr="009740BC">
              <w:rPr>
                <w:sz w:val="16"/>
                <w:szCs w:val="16"/>
              </w:rPr>
              <w:t>3</w:t>
            </w:r>
            <w:r>
              <w:rPr>
                <w:sz w:val="16"/>
                <w:szCs w:val="16"/>
              </w:rPr>
              <w:t>,</w:t>
            </w:r>
            <w:r w:rsidRPr="009740BC">
              <w:rPr>
                <w:sz w:val="16"/>
                <w:szCs w:val="16"/>
              </w:rPr>
              <w:t>278</w:t>
            </w:r>
          </w:p>
        </w:tc>
      </w:tr>
      <w:tr w:rsidR="00830C24" w:rsidRPr="00E60668" w14:paraId="12BE8D35" w14:textId="77777777" w:rsidTr="00830C24">
        <w:trPr>
          <w:trHeight w:val="144"/>
          <w:jc w:val="center"/>
        </w:trPr>
        <w:tc>
          <w:tcPr>
            <w:tcW w:w="0" w:type="auto"/>
          </w:tcPr>
          <w:p w14:paraId="7AF8B80F" w14:textId="77777777" w:rsidR="00830C24" w:rsidRPr="00E60668" w:rsidRDefault="00830C24" w:rsidP="00830C24">
            <w:pPr>
              <w:widowControl w:val="0"/>
              <w:autoSpaceDE w:val="0"/>
              <w:autoSpaceDN w:val="0"/>
              <w:adjustRightInd w:val="0"/>
              <w:rPr>
                <w:sz w:val="16"/>
                <w:szCs w:val="16"/>
              </w:rPr>
            </w:pPr>
            <w:r>
              <w:rPr>
                <w:sz w:val="16"/>
                <w:szCs w:val="16"/>
              </w:rPr>
              <w:t>19</w:t>
            </w:r>
          </w:p>
        </w:tc>
        <w:tc>
          <w:tcPr>
            <w:tcW w:w="0" w:type="auto"/>
          </w:tcPr>
          <w:p w14:paraId="32BA1BC6" w14:textId="77777777" w:rsidR="00830C24" w:rsidRPr="00E60668" w:rsidRDefault="00830C24" w:rsidP="00830C24">
            <w:pPr>
              <w:widowControl w:val="0"/>
              <w:autoSpaceDE w:val="0"/>
              <w:autoSpaceDN w:val="0"/>
              <w:adjustRightInd w:val="0"/>
              <w:rPr>
                <w:sz w:val="16"/>
                <w:szCs w:val="16"/>
              </w:rPr>
            </w:pPr>
            <w:r w:rsidRPr="00E60668">
              <w:rPr>
                <w:sz w:val="16"/>
                <w:szCs w:val="16"/>
              </w:rPr>
              <w:t>2/20/2018</w:t>
            </w:r>
          </w:p>
        </w:tc>
        <w:tc>
          <w:tcPr>
            <w:tcW w:w="0" w:type="auto"/>
            <w:vAlign w:val="bottom"/>
          </w:tcPr>
          <w:p w14:paraId="28C84C61" w14:textId="77777777" w:rsidR="00830C24" w:rsidRPr="00E60668" w:rsidRDefault="00830C24" w:rsidP="00830C24">
            <w:pPr>
              <w:widowControl w:val="0"/>
              <w:autoSpaceDE w:val="0"/>
              <w:autoSpaceDN w:val="0"/>
              <w:adjustRightInd w:val="0"/>
              <w:rPr>
                <w:sz w:val="16"/>
                <w:szCs w:val="16"/>
              </w:rPr>
            </w:pPr>
            <w:r w:rsidRPr="00E60668">
              <w:rPr>
                <w:sz w:val="16"/>
                <w:szCs w:val="16"/>
              </w:rPr>
              <w:t>Fluent inc</w:t>
            </w:r>
          </w:p>
        </w:tc>
        <w:tc>
          <w:tcPr>
            <w:tcW w:w="0" w:type="auto"/>
          </w:tcPr>
          <w:p w14:paraId="2726E9B9" w14:textId="594A45EE" w:rsidR="00830C24" w:rsidRPr="00AD55AA" w:rsidRDefault="00830C24" w:rsidP="00830C24">
            <w:pPr>
              <w:widowControl w:val="0"/>
              <w:autoSpaceDE w:val="0"/>
              <w:autoSpaceDN w:val="0"/>
              <w:adjustRightInd w:val="0"/>
              <w:jc w:val="center"/>
              <w:rPr>
                <w:sz w:val="16"/>
                <w:szCs w:val="16"/>
              </w:rPr>
            </w:pPr>
            <w:r>
              <w:rPr>
                <w:sz w:val="16"/>
                <w:szCs w:val="16"/>
              </w:rPr>
              <w:t>25</w:t>
            </w:r>
          </w:p>
        </w:tc>
        <w:tc>
          <w:tcPr>
            <w:tcW w:w="0" w:type="auto"/>
            <w:vAlign w:val="center"/>
          </w:tcPr>
          <w:p w14:paraId="1AE138CC" w14:textId="6EF80FED" w:rsidR="00830C24" w:rsidRPr="00E60668" w:rsidRDefault="00830C24" w:rsidP="00830C24">
            <w:pPr>
              <w:widowControl w:val="0"/>
              <w:autoSpaceDE w:val="0"/>
              <w:autoSpaceDN w:val="0"/>
              <w:adjustRightInd w:val="0"/>
              <w:jc w:val="center"/>
              <w:rPr>
                <w:sz w:val="16"/>
                <w:szCs w:val="16"/>
              </w:rPr>
            </w:pPr>
            <w:r w:rsidRPr="00AD55AA">
              <w:rPr>
                <w:sz w:val="16"/>
                <w:szCs w:val="16"/>
              </w:rPr>
              <w:t>100</w:t>
            </w:r>
          </w:p>
        </w:tc>
        <w:tc>
          <w:tcPr>
            <w:tcW w:w="0" w:type="auto"/>
            <w:vAlign w:val="bottom"/>
          </w:tcPr>
          <w:p w14:paraId="4D4CB4BD" w14:textId="748A28C4" w:rsidR="00830C24" w:rsidRPr="001228EC" w:rsidRDefault="00297098" w:rsidP="00830C24">
            <w:pPr>
              <w:widowControl w:val="0"/>
              <w:autoSpaceDE w:val="0"/>
              <w:autoSpaceDN w:val="0"/>
              <w:adjustRightInd w:val="0"/>
              <w:jc w:val="center"/>
              <w:rPr>
                <w:sz w:val="16"/>
                <w:szCs w:val="16"/>
              </w:rPr>
            </w:pPr>
            <w:r w:rsidRPr="00297098">
              <w:rPr>
                <w:sz w:val="16"/>
                <w:szCs w:val="16"/>
              </w:rPr>
              <w:t>2</w:t>
            </w:r>
            <w:r>
              <w:rPr>
                <w:sz w:val="16"/>
                <w:szCs w:val="16"/>
              </w:rPr>
              <w:t>,</w:t>
            </w:r>
            <w:r w:rsidRPr="00297098">
              <w:rPr>
                <w:sz w:val="16"/>
                <w:szCs w:val="16"/>
              </w:rPr>
              <w:t>426</w:t>
            </w:r>
          </w:p>
        </w:tc>
      </w:tr>
      <w:tr w:rsidR="00830C24" w:rsidRPr="00E60668" w14:paraId="0B77CF5E" w14:textId="77777777" w:rsidTr="00830C24">
        <w:trPr>
          <w:trHeight w:val="144"/>
          <w:jc w:val="center"/>
        </w:trPr>
        <w:tc>
          <w:tcPr>
            <w:tcW w:w="0" w:type="auto"/>
          </w:tcPr>
          <w:p w14:paraId="333BD5DD" w14:textId="77777777" w:rsidR="00830C24" w:rsidRPr="00E60668" w:rsidRDefault="00830C24" w:rsidP="00830C24">
            <w:pPr>
              <w:widowControl w:val="0"/>
              <w:autoSpaceDE w:val="0"/>
              <w:autoSpaceDN w:val="0"/>
              <w:adjustRightInd w:val="0"/>
              <w:rPr>
                <w:sz w:val="16"/>
                <w:szCs w:val="16"/>
              </w:rPr>
            </w:pPr>
            <w:r>
              <w:rPr>
                <w:sz w:val="16"/>
                <w:szCs w:val="16"/>
              </w:rPr>
              <w:t>20</w:t>
            </w:r>
          </w:p>
        </w:tc>
        <w:tc>
          <w:tcPr>
            <w:tcW w:w="0" w:type="auto"/>
          </w:tcPr>
          <w:p w14:paraId="19884E30" w14:textId="77777777" w:rsidR="00830C24" w:rsidRPr="00E60668" w:rsidRDefault="00830C24" w:rsidP="00830C24">
            <w:pPr>
              <w:widowControl w:val="0"/>
              <w:autoSpaceDE w:val="0"/>
              <w:autoSpaceDN w:val="0"/>
              <w:adjustRightInd w:val="0"/>
              <w:rPr>
                <w:sz w:val="16"/>
                <w:szCs w:val="16"/>
              </w:rPr>
            </w:pPr>
            <w:r w:rsidRPr="00E60668">
              <w:rPr>
                <w:sz w:val="16"/>
                <w:szCs w:val="16"/>
              </w:rPr>
              <w:t>2/22/2018</w:t>
            </w:r>
          </w:p>
        </w:tc>
        <w:tc>
          <w:tcPr>
            <w:tcW w:w="0" w:type="auto"/>
            <w:vAlign w:val="bottom"/>
          </w:tcPr>
          <w:p w14:paraId="1D2C452E" w14:textId="77777777" w:rsidR="00830C24" w:rsidRPr="00E60668" w:rsidRDefault="00830C24" w:rsidP="00830C24">
            <w:pPr>
              <w:widowControl w:val="0"/>
              <w:autoSpaceDE w:val="0"/>
              <w:autoSpaceDN w:val="0"/>
              <w:adjustRightInd w:val="0"/>
              <w:rPr>
                <w:sz w:val="16"/>
                <w:szCs w:val="16"/>
              </w:rPr>
            </w:pPr>
            <w:r w:rsidRPr="00E60668">
              <w:rPr>
                <w:sz w:val="16"/>
                <w:szCs w:val="16"/>
              </w:rPr>
              <w:t>Xcerra corporation</w:t>
            </w:r>
          </w:p>
        </w:tc>
        <w:tc>
          <w:tcPr>
            <w:tcW w:w="0" w:type="auto"/>
          </w:tcPr>
          <w:p w14:paraId="4666C2F6" w14:textId="1F03C96F" w:rsidR="00830C24" w:rsidRPr="00AD55AA" w:rsidRDefault="00830C24" w:rsidP="00830C24">
            <w:pPr>
              <w:widowControl w:val="0"/>
              <w:autoSpaceDE w:val="0"/>
              <w:autoSpaceDN w:val="0"/>
              <w:adjustRightInd w:val="0"/>
              <w:jc w:val="center"/>
              <w:rPr>
                <w:sz w:val="16"/>
                <w:szCs w:val="16"/>
              </w:rPr>
            </w:pPr>
            <w:r>
              <w:rPr>
                <w:sz w:val="16"/>
                <w:szCs w:val="16"/>
              </w:rPr>
              <w:t>28</w:t>
            </w:r>
          </w:p>
        </w:tc>
        <w:tc>
          <w:tcPr>
            <w:tcW w:w="0" w:type="auto"/>
            <w:vAlign w:val="center"/>
          </w:tcPr>
          <w:p w14:paraId="6F523B9E" w14:textId="3D87E505" w:rsidR="00830C24" w:rsidRPr="00E60668" w:rsidRDefault="00830C24" w:rsidP="00830C24">
            <w:pPr>
              <w:widowControl w:val="0"/>
              <w:autoSpaceDE w:val="0"/>
              <w:autoSpaceDN w:val="0"/>
              <w:adjustRightInd w:val="0"/>
              <w:jc w:val="center"/>
              <w:rPr>
                <w:sz w:val="16"/>
                <w:szCs w:val="16"/>
              </w:rPr>
            </w:pPr>
            <w:r w:rsidRPr="00AD55AA">
              <w:rPr>
                <w:sz w:val="16"/>
                <w:szCs w:val="16"/>
              </w:rPr>
              <w:t>580</w:t>
            </w:r>
          </w:p>
        </w:tc>
        <w:tc>
          <w:tcPr>
            <w:tcW w:w="0" w:type="auto"/>
            <w:vAlign w:val="bottom"/>
          </w:tcPr>
          <w:p w14:paraId="40C61DF3" w14:textId="48F266B2" w:rsidR="00830C24" w:rsidRPr="001228EC" w:rsidRDefault="00DA6211" w:rsidP="00830C24">
            <w:pPr>
              <w:widowControl w:val="0"/>
              <w:autoSpaceDE w:val="0"/>
              <w:autoSpaceDN w:val="0"/>
              <w:adjustRightInd w:val="0"/>
              <w:jc w:val="center"/>
              <w:rPr>
                <w:sz w:val="16"/>
                <w:szCs w:val="16"/>
              </w:rPr>
            </w:pPr>
            <w:r w:rsidRPr="00DA6211">
              <w:rPr>
                <w:sz w:val="16"/>
                <w:szCs w:val="16"/>
              </w:rPr>
              <w:t>4</w:t>
            </w:r>
            <w:r>
              <w:rPr>
                <w:sz w:val="16"/>
                <w:szCs w:val="16"/>
              </w:rPr>
              <w:t>,</w:t>
            </w:r>
            <w:r w:rsidRPr="00DA6211">
              <w:rPr>
                <w:sz w:val="16"/>
                <w:szCs w:val="16"/>
              </w:rPr>
              <w:t>677</w:t>
            </w:r>
          </w:p>
        </w:tc>
      </w:tr>
      <w:tr w:rsidR="00830C24" w:rsidRPr="00E60668" w14:paraId="6F5BDECD" w14:textId="77777777" w:rsidTr="00830C24">
        <w:trPr>
          <w:trHeight w:val="144"/>
          <w:jc w:val="center"/>
        </w:trPr>
        <w:tc>
          <w:tcPr>
            <w:tcW w:w="0" w:type="auto"/>
          </w:tcPr>
          <w:p w14:paraId="0E5B05B2" w14:textId="77777777" w:rsidR="00830C24" w:rsidRPr="00E60668" w:rsidRDefault="00830C24" w:rsidP="00830C24">
            <w:pPr>
              <w:widowControl w:val="0"/>
              <w:autoSpaceDE w:val="0"/>
              <w:autoSpaceDN w:val="0"/>
              <w:adjustRightInd w:val="0"/>
              <w:rPr>
                <w:sz w:val="16"/>
                <w:szCs w:val="16"/>
              </w:rPr>
            </w:pPr>
            <w:r>
              <w:rPr>
                <w:sz w:val="16"/>
                <w:szCs w:val="16"/>
              </w:rPr>
              <w:t>21</w:t>
            </w:r>
          </w:p>
        </w:tc>
        <w:tc>
          <w:tcPr>
            <w:tcW w:w="0" w:type="auto"/>
          </w:tcPr>
          <w:p w14:paraId="54F62826" w14:textId="77777777" w:rsidR="00830C24" w:rsidRPr="00E60668" w:rsidRDefault="00830C24" w:rsidP="00830C24">
            <w:pPr>
              <w:widowControl w:val="0"/>
              <w:autoSpaceDE w:val="0"/>
              <w:autoSpaceDN w:val="0"/>
              <w:adjustRightInd w:val="0"/>
              <w:rPr>
                <w:sz w:val="16"/>
                <w:szCs w:val="16"/>
              </w:rPr>
            </w:pPr>
            <w:r w:rsidRPr="00E60668">
              <w:rPr>
                <w:sz w:val="16"/>
                <w:szCs w:val="16"/>
              </w:rPr>
              <w:t>3/1/2018</w:t>
            </w:r>
          </w:p>
        </w:tc>
        <w:tc>
          <w:tcPr>
            <w:tcW w:w="0" w:type="auto"/>
            <w:vAlign w:val="bottom"/>
          </w:tcPr>
          <w:p w14:paraId="026F1346" w14:textId="77777777" w:rsidR="00830C24" w:rsidRPr="00E60668" w:rsidRDefault="00830C24" w:rsidP="00830C24">
            <w:pPr>
              <w:widowControl w:val="0"/>
              <w:autoSpaceDE w:val="0"/>
              <w:autoSpaceDN w:val="0"/>
              <w:adjustRightInd w:val="0"/>
              <w:rPr>
                <w:sz w:val="16"/>
                <w:szCs w:val="16"/>
              </w:rPr>
            </w:pPr>
            <w:r w:rsidRPr="00E60668">
              <w:rPr>
                <w:sz w:val="16"/>
                <w:szCs w:val="16"/>
              </w:rPr>
              <w:t>Novabay pharmaceuticals inc</w:t>
            </w:r>
          </w:p>
        </w:tc>
        <w:tc>
          <w:tcPr>
            <w:tcW w:w="0" w:type="auto"/>
          </w:tcPr>
          <w:p w14:paraId="7A431342" w14:textId="6E645E66" w:rsidR="00830C24" w:rsidRPr="00AD55AA" w:rsidRDefault="00830C24" w:rsidP="00830C24">
            <w:pPr>
              <w:widowControl w:val="0"/>
              <w:autoSpaceDE w:val="0"/>
              <w:autoSpaceDN w:val="0"/>
              <w:adjustRightInd w:val="0"/>
              <w:jc w:val="center"/>
              <w:rPr>
                <w:sz w:val="16"/>
                <w:szCs w:val="16"/>
              </w:rPr>
            </w:pPr>
            <w:r>
              <w:rPr>
                <w:sz w:val="16"/>
                <w:szCs w:val="16"/>
              </w:rPr>
              <w:t>14</w:t>
            </w:r>
          </w:p>
        </w:tc>
        <w:tc>
          <w:tcPr>
            <w:tcW w:w="0" w:type="auto"/>
            <w:vAlign w:val="center"/>
          </w:tcPr>
          <w:p w14:paraId="7A46B8F8" w14:textId="2169B647" w:rsidR="00830C24" w:rsidRPr="00E60668" w:rsidRDefault="00830C24" w:rsidP="00830C24">
            <w:pPr>
              <w:widowControl w:val="0"/>
              <w:autoSpaceDE w:val="0"/>
              <w:autoSpaceDN w:val="0"/>
              <w:adjustRightInd w:val="0"/>
              <w:jc w:val="center"/>
              <w:rPr>
                <w:sz w:val="16"/>
                <w:szCs w:val="16"/>
              </w:rPr>
            </w:pPr>
            <w:r w:rsidRPr="00AD55AA">
              <w:rPr>
                <w:sz w:val="16"/>
                <w:szCs w:val="16"/>
              </w:rPr>
              <w:t>27</w:t>
            </w:r>
          </w:p>
        </w:tc>
        <w:tc>
          <w:tcPr>
            <w:tcW w:w="0" w:type="auto"/>
            <w:vAlign w:val="bottom"/>
          </w:tcPr>
          <w:p w14:paraId="06330BE4" w14:textId="019779A9" w:rsidR="00830C24" w:rsidRPr="001228EC" w:rsidRDefault="005F5D34" w:rsidP="00830C24">
            <w:pPr>
              <w:widowControl w:val="0"/>
              <w:autoSpaceDE w:val="0"/>
              <w:autoSpaceDN w:val="0"/>
              <w:adjustRightInd w:val="0"/>
              <w:jc w:val="center"/>
              <w:rPr>
                <w:sz w:val="16"/>
                <w:szCs w:val="16"/>
              </w:rPr>
            </w:pPr>
            <w:r w:rsidRPr="005F5D34">
              <w:rPr>
                <w:sz w:val="16"/>
                <w:szCs w:val="16"/>
              </w:rPr>
              <w:t>2</w:t>
            </w:r>
            <w:r>
              <w:rPr>
                <w:sz w:val="16"/>
                <w:szCs w:val="16"/>
              </w:rPr>
              <w:t>,</w:t>
            </w:r>
            <w:r w:rsidRPr="005F5D34">
              <w:rPr>
                <w:sz w:val="16"/>
                <w:szCs w:val="16"/>
              </w:rPr>
              <w:t>751</w:t>
            </w:r>
          </w:p>
        </w:tc>
      </w:tr>
      <w:tr w:rsidR="00830C24" w:rsidRPr="00E60668" w14:paraId="68CA8614" w14:textId="77777777" w:rsidTr="00830C24">
        <w:trPr>
          <w:trHeight w:val="144"/>
          <w:jc w:val="center"/>
        </w:trPr>
        <w:tc>
          <w:tcPr>
            <w:tcW w:w="0" w:type="auto"/>
          </w:tcPr>
          <w:p w14:paraId="327F486C" w14:textId="77777777" w:rsidR="00830C24" w:rsidRPr="00E60668" w:rsidRDefault="00830C24" w:rsidP="00830C24">
            <w:pPr>
              <w:widowControl w:val="0"/>
              <w:autoSpaceDE w:val="0"/>
              <w:autoSpaceDN w:val="0"/>
              <w:adjustRightInd w:val="0"/>
              <w:rPr>
                <w:sz w:val="16"/>
                <w:szCs w:val="16"/>
              </w:rPr>
            </w:pPr>
            <w:r>
              <w:rPr>
                <w:color w:val="000000"/>
                <w:sz w:val="16"/>
                <w:szCs w:val="16"/>
              </w:rPr>
              <w:t>22</w:t>
            </w:r>
          </w:p>
        </w:tc>
        <w:tc>
          <w:tcPr>
            <w:tcW w:w="0" w:type="auto"/>
          </w:tcPr>
          <w:p w14:paraId="580A2B14" w14:textId="77777777" w:rsidR="00830C24" w:rsidRPr="00E60668" w:rsidRDefault="00830C24" w:rsidP="00830C24">
            <w:pPr>
              <w:widowControl w:val="0"/>
              <w:autoSpaceDE w:val="0"/>
              <w:autoSpaceDN w:val="0"/>
              <w:adjustRightInd w:val="0"/>
              <w:rPr>
                <w:sz w:val="16"/>
                <w:szCs w:val="16"/>
              </w:rPr>
            </w:pPr>
            <w:r w:rsidRPr="00E60668">
              <w:rPr>
                <w:sz w:val="16"/>
                <w:szCs w:val="16"/>
              </w:rPr>
              <w:t>3/12/2018</w:t>
            </w:r>
          </w:p>
        </w:tc>
        <w:tc>
          <w:tcPr>
            <w:tcW w:w="0" w:type="auto"/>
            <w:vAlign w:val="bottom"/>
          </w:tcPr>
          <w:p w14:paraId="192381EC" w14:textId="77777777" w:rsidR="00830C24" w:rsidRPr="00E60668" w:rsidRDefault="00830C24" w:rsidP="00830C24">
            <w:pPr>
              <w:widowControl w:val="0"/>
              <w:autoSpaceDE w:val="0"/>
              <w:autoSpaceDN w:val="0"/>
              <w:adjustRightInd w:val="0"/>
              <w:rPr>
                <w:sz w:val="16"/>
                <w:szCs w:val="16"/>
              </w:rPr>
            </w:pPr>
            <w:r w:rsidRPr="00E60668">
              <w:rPr>
                <w:sz w:val="16"/>
                <w:szCs w:val="16"/>
              </w:rPr>
              <w:t>Qualcomm inc</w:t>
            </w:r>
          </w:p>
        </w:tc>
        <w:tc>
          <w:tcPr>
            <w:tcW w:w="0" w:type="auto"/>
          </w:tcPr>
          <w:p w14:paraId="023C048B" w14:textId="0B453852" w:rsidR="00830C24" w:rsidRPr="00AD55AA" w:rsidRDefault="00830C24" w:rsidP="00830C24">
            <w:pPr>
              <w:widowControl w:val="0"/>
              <w:autoSpaceDE w:val="0"/>
              <w:autoSpaceDN w:val="0"/>
              <w:adjustRightInd w:val="0"/>
              <w:jc w:val="center"/>
              <w:rPr>
                <w:sz w:val="16"/>
                <w:szCs w:val="16"/>
              </w:rPr>
            </w:pPr>
            <w:r>
              <w:rPr>
                <w:sz w:val="16"/>
                <w:szCs w:val="16"/>
              </w:rPr>
              <w:t>28</w:t>
            </w:r>
          </w:p>
        </w:tc>
        <w:tc>
          <w:tcPr>
            <w:tcW w:w="0" w:type="auto"/>
            <w:vAlign w:val="center"/>
          </w:tcPr>
          <w:p w14:paraId="5386F8C0" w14:textId="6F8283E1" w:rsidR="00830C24" w:rsidRPr="00E60668" w:rsidRDefault="00830C24" w:rsidP="00830C24">
            <w:pPr>
              <w:widowControl w:val="0"/>
              <w:autoSpaceDE w:val="0"/>
              <w:autoSpaceDN w:val="0"/>
              <w:adjustRightInd w:val="0"/>
              <w:jc w:val="center"/>
              <w:rPr>
                <w:sz w:val="16"/>
                <w:szCs w:val="16"/>
              </w:rPr>
            </w:pPr>
            <w:r w:rsidRPr="00AD55AA">
              <w:rPr>
                <w:sz w:val="16"/>
                <w:szCs w:val="16"/>
              </w:rPr>
              <w:t>117,000</w:t>
            </w:r>
          </w:p>
        </w:tc>
        <w:tc>
          <w:tcPr>
            <w:tcW w:w="0" w:type="auto"/>
            <w:vAlign w:val="bottom"/>
          </w:tcPr>
          <w:p w14:paraId="7C01B6B0" w14:textId="2DDD5213" w:rsidR="00830C24" w:rsidRPr="001228EC" w:rsidRDefault="00DA6211" w:rsidP="00830C24">
            <w:pPr>
              <w:widowControl w:val="0"/>
              <w:autoSpaceDE w:val="0"/>
              <w:autoSpaceDN w:val="0"/>
              <w:adjustRightInd w:val="0"/>
              <w:jc w:val="center"/>
              <w:rPr>
                <w:sz w:val="16"/>
                <w:szCs w:val="16"/>
              </w:rPr>
            </w:pPr>
            <w:r w:rsidRPr="00DA6211">
              <w:rPr>
                <w:sz w:val="16"/>
                <w:szCs w:val="16"/>
              </w:rPr>
              <w:t>4</w:t>
            </w:r>
            <w:r>
              <w:rPr>
                <w:sz w:val="16"/>
                <w:szCs w:val="16"/>
              </w:rPr>
              <w:t>,</w:t>
            </w:r>
            <w:r w:rsidRPr="00DA6211">
              <w:rPr>
                <w:sz w:val="16"/>
                <w:szCs w:val="16"/>
              </w:rPr>
              <w:t>677</w:t>
            </w:r>
          </w:p>
        </w:tc>
      </w:tr>
      <w:tr w:rsidR="00830C24" w:rsidRPr="00E60668" w14:paraId="550BFC5D" w14:textId="77777777" w:rsidTr="00830C24">
        <w:trPr>
          <w:trHeight w:val="144"/>
          <w:jc w:val="center"/>
        </w:trPr>
        <w:tc>
          <w:tcPr>
            <w:tcW w:w="0" w:type="auto"/>
          </w:tcPr>
          <w:p w14:paraId="3C86AF1E" w14:textId="77777777" w:rsidR="00830C24" w:rsidRPr="00E60668" w:rsidRDefault="00830C24" w:rsidP="00830C24">
            <w:pPr>
              <w:widowControl w:val="0"/>
              <w:autoSpaceDE w:val="0"/>
              <w:autoSpaceDN w:val="0"/>
              <w:adjustRightInd w:val="0"/>
              <w:rPr>
                <w:sz w:val="16"/>
                <w:szCs w:val="16"/>
              </w:rPr>
            </w:pPr>
            <w:r>
              <w:rPr>
                <w:sz w:val="16"/>
                <w:szCs w:val="16"/>
              </w:rPr>
              <w:t>23</w:t>
            </w:r>
          </w:p>
        </w:tc>
        <w:tc>
          <w:tcPr>
            <w:tcW w:w="0" w:type="auto"/>
          </w:tcPr>
          <w:p w14:paraId="15F8E36C" w14:textId="77777777" w:rsidR="00830C24" w:rsidRPr="00E60668" w:rsidRDefault="00830C24" w:rsidP="00830C24">
            <w:pPr>
              <w:widowControl w:val="0"/>
              <w:autoSpaceDE w:val="0"/>
              <w:autoSpaceDN w:val="0"/>
              <w:adjustRightInd w:val="0"/>
              <w:rPr>
                <w:sz w:val="16"/>
                <w:szCs w:val="16"/>
              </w:rPr>
            </w:pPr>
            <w:r w:rsidRPr="00E60668">
              <w:rPr>
                <w:sz w:val="16"/>
                <w:szCs w:val="16"/>
              </w:rPr>
              <w:t>5/9/2018</w:t>
            </w:r>
          </w:p>
        </w:tc>
        <w:tc>
          <w:tcPr>
            <w:tcW w:w="0" w:type="auto"/>
            <w:vAlign w:val="bottom"/>
          </w:tcPr>
          <w:p w14:paraId="083971B1" w14:textId="77777777" w:rsidR="00830C24" w:rsidRPr="00E60668" w:rsidRDefault="00830C24" w:rsidP="00830C24">
            <w:pPr>
              <w:widowControl w:val="0"/>
              <w:autoSpaceDE w:val="0"/>
              <w:autoSpaceDN w:val="0"/>
              <w:adjustRightInd w:val="0"/>
              <w:rPr>
                <w:sz w:val="16"/>
                <w:szCs w:val="16"/>
              </w:rPr>
            </w:pPr>
            <w:r w:rsidRPr="00E60668">
              <w:rPr>
                <w:sz w:val="16"/>
                <w:szCs w:val="16"/>
              </w:rPr>
              <w:t>Uqm technologies inc</w:t>
            </w:r>
          </w:p>
        </w:tc>
        <w:tc>
          <w:tcPr>
            <w:tcW w:w="0" w:type="auto"/>
          </w:tcPr>
          <w:p w14:paraId="1ECB4368" w14:textId="62B21729" w:rsidR="00830C24" w:rsidRPr="00AD55AA" w:rsidRDefault="00830C24" w:rsidP="00830C24">
            <w:pPr>
              <w:widowControl w:val="0"/>
              <w:autoSpaceDE w:val="0"/>
              <w:autoSpaceDN w:val="0"/>
              <w:adjustRightInd w:val="0"/>
              <w:jc w:val="center"/>
              <w:rPr>
                <w:sz w:val="16"/>
                <w:szCs w:val="16"/>
              </w:rPr>
            </w:pPr>
            <w:r>
              <w:rPr>
                <w:sz w:val="16"/>
                <w:szCs w:val="16"/>
              </w:rPr>
              <w:t>7</w:t>
            </w:r>
          </w:p>
        </w:tc>
        <w:tc>
          <w:tcPr>
            <w:tcW w:w="0" w:type="auto"/>
            <w:vAlign w:val="center"/>
          </w:tcPr>
          <w:p w14:paraId="76E5B7C8" w14:textId="7D0A3084" w:rsidR="00830C24" w:rsidRPr="00E60668" w:rsidRDefault="00830C24" w:rsidP="00830C24">
            <w:pPr>
              <w:widowControl w:val="0"/>
              <w:autoSpaceDE w:val="0"/>
              <w:autoSpaceDN w:val="0"/>
              <w:adjustRightInd w:val="0"/>
              <w:jc w:val="center"/>
              <w:rPr>
                <w:sz w:val="16"/>
                <w:szCs w:val="16"/>
              </w:rPr>
            </w:pPr>
            <w:r>
              <w:rPr>
                <w:sz w:val="16"/>
                <w:szCs w:val="16"/>
              </w:rPr>
              <w:t>29</w:t>
            </w:r>
          </w:p>
        </w:tc>
        <w:tc>
          <w:tcPr>
            <w:tcW w:w="0" w:type="auto"/>
            <w:vAlign w:val="bottom"/>
          </w:tcPr>
          <w:p w14:paraId="65C86D0A" w14:textId="50190F26" w:rsidR="00830C24" w:rsidRPr="001228EC" w:rsidRDefault="00706737" w:rsidP="00830C24">
            <w:pPr>
              <w:widowControl w:val="0"/>
              <w:autoSpaceDE w:val="0"/>
              <w:autoSpaceDN w:val="0"/>
              <w:adjustRightInd w:val="0"/>
              <w:jc w:val="center"/>
              <w:rPr>
                <w:sz w:val="16"/>
                <w:szCs w:val="16"/>
              </w:rPr>
            </w:pPr>
            <w:r w:rsidRPr="00706737">
              <w:rPr>
                <w:sz w:val="16"/>
                <w:szCs w:val="16"/>
              </w:rPr>
              <w:t>1</w:t>
            </w:r>
            <w:r>
              <w:rPr>
                <w:sz w:val="16"/>
                <w:szCs w:val="16"/>
              </w:rPr>
              <w:t>,</w:t>
            </w:r>
            <w:r w:rsidRPr="00706737">
              <w:rPr>
                <w:sz w:val="16"/>
                <w:szCs w:val="16"/>
              </w:rPr>
              <w:t>408</w:t>
            </w:r>
          </w:p>
        </w:tc>
      </w:tr>
      <w:tr w:rsidR="00830C24" w:rsidRPr="00E60668" w14:paraId="5553922E" w14:textId="77777777" w:rsidTr="00F57ACE">
        <w:trPr>
          <w:trHeight w:val="144"/>
          <w:jc w:val="center"/>
        </w:trPr>
        <w:tc>
          <w:tcPr>
            <w:tcW w:w="0" w:type="auto"/>
            <w:tcBorders>
              <w:top w:val="single" w:sz="4" w:space="0" w:color="auto"/>
              <w:left w:val="nil"/>
              <w:bottom w:val="nil"/>
              <w:right w:val="nil"/>
            </w:tcBorders>
          </w:tcPr>
          <w:p w14:paraId="47DD4C8F" w14:textId="77777777" w:rsidR="00830C24" w:rsidRPr="00E60668" w:rsidRDefault="00830C24" w:rsidP="00830C24">
            <w:pPr>
              <w:widowControl w:val="0"/>
              <w:autoSpaceDE w:val="0"/>
              <w:autoSpaceDN w:val="0"/>
              <w:adjustRightInd w:val="0"/>
              <w:rPr>
                <w:sz w:val="16"/>
                <w:szCs w:val="16"/>
              </w:rPr>
            </w:pPr>
          </w:p>
        </w:tc>
        <w:tc>
          <w:tcPr>
            <w:tcW w:w="0" w:type="auto"/>
            <w:tcBorders>
              <w:top w:val="single" w:sz="4" w:space="0" w:color="auto"/>
              <w:left w:val="nil"/>
              <w:bottom w:val="nil"/>
              <w:right w:val="nil"/>
            </w:tcBorders>
          </w:tcPr>
          <w:p w14:paraId="0FCEDC73" w14:textId="77777777" w:rsidR="00830C24" w:rsidRPr="00E60668" w:rsidRDefault="00830C24" w:rsidP="00830C24">
            <w:pPr>
              <w:widowControl w:val="0"/>
              <w:autoSpaceDE w:val="0"/>
              <w:autoSpaceDN w:val="0"/>
              <w:adjustRightInd w:val="0"/>
              <w:rPr>
                <w:sz w:val="16"/>
                <w:szCs w:val="16"/>
              </w:rPr>
            </w:pPr>
          </w:p>
        </w:tc>
        <w:tc>
          <w:tcPr>
            <w:tcW w:w="0" w:type="auto"/>
            <w:tcBorders>
              <w:top w:val="single" w:sz="4" w:space="0" w:color="auto"/>
              <w:left w:val="nil"/>
              <w:bottom w:val="nil"/>
              <w:right w:val="nil"/>
            </w:tcBorders>
          </w:tcPr>
          <w:p w14:paraId="0DEBDABB" w14:textId="77777777" w:rsidR="00830C24" w:rsidRPr="00E60668" w:rsidRDefault="00830C24" w:rsidP="00830C24">
            <w:pPr>
              <w:widowControl w:val="0"/>
              <w:autoSpaceDE w:val="0"/>
              <w:autoSpaceDN w:val="0"/>
              <w:adjustRightInd w:val="0"/>
              <w:rPr>
                <w:sz w:val="16"/>
                <w:szCs w:val="16"/>
              </w:rPr>
            </w:pPr>
          </w:p>
        </w:tc>
        <w:tc>
          <w:tcPr>
            <w:tcW w:w="0" w:type="auto"/>
            <w:tcBorders>
              <w:top w:val="single" w:sz="4" w:space="0" w:color="auto"/>
              <w:left w:val="nil"/>
              <w:bottom w:val="nil"/>
              <w:right w:val="nil"/>
            </w:tcBorders>
          </w:tcPr>
          <w:p w14:paraId="2C32FF31" w14:textId="77777777" w:rsidR="00830C24" w:rsidRPr="00E60668" w:rsidRDefault="00830C24" w:rsidP="00830C24">
            <w:pPr>
              <w:widowControl w:val="0"/>
              <w:autoSpaceDE w:val="0"/>
              <w:autoSpaceDN w:val="0"/>
              <w:adjustRightInd w:val="0"/>
              <w:rPr>
                <w:sz w:val="16"/>
                <w:szCs w:val="16"/>
              </w:rPr>
            </w:pPr>
          </w:p>
        </w:tc>
        <w:tc>
          <w:tcPr>
            <w:tcW w:w="0" w:type="auto"/>
            <w:tcBorders>
              <w:top w:val="single" w:sz="4" w:space="0" w:color="auto"/>
              <w:left w:val="nil"/>
              <w:bottom w:val="nil"/>
              <w:right w:val="nil"/>
            </w:tcBorders>
          </w:tcPr>
          <w:p w14:paraId="3B74CAAD" w14:textId="77777777" w:rsidR="00830C24" w:rsidRPr="00E60668" w:rsidRDefault="00830C24" w:rsidP="00830C24">
            <w:pPr>
              <w:widowControl w:val="0"/>
              <w:autoSpaceDE w:val="0"/>
              <w:autoSpaceDN w:val="0"/>
              <w:adjustRightInd w:val="0"/>
              <w:rPr>
                <w:sz w:val="16"/>
                <w:szCs w:val="16"/>
              </w:rPr>
            </w:pPr>
          </w:p>
        </w:tc>
        <w:tc>
          <w:tcPr>
            <w:tcW w:w="0" w:type="auto"/>
            <w:tcBorders>
              <w:top w:val="single" w:sz="4" w:space="0" w:color="auto"/>
              <w:left w:val="nil"/>
              <w:bottom w:val="nil"/>
              <w:right w:val="nil"/>
            </w:tcBorders>
          </w:tcPr>
          <w:p w14:paraId="0A901A74" w14:textId="77777777" w:rsidR="00830C24" w:rsidRPr="00E60668" w:rsidRDefault="00830C24" w:rsidP="00830C24">
            <w:pPr>
              <w:widowControl w:val="0"/>
              <w:autoSpaceDE w:val="0"/>
              <w:autoSpaceDN w:val="0"/>
              <w:adjustRightInd w:val="0"/>
              <w:rPr>
                <w:sz w:val="16"/>
                <w:szCs w:val="16"/>
              </w:rPr>
            </w:pPr>
          </w:p>
        </w:tc>
      </w:tr>
    </w:tbl>
    <w:p w14:paraId="6BCE2F93" w14:textId="77777777" w:rsidR="006901B3" w:rsidRDefault="006901B3">
      <w:pPr>
        <w:spacing w:after="160" w:line="259" w:lineRule="auto"/>
        <w:rPr>
          <w:rStyle w:val="Normal2Car"/>
        </w:rPr>
      </w:pPr>
    </w:p>
    <w:p w14:paraId="5AB66AE7" w14:textId="74FC38DF" w:rsidR="00830C24" w:rsidRDefault="006901B3">
      <w:pPr>
        <w:spacing w:after="160" w:line="259" w:lineRule="auto"/>
        <w:rPr>
          <w:rStyle w:val="Normal2Car"/>
        </w:rPr>
      </w:pPr>
      <w:r>
        <w:rPr>
          <w:rStyle w:val="Normal2Car"/>
        </w:rPr>
        <w:br w:type="page"/>
      </w:r>
    </w:p>
    <w:p w14:paraId="00874FD6" w14:textId="77777777" w:rsidR="00E60668" w:rsidRDefault="00E60668">
      <w:pPr>
        <w:spacing w:after="160" w:line="259" w:lineRule="auto"/>
        <w:rPr>
          <w:rStyle w:val="Normal2Car"/>
        </w:rPr>
      </w:pPr>
    </w:p>
    <w:p w14:paraId="04776A35" w14:textId="2D0F4450" w:rsidR="00BC2838" w:rsidRPr="00AD55AA" w:rsidRDefault="00BC2838" w:rsidP="007B6916">
      <w:pPr>
        <w:spacing w:after="160" w:line="259" w:lineRule="auto"/>
        <w:rPr>
          <w:rStyle w:val="Normal2Car"/>
        </w:rPr>
      </w:pPr>
      <w:r w:rsidRPr="00AD55AA">
        <w:rPr>
          <w:b/>
        </w:rPr>
        <w:t>Appendix B – FINSA</w:t>
      </w:r>
    </w:p>
    <w:tbl>
      <w:tblPr>
        <w:tblW w:w="0" w:type="auto"/>
        <w:jc w:val="center"/>
        <w:tblLook w:val="04A0" w:firstRow="1" w:lastRow="0" w:firstColumn="1" w:lastColumn="0" w:noHBand="0" w:noVBand="1"/>
      </w:tblPr>
      <w:tblGrid>
        <w:gridCol w:w="1101"/>
        <w:gridCol w:w="320"/>
        <w:gridCol w:w="6402"/>
        <w:gridCol w:w="1244"/>
      </w:tblGrid>
      <w:tr w:rsidR="008B7A8E" w:rsidRPr="00E60668" w14:paraId="09682DD7" w14:textId="77777777" w:rsidTr="00AB6C46">
        <w:trPr>
          <w:jc w:val="center"/>
        </w:trPr>
        <w:tc>
          <w:tcPr>
            <w:tcW w:w="0" w:type="auto"/>
            <w:gridSpan w:val="3"/>
            <w:tcBorders>
              <w:left w:val="nil"/>
              <w:right w:val="nil"/>
            </w:tcBorders>
          </w:tcPr>
          <w:p w14:paraId="50174D76" w14:textId="64BBBFA1" w:rsidR="003F5C03" w:rsidRPr="00E60668" w:rsidRDefault="003F5C03" w:rsidP="003F5C03">
            <w:pPr>
              <w:widowControl w:val="0"/>
              <w:autoSpaceDE w:val="0"/>
              <w:autoSpaceDN w:val="0"/>
              <w:adjustRightInd w:val="0"/>
              <w:jc w:val="both"/>
              <w:rPr>
                <w:b/>
                <w:bCs/>
                <w:sz w:val="16"/>
                <w:szCs w:val="16"/>
              </w:rPr>
            </w:pPr>
            <w:r w:rsidRPr="00E60668">
              <w:rPr>
                <w:b/>
                <w:bCs/>
                <w:sz w:val="16"/>
                <w:szCs w:val="16"/>
              </w:rPr>
              <w:t xml:space="preserve">List of </w:t>
            </w:r>
            <w:r w:rsidR="007B6916" w:rsidRPr="00E60668">
              <w:rPr>
                <w:b/>
                <w:bCs/>
                <w:sz w:val="16"/>
                <w:szCs w:val="16"/>
              </w:rPr>
              <w:t>critical i</w:t>
            </w:r>
            <w:r w:rsidR="00B71028" w:rsidRPr="00E60668">
              <w:rPr>
                <w:b/>
                <w:bCs/>
                <w:sz w:val="16"/>
                <w:szCs w:val="16"/>
              </w:rPr>
              <w:t>ndustries according</w:t>
            </w:r>
            <w:r w:rsidRPr="00E60668">
              <w:rPr>
                <w:b/>
                <w:bCs/>
                <w:sz w:val="16"/>
                <w:szCs w:val="16"/>
              </w:rPr>
              <w:t xml:space="preserve"> to FINSA</w:t>
            </w:r>
          </w:p>
        </w:tc>
        <w:tc>
          <w:tcPr>
            <w:tcW w:w="0" w:type="auto"/>
            <w:tcBorders>
              <w:left w:val="nil"/>
              <w:right w:val="nil"/>
            </w:tcBorders>
          </w:tcPr>
          <w:p w14:paraId="29039497" w14:textId="77777777" w:rsidR="003F5C03" w:rsidRPr="00E60668" w:rsidRDefault="003F5C03" w:rsidP="003F5C03">
            <w:pPr>
              <w:widowControl w:val="0"/>
              <w:autoSpaceDE w:val="0"/>
              <w:autoSpaceDN w:val="0"/>
              <w:adjustRightInd w:val="0"/>
              <w:jc w:val="both"/>
              <w:rPr>
                <w:sz w:val="16"/>
                <w:szCs w:val="16"/>
              </w:rPr>
            </w:pPr>
          </w:p>
        </w:tc>
      </w:tr>
      <w:tr w:rsidR="00641D6D" w:rsidRPr="00E60668" w14:paraId="3C1EDA46" w14:textId="77777777" w:rsidTr="00AB6C46">
        <w:trPr>
          <w:jc w:val="center"/>
        </w:trPr>
        <w:tc>
          <w:tcPr>
            <w:tcW w:w="0" w:type="auto"/>
            <w:gridSpan w:val="4"/>
            <w:tcBorders>
              <w:left w:val="nil"/>
              <w:bottom w:val="single" w:sz="4" w:space="0" w:color="auto"/>
              <w:right w:val="nil"/>
            </w:tcBorders>
          </w:tcPr>
          <w:p w14:paraId="216BB581" w14:textId="40F6A4D2" w:rsidR="00641D6D" w:rsidRPr="00E60668" w:rsidRDefault="00641D6D" w:rsidP="003F5C03">
            <w:pPr>
              <w:widowControl w:val="0"/>
              <w:autoSpaceDE w:val="0"/>
              <w:autoSpaceDN w:val="0"/>
              <w:adjustRightInd w:val="0"/>
              <w:jc w:val="both"/>
              <w:rPr>
                <w:sz w:val="16"/>
                <w:szCs w:val="16"/>
              </w:rPr>
            </w:pPr>
          </w:p>
        </w:tc>
      </w:tr>
      <w:tr w:rsidR="008620B3" w:rsidRPr="00E60668" w14:paraId="7C214F67" w14:textId="77777777" w:rsidTr="00AB6C46">
        <w:trPr>
          <w:jc w:val="center"/>
        </w:trPr>
        <w:tc>
          <w:tcPr>
            <w:tcW w:w="0" w:type="auto"/>
            <w:tcBorders>
              <w:top w:val="single" w:sz="4" w:space="0" w:color="auto"/>
              <w:left w:val="nil"/>
              <w:bottom w:val="single" w:sz="4" w:space="0" w:color="auto"/>
              <w:right w:val="nil"/>
            </w:tcBorders>
            <w:hideMark/>
          </w:tcPr>
          <w:p w14:paraId="06A8830E" w14:textId="77777777" w:rsidR="00641D6D" w:rsidRPr="00E60668" w:rsidRDefault="00641D6D" w:rsidP="00AB6C46">
            <w:pPr>
              <w:widowControl w:val="0"/>
              <w:autoSpaceDE w:val="0"/>
              <w:autoSpaceDN w:val="0"/>
              <w:adjustRightInd w:val="0"/>
              <w:rPr>
                <w:sz w:val="16"/>
                <w:szCs w:val="16"/>
              </w:rPr>
            </w:pPr>
            <w:r w:rsidRPr="00E60668">
              <w:rPr>
                <w:sz w:val="16"/>
                <w:szCs w:val="16"/>
              </w:rPr>
              <w:t>SIC code</w:t>
            </w:r>
          </w:p>
        </w:tc>
        <w:tc>
          <w:tcPr>
            <w:tcW w:w="0" w:type="auto"/>
            <w:tcBorders>
              <w:top w:val="single" w:sz="4" w:space="0" w:color="auto"/>
              <w:left w:val="nil"/>
              <w:bottom w:val="single" w:sz="4" w:space="0" w:color="auto"/>
              <w:right w:val="nil"/>
            </w:tcBorders>
          </w:tcPr>
          <w:p w14:paraId="09B8587A" w14:textId="77777777" w:rsidR="00641D6D" w:rsidRPr="00E60668" w:rsidRDefault="00641D6D" w:rsidP="00AB6C46">
            <w:pPr>
              <w:widowControl w:val="0"/>
              <w:autoSpaceDE w:val="0"/>
              <w:autoSpaceDN w:val="0"/>
              <w:adjustRightInd w:val="0"/>
              <w:rPr>
                <w:sz w:val="16"/>
                <w:szCs w:val="16"/>
              </w:rPr>
            </w:pPr>
          </w:p>
        </w:tc>
        <w:tc>
          <w:tcPr>
            <w:tcW w:w="0" w:type="auto"/>
            <w:tcBorders>
              <w:top w:val="single" w:sz="4" w:space="0" w:color="auto"/>
              <w:left w:val="nil"/>
              <w:bottom w:val="single" w:sz="4" w:space="0" w:color="auto"/>
              <w:right w:val="nil"/>
            </w:tcBorders>
          </w:tcPr>
          <w:p w14:paraId="0026F021" w14:textId="77777777" w:rsidR="00641D6D" w:rsidRPr="00E60668" w:rsidRDefault="00641D6D" w:rsidP="00AB6C46">
            <w:pPr>
              <w:widowControl w:val="0"/>
              <w:autoSpaceDE w:val="0"/>
              <w:autoSpaceDN w:val="0"/>
              <w:adjustRightInd w:val="0"/>
              <w:rPr>
                <w:sz w:val="16"/>
                <w:szCs w:val="16"/>
              </w:rPr>
            </w:pPr>
            <w:r w:rsidRPr="00E60668">
              <w:rPr>
                <w:sz w:val="16"/>
                <w:szCs w:val="16"/>
              </w:rPr>
              <w:t>Description</w:t>
            </w:r>
          </w:p>
        </w:tc>
        <w:tc>
          <w:tcPr>
            <w:tcW w:w="0" w:type="auto"/>
            <w:tcBorders>
              <w:top w:val="single" w:sz="4" w:space="0" w:color="auto"/>
              <w:left w:val="nil"/>
              <w:bottom w:val="single" w:sz="4" w:space="0" w:color="auto"/>
              <w:right w:val="nil"/>
            </w:tcBorders>
          </w:tcPr>
          <w:p w14:paraId="70D6D11E" w14:textId="77777777" w:rsidR="00641D6D" w:rsidRPr="00E60668" w:rsidRDefault="00641D6D" w:rsidP="00AB6C46">
            <w:pPr>
              <w:widowControl w:val="0"/>
              <w:autoSpaceDE w:val="0"/>
              <w:autoSpaceDN w:val="0"/>
              <w:adjustRightInd w:val="0"/>
              <w:rPr>
                <w:sz w:val="16"/>
                <w:szCs w:val="16"/>
              </w:rPr>
            </w:pPr>
            <w:r w:rsidRPr="00E60668">
              <w:rPr>
                <w:sz w:val="16"/>
                <w:szCs w:val="16"/>
              </w:rPr>
              <w:t>FINSA list</w:t>
            </w:r>
          </w:p>
        </w:tc>
      </w:tr>
      <w:tr w:rsidR="008620B3" w:rsidRPr="00E60668" w14:paraId="124BDF09" w14:textId="77777777" w:rsidTr="00AB6C46">
        <w:trPr>
          <w:jc w:val="center"/>
        </w:trPr>
        <w:tc>
          <w:tcPr>
            <w:tcW w:w="0" w:type="auto"/>
          </w:tcPr>
          <w:p w14:paraId="24F0130A"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1381</w:t>
            </w:r>
          </w:p>
        </w:tc>
        <w:tc>
          <w:tcPr>
            <w:tcW w:w="0" w:type="auto"/>
          </w:tcPr>
          <w:p w14:paraId="29171A69" w14:textId="77777777" w:rsidR="00641D6D" w:rsidRPr="00E60668" w:rsidRDefault="00641D6D" w:rsidP="00AB6C46">
            <w:pPr>
              <w:widowControl w:val="0"/>
              <w:autoSpaceDE w:val="0"/>
              <w:autoSpaceDN w:val="0"/>
              <w:adjustRightInd w:val="0"/>
              <w:rPr>
                <w:sz w:val="16"/>
                <w:szCs w:val="16"/>
              </w:rPr>
            </w:pPr>
          </w:p>
        </w:tc>
        <w:tc>
          <w:tcPr>
            <w:tcW w:w="0" w:type="auto"/>
          </w:tcPr>
          <w:p w14:paraId="765CF553"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Energy Storage</w:t>
            </w:r>
          </w:p>
        </w:tc>
        <w:tc>
          <w:tcPr>
            <w:tcW w:w="0" w:type="auto"/>
          </w:tcPr>
          <w:p w14:paraId="673C606B"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52FAA21" w14:textId="77777777" w:rsidTr="00AB6C46">
        <w:trPr>
          <w:jc w:val="center"/>
        </w:trPr>
        <w:tc>
          <w:tcPr>
            <w:tcW w:w="0" w:type="auto"/>
          </w:tcPr>
          <w:p w14:paraId="03B820E8"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2821</w:t>
            </w:r>
          </w:p>
        </w:tc>
        <w:tc>
          <w:tcPr>
            <w:tcW w:w="0" w:type="auto"/>
          </w:tcPr>
          <w:p w14:paraId="49D32671" w14:textId="77777777" w:rsidR="00641D6D" w:rsidRPr="00E60668" w:rsidRDefault="00641D6D" w:rsidP="00AB6C46">
            <w:pPr>
              <w:widowControl w:val="0"/>
              <w:autoSpaceDE w:val="0"/>
              <w:autoSpaceDN w:val="0"/>
              <w:adjustRightInd w:val="0"/>
              <w:rPr>
                <w:sz w:val="16"/>
                <w:szCs w:val="16"/>
              </w:rPr>
            </w:pPr>
          </w:p>
        </w:tc>
        <w:tc>
          <w:tcPr>
            <w:tcW w:w="0" w:type="auto"/>
          </w:tcPr>
          <w:p w14:paraId="4476A5CD"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Fiber-reinforced Composites and Metal Matrix Composites</w:t>
            </w:r>
          </w:p>
        </w:tc>
        <w:tc>
          <w:tcPr>
            <w:tcW w:w="0" w:type="auto"/>
          </w:tcPr>
          <w:p w14:paraId="16C380C4"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3BF72997" w14:textId="77777777" w:rsidTr="00AB6C46">
        <w:trPr>
          <w:jc w:val="center"/>
        </w:trPr>
        <w:tc>
          <w:tcPr>
            <w:tcW w:w="0" w:type="auto"/>
          </w:tcPr>
          <w:p w14:paraId="709EA667"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2833</w:t>
            </w:r>
          </w:p>
        </w:tc>
        <w:tc>
          <w:tcPr>
            <w:tcW w:w="0" w:type="auto"/>
          </w:tcPr>
          <w:p w14:paraId="1162A546" w14:textId="77777777" w:rsidR="00641D6D" w:rsidRPr="00E60668" w:rsidRDefault="00641D6D" w:rsidP="00AB6C46">
            <w:pPr>
              <w:widowControl w:val="0"/>
              <w:autoSpaceDE w:val="0"/>
              <w:autoSpaceDN w:val="0"/>
              <w:adjustRightInd w:val="0"/>
              <w:rPr>
                <w:sz w:val="16"/>
                <w:szCs w:val="16"/>
              </w:rPr>
            </w:pPr>
          </w:p>
        </w:tc>
        <w:tc>
          <w:tcPr>
            <w:tcW w:w="0" w:type="auto"/>
          </w:tcPr>
          <w:p w14:paraId="106B189E"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Medicinal and Botanical Manufacturing</w:t>
            </w:r>
          </w:p>
        </w:tc>
        <w:tc>
          <w:tcPr>
            <w:tcW w:w="0" w:type="auto"/>
          </w:tcPr>
          <w:p w14:paraId="779C22FD"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939A258" w14:textId="77777777" w:rsidTr="00AB6C46">
        <w:trPr>
          <w:jc w:val="center"/>
        </w:trPr>
        <w:tc>
          <w:tcPr>
            <w:tcW w:w="0" w:type="auto"/>
          </w:tcPr>
          <w:p w14:paraId="14034C1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2834</w:t>
            </w:r>
          </w:p>
        </w:tc>
        <w:tc>
          <w:tcPr>
            <w:tcW w:w="0" w:type="auto"/>
          </w:tcPr>
          <w:p w14:paraId="5D89E338" w14:textId="77777777" w:rsidR="00641D6D" w:rsidRPr="00E60668" w:rsidRDefault="00641D6D" w:rsidP="00AB6C46">
            <w:pPr>
              <w:widowControl w:val="0"/>
              <w:autoSpaceDE w:val="0"/>
              <w:autoSpaceDN w:val="0"/>
              <w:adjustRightInd w:val="0"/>
              <w:rPr>
                <w:sz w:val="16"/>
                <w:szCs w:val="16"/>
              </w:rPr>
            </w:pPr>
          </w:p>
        </w:tc>
        <w:tc>
          <w:tcPr>
            <w:tcW w:w="0" w:type="auto"/>
          </w:tcPr>
          <w:p w14:paraId="0DDEBA48"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Pharmaceutical Preparation Manufacturing</w:t>
            </w:r>
          </w:p>
        </w:tc>
        <w:tc>
          <w:tcPr>
            <w:tcW w:w="0" w:type="auto"/>
          </w:tcPr>
          <w:p w14:paraId="349D14F4"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93DD233" w14:textId="77777777" w:rsidTr="00AB6C46">
        <w:trPr>
          <w:jc w:val="center"/>
        </w:trPr>
        <w:tc>
          <w:tcPr>
            <w:tcW w:w="0" w:type="auto"/>
          </w:tcPr>
          <w:p w14:paraId="0315CB4F"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2835</w:t>
            </w:r>
          </w:p>
        </w:tc>
        <w:tc>
          <w:tcPr>
            <w:tcW w:w="0" w:type="auto"/>
          </w:tcPr>
          <w:p w14:paraId="76255828" w14:textId="77777777" w:rsidR="00641D6D" w:rsidRPr="00E60668" w:rsidRDefault="00641D6D" w:rsidP="00AB6C46">
            <w:pPr>
              <w:widowControl w:val="0"/>
              <w:autoSpaceDE w:val="0"/>
              <w:autoSpaceDN w:val="0"/>
              <w:adjustRightInd w:val="0"/>
              <w:rPr>
                <w:sz w:val="16"/>
                <w:szCs w:val="16"/>
              </w:rPr>
            </w:pPr>
          </w:p>
        </w:tc>
        <w:tc>
          <w:tcPr>
            <w:tcW w:w="0" w:type="auto"/>
          </w:tcPr>
          <w:p w14:paraId="11B3FB29"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Medical Diagnostics</w:t>
            </w:r>
          </w:p>
        </w:tc>
        <w:tc>
          <w:tcPr>
            <w:tcW w:w="0" w:type="auto"/>
          </w:tcPr>
          <w:p w14:paraId="40B70B6B"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326B78DE" w14:textId="77777777" w:rsidTr="00AB6C46">
        <w:trPr>
          <w:jc w:val="center"/>
        </w:trPr>
        <w:tc>
          <w:tcPr>
            <w:tcW w:w="0" w:type="auto"/>
          </w:tcPr>
          <w:p w14:paraId="63B5CF8F"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2836</w:t>
            </w:r>
          </w:p>
        </w:tc>
        <w:tc>
          <w:tcPr>
            <w:tcW w:w="0" w:type="auto"/>
          </w:tcPr>
          <w:p w14:paraId="50E88367" w14:textId="77777777" w:rsidR="00641D6D" w:rsidRPr="00E60668" w:rsidRDefault="00641D6D" w:rsidP="00AB6C46">
            <w:pPr>
              <w:widowControl w:val="0"/>
              <w:autoSpaceDE w:val="0"/>
              <w:autoSpaceDN w:val="0"/>
              <w:adjustRightInd w:val="0"/>
              <w:rPr>
                <w:sz w:val="16"/>
                <w:szCs w:val="16"/>
              </w:rPr>
            </w:pPr>
          </w:p>
        </w:tc>
        <w:tc>
          <w:tcPr>
            <w:tcW w:w="0" w:type="auto"/>
          </w:tcPr>
          <w:p w14:paraId="0305FA30"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Human, Animal, Agricultural and Industrial Biotechnology</w:t>
            </w:r>
          </w:p>
        </w:tc>
        <w:tc>
          <w:tcPr>
            <w:tcW w:w="0" w:type="auto"/>
          </w:tcPr>
          <w:p w14:paraId="175BA8E8"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2B1EE80" w14:textId="77777777" w:rsidTr="00AB6C46">
        <w:trPr>
          <w:jc w:val="center"/>
        </w:trPr>
        <w:tc>
          <w:tcPr>
            <w:tcW w:w="0" w:type="auto"/>
          </w:tcPr>
          <w:p w14:paraId="6008AA0C"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2892</w:t>
            </w:r>
          </w:p>
        </w:tc>
        <w:tc>
          <w:tcPr>
            <w:tcW w:w="0" w:type="auto"/>
          </w:tcPr>
          <w:p w14:paraId="4770808D" w14:textId="77777777" w:rsidR="00641D6D" w:rsidRPr="00E60668" w:rsidRDefault="00641D6D" w:rsidP="00AB6C46">
            <w:pPr>
              <w:widowControl w:val="0"/>
              <w:autoSpaceDE w:val="0"/>
              <w:autoSpaceDN w:val="0"/>
              <w:adjustRightInd w:val="0"/>
              <w:rPr>
                <w:sz w:val="16"/>
                <w:szCs w:val="16"/>
              </w:rPr>
            </w:pPr>
          </w:p>
        </w:tc>
        <w:tc>
          <w:tcPr>
            <w:tcW w:w="0" w:type="auto"/>
          </w:tcPr>
          <w:p w14:paraId="4200742B"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Energetic Materials (explosives, propellants, etc.)</w:t>
            </w:r>
          </w:p>
        </w:tc>
        <w:tc>
          <w:tcPr>
            <w:tcW w:w="0" w:type="auto"/>
          </w:tcPr>
          <w:p w14:paraId="26757262"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6C30D3B" w14:textId="77777777" w:rsidTr="00AB6C46">
        <w:trPr>
          <w:jc w:val="center"/>
        </w:trPr>
        <w:tc>
          <w:tcPr>
            <w:tcW w:w="0" w:type="auto"/>
          </w:tcPr>
          <w:p w14:paraId="7F17504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2899</w:t>
            </w:r>
          </w:p>
        </w:tc>
        <w:tc>
          <w:tcPr>
            <w:tcW w:w="0" w:type="auto"/>
          </w:tcPr>
          <w:p w14:paraId="3C6ED0D1" w14:textId="77777777" w:rsidR="00641D6D" w:rsidRPr="00E60668" w:rsidRDefault="00641D6D" w:rsidP="00AB6C46">
            <w:pPr>
              <w:widowControl w:val="0"/>
              <w:autoSpaceDE w:val="0"/>
              <w:autoSpaceDN w:val="0"/>
              <w:adjustRightInd w:val="0"/>
              <w:rPr>
                <w:sz w:val="16"/>
                <w:szCs w:val="16"/>
              </w:rPr>
            </w:pPr>
          </w:p>
        </w:tc>
        <w:tc>
          <w:tcPr>
            <w:tcW w:w="0" w:type="auto"/>
          </w:tcPr>
          <w:p w14:paraId="024DAE6F"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Semiconductor Materials</w:t>
            </w:r>
          </w:p>
        </w:tc>
        <w:tc>
          <w:tcPr>
            <w:tcW w:w="0" w:type="auto"/>
          </w:tcPr>
          <w:p w14:paraId="792976E4"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F3E1A75" w14:textId="77777777" w:rsidTr="00AB6C46">
        <w:trPr>
          <w:jc w:val="center"/>
        </w:trPr>
        <w:tc>
          <w:tcPr>
            <w:tcW w:w="0" w:type="auto"/>
          </w:tcPr>
          <w:p w14:paraId="43DF5957"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3087</w:t>
            </w:r>
          </w:p>
        </w:tc>
        <w:tc>
          <w:tcPr>
            <w:tcW w:w="0" w:type="auto"/>
          </w:tcPr>
          <w:p w14:paraId="6A732E54" w14:textId="77777777" w:rsidR="00641D6D" w:rsidRPr="00E60668" w:rsidRDefault="00641D6D" w:rsidP="00AB6C46">
            <w:pPr>
              <w:widowControl w:val="0"/>
              <w:autoSpaceDE w:val="0"/>
              <w:autoSpaceDN w:val="0"/>
              <w:adjustRightInd w:val="0"/>
              <w:rPr>
                <w:sz w:val="16"/>
                <w:szCs w:val="16"/>
              </w:rPr>
            </w:pPr>
          </w:p>
        </w:tc>
        <w:tc>
          <w:tcPr>
            <w:tcW w:w="0" w:type="auto"/>
          </w:tcPr>
          <w:p w14:paraId="5FC5308B"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Polymeric Materials, Plastic Fabricators, Homogenous Injections, Extrusions, etc.</w:t>
            </w:r>
          </w:p>
        </w:tc>
        <w:tc>
          <w:tcPr>
            <w:tcW w:w="0" w:type="auto"/>
          </w:tcPr>
          <w:p w14:paraId="2AE43125"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2CC6457D" w14:textId="77777777" w:rsidTr="00AB6C46">
        <w:trPr>
          <w:jc w:val="center"/>
        </w:trPr>
        <w:tc>
          <w:tcPr>
            <w:tcW w:w="0" w:type="auto"/>
          </w:tcPr>
          <w:p w14:paraId="5C89AEF4"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3229</w:t>
            </w:r>
          </w:p>
        </w:tc>
        <w:tc>
          <w:tcPr>
            <w:tcW w:w="0" w:type="auto"/>
          </w:tcPr>
          <w:p w14:paraId="2909A62D" w14:textId="77777777" w:rsidR="00641D6D" w:rsidRPr="00E60668" w:rsidRDefault="00641D6D" w:rsidP="00AB6C46">
            <w:pPr>
              <w:widowControl w:val="0"/>
              <w:autoSpaceDE w:val="0"/>
              <w:autoSpaceDN w:val="0"/>
              <w:adjustRightInd w:val="0"/>
              <w:rPr>
                <w:sz w:val="16"/>
                <w:szCs w:val="16"/>
              </w:rPr>
            </w:pPr>
          </w:p>
        </w:tc>
        <w:tc>
          <w:tcPr>
            <w:tcW w:w="0" w:type="auto"/>
          </w:tcPr>
          <w:p w14:paraId="7238D686"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Space Optics</w:t>
            </w:r>
          </w:p>
        </w:tc>
        <w:tc>
          <w:tcPr>
            <w:tcW w:w="0" w:type="auto"/>
          </w:tcPr>
          <w:p w14:paraId="098ACC24"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103DF566" w14:textId="77777777" w:rsidTr="00AB6C46">
        <w:trPr>
          <w:jc w:val="center"/>
        </w:trPr>
        <w:tc>
          <w:tcPr>
            <w:tcW w:w="0" w:type="auto"/>
          </w:tcPr>
          <w:p w14:paraId="4D64A008"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3299</w:t>
            </w:r>
          </w:p>
        </w:tc>
        <w:tc>
          <w:tcPr>
            <w:tcW w:w="0" w:type="auto"/>
          </w:tcPr>
          <w:p w14:paraId="285C21A8" w14:textId="77777777" w:rsidR="00641D6D" w:rsidRPr="00E60668" w:rsidRDefault="00641D6D" w:rsidP="00AB6C46">
            <w:pPr>
              <w:widowControl w:val="0"/>
              <w:autoSpaceDE w:val="0"/>
              <w:autoSpaceDN w:val="0"/>
              <w:adjustRightInd w:val="0"/>
              <w:rPr>
                <w:sz w:val="16"/>
                <w:szCs w:val="16"/>
              </w:rPr>
            </w:pPr>
          </w:p>
        </w:tc>
        <w:tc>
          <w:tcPr>
            <w:tcW w:w="0" w:type="auto"/>
          </w:tcPr>
          <w:p w14:paraId="71840032"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Ceramics</w:t>
            </w:r>
          </w:p>
        </w:tc>
        <w:tc>
          <w:tcPr>
            <w:tcW w:w="0" w:type="auto"/>
          </w:tcPr>
          <w:p w14:paraId="70087A05"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7E7D50BD" w14:textId="77777777" w:rsidTr="00AB6C46">
        <w:trPr>
          <w:jc w:val="center"/>
        </w:trPr>
        <w:tc>
          <w:tcPr>
            <w:tcW w:w="0" w:type="auto"/>
          </w:tcPr>
          <w:p w14:paraId="33FC0CF7"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3313</w:t>
            </w:r>
          </w:p>
        </w:tc>
        <w:tc>
          <w:tcPr>
            <w:tcW w:w="0" w:type="auto"/>
          </w:tcPr>
          <w:p w14:paraId="678A416F" w14:textId="77777777" w:rsidR="00641D6D" w:rsidRPr="00E60668" w:rsidRDefault="00641D6D" w:rsidP="00AB6C46">
            <w:pPr>
              <w:widowControl w:val="0"/>
              <w:autoSpaceDE w:val="0"/>
              <w:autoSpaceDN w:val="0"/>
              <w:adjustRightInd w:val="0"/>
              <w:rPr>
                <w:sz w:val="16"/>
                <w:szCs w:val="16"/>
              </w:rPr>
            </w:pPr>
          </w:p>
        </w:tc>
        <w:tc>
          <w:tcPr>
            <w:tcW w:w="0" w:type="auto"/>
          </w:tcPr>
          <w:p w14:paraId="3DFD3A22"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Processes for Super Alloys, Polymers, etc.</w:t>
            </w:r>
          </w:p>
        </w:tc>
        <w:tc>
          <w:tcPr>
            <w:tcW w:w="0" w:type="auto"/>
          </w:tcPr>
          <w:p w14:paraId="36ABF907"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5C686A04" w14:textId="77777777" w:rsidTr="00AB6C46">
        <w:trPr>
          <w:jc w:val="center"/>
        </w:trPr>
        <w:tc>
          <w:tcPr>
            <w:tcW w:w="0" w:type="auto"/>
          </w:tcPr>
          <w:p w14:paraId="288F62A4"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3341</w:t>
            </w:r>
          </w:p>
        </w:tc>
        <w:tc>
          <w:tcPr>
            <w:tcW w:w="0" w:type="auto"/>
          </w:tcPr>
          <w:p w14:paraId="1FC7EA59" w14:textId="77777777" w:rsidR="00641D6D" w:rsidRPr="00E60668" w:rsidRDefault="00641D6D" w:rsidP="00AB6C46">
            <w:pPr>
              <w:widowControl w:val="0"/>
              <w:autoSpaceDE w:val="0"/>
              <w:autoSpaceDN w:val="0"/>
              <w:adjustRightInd w:val="0"/>
              <w:rPr>
                <w:sz w:val="16"/>
                <w:szCs w:val="16"/>
              </w:rPr>
            </w:pPr>
          </w:p>
        </w:tc>
        <w:tc>
          <w:tcPr>
            <w:tcW w:w="0" w:type="auto"/>
          </w:tcPr>
          <w:p w14:paraId="537617B8"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Super Alloys</w:t>
            </w:r>
          </w:p>
        </w:tc>
        <w:tc>
          <w:tcPr>
            <w:tcW w:w="0" w:type="auto"/>
          </w:tcPr>
          <w:p w14:paraId="7478E14E"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D806D29" w14:textId="77777777" w:rsidTr="00AB6C46">
        <w:trPr>
          <w:jc w:val="center"/>
        </w:trPr>
        <w:tc>
          <w:tcPr>
            <w:tcW w:w="0" w:type="auto"/>
          </w:tcPr>
          <w:p w14:paraId="2CB7FEE2"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3542</w:t>
            </w:r>
          </w:p>
        </w:tc>
        <w:tc>
          <w:tcPr>
            <w:tcW w:w="0" w:type="auto"/>
          </w:tcPr>
          <w:p w14:paraId="29B9FF5E" w14:textId="77777777" w:rsidR="00641D6D" w:rsidRPr="00E60668" w:rsidRDefault="00641D6D" w:rsidP="00AB6C46">
            <w:pPr>
              <w:widowControl w:val="0"/>
              <w:autoSpaceDE w:val="0"/>
              <w:autoSpaceDN w:val="0"/>
              <w:adjustRightInd w:val="0"/>
              <w:rPr>
                <w:sz w:val="16"/>
                <w:szCs w:val="16"/>
              </w:rPr>
            </w:pPr>
          </w:p>
        </w:tc>
        <w:tc>
          <w:tcPr>
            <w:tcW w:w="0" w:type="auto"/>
          </w:tcPr>
          <w:p w14:paraId="5F8675C4"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Lathes 2-axes or more with &lt; 4 Micron Positioning Accuracy</w:t>
            </w:r>
          </w:p>
        </w:tc>
        <w:tc>
          <w:tcPr>
            <w:tcW w:w="0" w:type="auto"/>
          </w:tcPr>
          <w:p w14:paraId="4460B805"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0F4DF39" w14:textId="77777777" w:rsidTr="00AB6C46">
        <w:trPr>
          <w:jc w:val="center"/>
        </w:trPr>
        <w:tc>
          <w:tcPr>
            <w:tcW w:w="0" w:type="auto"/>
          </w:tcPr>
          <w:p w14:paraId="52E89376"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3544</w:t>
            </w:r>
          </w:p>
        </w:tc>
        <w:tc>
          <w:tcPr>
            <w:tcW w:w="0" w:type="auto"/>
          </w:tcPr>
          <w:p w14:paraId="3F6E0057" w14:textId="77777777" w:rsidR="00641D6D" w:rsidRPr="00E60668" w:rsidRDefault="00641D6D" w:rsidP="00AB6C46">
            <w:pPr>
              <w:widowControl w:val="0"/>
              <w:autoSpaceDE w:val="0"/>
              <w:autoSpaceDN w:val="0"/>
              <w:adjustRightInd w:val="0"/>
              <w:rPr>
                <w:sz w:val="16"/>
                <w:szCs w:val="16"/>
              </w:rPr>
            </w:pPr>
          </w:p>
        </w:tc>
        <w:tc>
          <w:tcPr>
            <w:tcW w:w="0" w:type="auto"/>
          </w:tcPr>
          <w:p w14:paraId="7A0FE7B6"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Precision Super Alloy Investment Casting</w:t>
            </w:r>
          </w:p>
        </w:tc>
        <w:tc>
          <w:tcPr>
            <w:tcW w:w="0" w:type="auto"/>
          </w:tcPr>
          <w:p w14:paraId="4F3936B7"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3E51C748" w14:textId="77777777" w:rsidTr="00AB6C46">
        <w:trPr>
          <w:jc w:val="center"/>
        </w:trPr>
        <w:tc>
          <w:tcPr>
            <w:tcW w:w="0" w:type="auto"/>
          </w:tcPr>
          <w:p w14:paraId="2D247842"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3549</w:t>
            </w:r>
          </w:p>
        </w:tc>
        <w:tc>
          <w:tcPr>
            <w:tcW w:w="0" w:type="auto"/>
          </w:tcPr>
          <w:p w14:paraId="6B263AB0" w14:textId="77777777" w:rsidR="00641D6D" w:rsidRPr="00E60668" w:rsidRDefault="00641D6D" w:rsidP="00AB6C46">
            <w:pPr>
              <w:widowControl w:val="0"/>
              <w:autoSpaceDE w:val="0"/>
              <w:autoSpaceDN w:val="0"/>
              <w:adjustRightInd w:val="0"/>
              <w:rPr>
                <w:sz w:val="16"/>
                <w:szCs w:val="16"/>
              </w:rPr>
            </w:pPr>
          </w:p>
        </w:tc>
        <w:tc>
          <w:tcPr>
            <w:tcW w:w="0" w:type="auto"/>
          </w:tcPr>
          <w:p w14:paraId="34A6736A"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Laser Sintering</w:t>
            </w:r>
          </w:p>
        </w:tc>
        <w:tc>
          <w:tcPr>
            <w:tcW w:w="0" w:type="auto"/>
          </w:tcPr>
          <w:p w14:paraId="70A67E8C"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81CD0CA" w14:textId="77777777" w:rsidTr="00AB6C46">
        <w:trPr>
          <w:jc w:val="center"/>
        </w:trPr>
        <w:tc>
          <w:tcPr>
            <w:tcW w:w="0" w:type="auto"/>
          </w:tcPr>
          <w:p w14:paraId="6256E9E6"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3559</w:t>
            </w:r>
          </w:p>
        </w:tc>
        <w:tc>
          <w:tcPr>
            <w:tcW w:w="0" w:type="auto"/>
          </w:tcPr>
          <w:p w14:paraId="3B58071A" w14:textId="77777777" w:rsidR="00641D6D" w:rsidRPr="00E60668" w:rsidRDefault="00641D6D" w:rsidP="00AB6C46">
            <w:pPr>
              <w:widowControl w:val="0"/>
              <w:autoSpaceDE w:val="0"/>
              <w:autoSpaceDN w:val="0"/>
              <w:adjustRightInd w:val="0"/>
              <w:rPr>
                <w:sz w:val="16"/>
                <w:szCs w:val="16"/>
              </w:rPr>
            </w:pPr>
          </w:p>
        </w:tc>
        <w:tc>
          <w:tcPr>
            <w:tcW w:w="0" w:type="auto"/>
          </w:tcPr>
          <w:p w14:paraId="3B155586"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Fabrication Equipment – Nano-manipulation Equipment</w:t>
            </w:r>
          </w:p>
        </w:tc>
        <w:tc>
          <w:tcPr>
            <w:tcW w:w="0" w:type="auto"/>
          </w:tcPr>
          <w:p w14:paraId="3C7ED0CB"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154B1EDD" w14:textId="77777777" w:rsidTr="00AB6C46">
        <w:trPr>
          <w:jc w:val="center"/>
        </w:trPr>
        <w:tc>
          <w:tcPr>
            <w:tcW w:w="0" w:type="auto"/>
          </w:tcPr>
          <w:p w14:paraId="3482B57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3569</w:t>
            </w:r>
          </w:p>
        </w:tc>
        <w:tc>
          <w:tcPr>
            <w:tcW w:w="0" w:type="auto"/>
          </w:tcPr>
          <w:p w14:paraId="157784A6" w14:textId="77777777" w:rsidR="00641D6D" w:rsidRPr="00E60668" w:rsidRDefault="00641D6D" w:rsidP="00AB6C46">
            <w:pPr>
              <w:widowControl w:val="0"/>
              <w:autoSpaceDE w:val="0"/>
              <w:autoSpaceDN w:val="0"/>
              <w:adjustRightInd w:val="0"/>
              <w:rPr>
                <w:sz w:val="16"/>
                <w:szCs w:val="16"/>
              </w:rPr>
            </w:pPr>
          </w:p>
        </w:tc>
        <w:tc>
          <w:tcPr>
            <w:tcW w:w="0" w:type="auto"/>
          </w:tcPr>
          <w:p w14:paraId="25288A8E"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Battlefield Robotics</w:t>
            </w:r>
          </w:p>
        </w:tc>
        <w:tc>
          <w:tcPr>
            <w:tcW w:w="0" w:type="auto"/>
          </w:tcPr>
          <w:p w14:paraId="1F58308C"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2D6E06F8" w14:textId="77777777" w:rsidTr="00AB6C46">
        <w:trPr>
          <w:jc w:val="center"/>
        </w:trPr>
        <w:tc>
          <w:tcPr>
            <w:tcW w:w="0" w:type="auto"/>
          </w:tcPr>
          <w:p w14:paraId="7DEBBA0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3571</w:t>
            </w:r>
          </w:p>
        </w:tc>
        <w:tc>
          <w:tcPr>
            <w:tcW w:w="0" w:type="auto"/>
          </w:tcPr>
          <w:p w14:paraId="574BC1A1" w14:textId="77777777" w:rsidR="00641D6D" w:rsidRPr="00E60668" w:rsidRDefault="00641D6D" w:rsidP="00AB6C46">
            <w:pPr>
              <w:widowControl w:val="0"/>
              <w:autoSpaceDE w:val="0"/>
              <w:autoSpaceDN w:val="0"/>
              <w:adjustRightInd w:val="0"/>
              <w:rPr>
                <w:sz w:val="16"/>
                <w:szCs w:val="16"/>
              </w:rPr>
            </w:pPr>
          </w:p>
        </w:tc>
        <w:tc>
          <w:tcPr>
            <w:tcW w:w="0" w:type="auto"/>
          </w:tcPr>
          <w:p w14:paraId="105034B4"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Electronic Computers</w:t>
            </w:r>
          </w:p>
        </w:tc>
        <w:tc>
          <w:tcPr>
            <w:tcW w:w="0" w:type="auto"/>
          </w:tcPr>
          <w:p w14:paraId="7002907D"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7C56A485" w14:textId="77777777" w:rsidTr="00AB6C46">
        <w:trPr>
          <w:jc w:val="center"/>
        </w:trPr>
        <w:tc>
          <w:tcPr>
            <w:tcW w:w="0" w:type="auto"/>
          </w:tcPr>
          <w:p w14:paraId="710E1FCC"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3572</w:t>
            </w:r>
          </w:p>
        </w:tc>
        <w:tc>
          <w:tcPr>
            <w:tcW w:w="0" w:type="auto"/>
          </w:tcPr>
          <w:p w14:paraId="45E6CECB" w14:textId="77777777" w:rsidR="00641D6D" w:rsidRPr="00E60668" w:rsidRDefault="00641D6D" w:rsidP="00AB6C46">
            <w:pPr>
              <w:widowControl w:val="0"/>
              <w:autoSpaceDE w:val="0"/>
              <w:autoSpaceDN w:val="0"/>
              <w:adjustRightInd w:val="0"/>
              <w:rPr>
                <w:sz w:val="16"/>
                <w:szCs w:val="16"/>
              </w:rPr>
            </w:pPr>
          </w:p>
        </w:tc>
        <w:tc>
          <w:tcPr>
            <w:tcW w:w="0" w:type="auto"/>
          </w:tcPr>
          <w:p w14:paraId="42981AFC"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Data Storage</w:t>
            </w:r>
          </w:p>
        </w:tc>
        <w:tc>
          <w:tcPr>
            <w:tcW w:w="0" w:type="auto"/>
          </w:tcPr>
          <w:p w14:paraId="60501C32"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39705354" w14:textId="77777777" w:rsidTr="00AB6C46">
        <w:trPr>
          <w:jc w:val="center"/>
        </w:trPr>
        <w:tc>
          <w:tcPr>
            <w:tcW w:w="0" w:type="auto"/>
          </w:tcPr>
          <w:p w14:paraId="22F273E9"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3575</w:t>
            </w:r>
          </w:p>
        </w:tc>
        <w:tc>
          <w:tcPr>
            <w:tcW w:w="0" w:type="auto"/>
          </w:tcPr>
          <w:p w14:paraId="4A557335" w14:textId="77777777" w:rsidR="00641D6D" w:rsidRPr="00E60668" w:rsidRDefault="00641D6D" w:rsidP="00AB6C46">
            <w:pPr>
              <w:widowControl w:val="0"/>
              <w:autoSpaceDE w:val="0"/>
              <w:autoSpaceDN w:val="0"/>
              <w:adjustRightInd w:val="0"/>
              <w:rPr>
                <w:sz w:val="16"/>
                <w:szCs w:val="16"/>
              </w:rPr>
            </w:pPr>
          </w:p>
        </w:tc>
        <w:tc>
          <w:tcPr>
            <w:tcW w:w="0" w:type="auto"/>
          </w:tcPr>
          <w:p w14:paraId="4B318F9F"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Computer Terminals</w:t>
            </w:r>
          </w:p>
        </w:tc>
        <w:tc>
          <w:tcPr>
            <w:tcW w:w="0" w:type="auto"/>
          </w:tcPr>
          <w:p w14:paraId="475F98A9"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81146EA" w14:textId="77777777" w:rsidTr="00AB6C46">
        <w:trPr>
          <w:jc w:val="center"/>
        </w:trPr>
        <w:tc>
          <w:tcPr>
            <w:tcW w:w="0" w:type="auto"/>
          </w:tcPr>
          <w:p w14:paraId="25397F6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3577</w:t>
            </w:r>
          </w:p>
        </w:tc>
        <w:tc>
          <w:tcPr>
            <w:tcW w:w="0" w:type="auto"/>
          </w:tcPr>
          <w:p w14:paraId="29D8791E" w14:textId="77777777" w:rsidR="00641D6D" w:rsidRPr="00E60668" w:rsidRDefault="00641D6D" w:rsidP="00AB6C46">
            <w:pPr>
              <w:widowControl w:val="0"/>
              <w:autoSpaceDE w:val="0"/>
              <w:autoSpaceDN w:val="0"/>
              <w:adjustRightInd w:val="0"/>
              <w:rPr>
                <w:sz w:val="16"/>
                <w:szCs w:val="16"/>
              </w:rPr>
            </w:pPr>
          </w:p>
        </w:tc>
        <w:tc>
          <w:tcPr>
            <w:tcW w:w="0" w:type="auto"/>
          </w:tcPr>
          <w:p w14:paraId="70AB354F"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Peripherals</w:t>
            </w:r>
          </w:p>
        </w:tc>
        <w:tc>
          <w:tcPr>
            <w:tcW w:w="0" w:type="auto"/>
          </w:tcPr>
          <w:p w14:paraId="7329077D"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925835A" w14:textId="77777777" w:rsidTr="00AB6C46">
        <w:trPr>
          <w:jc w:val="center"/>
        </w:trPr>
        <w:tc>
          <w:tcPr>
            <w:tcW w:w="0" w:type="auto"/>
          </w:tcPr>
          <w:p w14:paraId="19DA4644"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3661</w:t>
            </w:r>
          </w:p>
        </w:tc>
        <w:tc>
          <w:tcPr>
            <w:tcW w:w="0" w:type="auto"/>
          </w:tcPr>
          <w:p w14:paraId="65C66E93" w14:textId="77777777" w:rsidR="00641D6D" w:rsidRPr="00E60668" w:rsidRDefault="00641D6D" w:rsidP="00AB6C46">
            <w:pPr>
              <w:widowControl w:val="0"/>
              <w:autoSpaceDE w:val="0"/>
              <w:autoSpaceDN w:val="0"/>
              <w:adjustRightInd w:val="0"/>
              <w:rPr>
                <w:sz w:val="16"/>
                <w:szCs w:val="16"/>
              </w:rPr>
            </w:pPr>
          </w:p>
        </w:tc>
        <w:tc>
          <w:tcPr>
            <w:tcW w:w="0" w:type="auto"/>
          </w:tcPr>
          <w:p w14:paraId="088CEF5F"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Routers</w:t>
            </w:r>
          </w:p>
        </w:tc>
        <w:tc>
          <w:tcPr>
            <w:tcW w:w="0" w:type="auto"/>
          </w:tcPr>
          <w:p w14:paraId="21C7CD8E"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8EAC27D" w14:textId="77777777" w:rsidTr="00AB6C46">
        <w:trPr>
          <w:jc w:val="center"/>
        </w:trPr>
        <w:tc>
          <w:tcPr>
            <w:tcW w:w="0" w:type="auto"/>
          </w:tcPr>
          <w:p w14:paraId="7F2CC119"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3663</w:t>
            </w:r>
          </w:p>
        </w:tc>
        <w:tc>
          <w:tcPr>
            <w:tcW w:w="0" w:type="auto"/>
          </w:tcPr>
          <w:p w14:paraId="72F8DF21" w14:textId="77777777" w:rsidR="00641D6D" w:rsidRPr="00E60668" w:rsidRDefault="00641D6D" w:rsidP="00AB6C46">
            <w:pPr>
              <w:widowControl w:val="0"/>
              <w:autoSpaceDE w:val="0"/>
              <w:autoSpaceDN w:val="0"/>
              <w:adjustRightInd w:val="0"/>
              <w:rPr>
                <w:sz w:val="16"/>
                <w:szCs w:val="16"/>
              </w:rPr>
            </w:pPr>
          </w:p>
        </w:tc>
        <w:tc>
          <w:tcPr>
            <w:tcW w:w="0" w:type="auto"/>
          </w:tcPr>
          <w:p w14:paraId="5094E95A"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Communications Satellites</w:t>
            </w:r>
          </w:p>
        </w:tc>
        <w:tc>
          <w:tcPr>
            <w:tcW w:w="0" w:type="auto"/>
          </w:tcPr>
          <w:p w14:paraId="7BC8FEFA"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6BA6FBC" w14:textId="77777777" w:rsidTr="00AB6C46">
        <w:trPr>
          <w:jc w:val="center"/>
        </w:trPr>
        <w:tc>
          <w:tcPr>
            <w:tcW w:w="0" w:type="auto"/>
          </w:tcPr>
          <w:p w14:paraId="1134376A"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3672</w:t>
            </w:r>
          </w:p>
        </w:tc>
        <w:tc>
          <w:tcPr>
            <w:tcW w:w="0" w:type="auto"/>
          </w:tcPr>
          <w:p w14:paraId="1B3E969B" w14:textId="77777777" w:rsidR="00641D6D" w:rsidRPr="00E60668" w:rsidRDefault="00641D6D" w:rsidP="00AB6C46">
            <w:pPr>
              <w:widowControl w:val="0"/>
              <w:autoSpaceDE w:val="0"/>
              <w:autoSpaceDN w:val="0"/>
              <w:adjustRightInd w:val="0"/>
              <w:rPr>
                <w:sz w:val="16"/>
                <w:szCs w:val="16"/>
              </w:rPr>
            </w:pPr>
          </w:p>
        </w:tc>
        <w:tc>
          <w:tcPr>
            <w:tcW w:w="0" w:type="auto"/>
          </w:tcPr>
          <w:p w14:paraId="4B247B85"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Bare Printed Circuit Boards</w:t>
            </w:r>
          </w:p>
        </w:tc>
        <w:tc>
          <w:tcPr>
            <w:tcW w:w="0" w:type="auto"/>
          </w:tcPr>
          <w:p w14:paraId="51A37488"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98BE5BE" w14:textId="77777777" w:rsidTr="00AB6C46">
        <w:trPr>
          <w:jc w:val="center"/>
        </w:trPr>
        <w:tc>
          <w:tcPr>
            <w:tcW w:w="0" w:type="auto"/>
          </w:tcPr>
          <w:p w14:paraId="395D291C"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3674</w:t>
            </w:r>
          </w:p>
        </w:tc>
        <w:tc>
          <w:tcPr>
            <w:tcW w:w="0" w:type="auto"/>
          </w:tcPr>
          <w:p w14:paraId="45FED849" w14:textId="77777777" w:rsidR="00641D6D" w:rsidRPr="00E60668" w:rsidRDefault="00641D6D" w:rsidP="00AB6C46">
            <w:pPr>
              <w:widowControl w:val="0"/>
              <w:autoSpaceDE w:val="0"/>
              <w:autoSpaceDN w:val="0"/>
              <w:adjustRightInd w:val="0"/>
              <w:rPr>
                <w:sz w:val="16"/>
                <w:szCs w:val="16"/>
              </w:rPr>
            </w:pPr>
          </w:p>
        </w:tc>
        <w:tc>
          <w:tcPr>
            <w:tcW w:w="0" w:type="auto"/>
          </w:tcPr>
          <w:p w14:paraId="5CBC3C70"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Semiconductors</w:t>
            </w:r>
          </w:p>
        </w:tc>
        <w:tc>
          <w:tcPr>
            <w:tcW w:w="0" w:type="auto"/>
          </w:tcPr>
          <w:p w14:paraId="3C677F50"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E05A607" w14:textId="77777777" w:rsidTr="00AB6C46">
        <w:trPr>
          <w:jc w:val="center"/>
        </w:trPr>
        <w:tc>
          <w:tcPr>
            <w:tcW w:w="0" w:type="auto"/>
          </w:tcPr>
          <w:p w14:paraId="36F9A76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3679</w:t>
            </w:r>
          </w:p>
        </w:tc>
        <w:tc>
          <w:tcPr>
            <w:tcW w:w="0" w:type="auto"/>
          </w:tcPr>
          <w:p w14:paraId="229709A9" w14:textId="77777777" w:rsidR="00641D6D" w:rsidRPr="00E60668" w:rsidRDefault="00641D6D" w:rsidP="00AB6C46">
            <w:pPr>
              <w:widowControl w:val="0"/>
              <w:autoSpaceDE w:val="0"/>
              <w:autoSpaceDN w:val="0"/>
              <w:adjustRightInd w:val="0"/>
              <w:rPr>
                <w:sz w:val="16"/>
                <w:szCs w:val="16"/>
              </w:rPr>
            </w:pPr>
          </w:p>
        </w:tc>
        <w:tc>
          <w:tcPr>
            <w:tcW w:w="0" w:type="auto"/>
          </w:tcPr>
          <w:p w14:paraId="175A4E92"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Monolithic Microwave Integrated Circuit (MMIC) Power Amplifiers</w:t>
            </w:r>
          </w:p>
        </w:tc>
        <w:tc>
          <w:tcPr>
            <w:tcW w:w="0" w:type="auto"/>
          </w:tcPr>
          <w:p w14:paraId="7E84F706"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5D17604C" w14:textId="77777777" w:rsidTr="00AB6C46">
        <w:trPr>
          <w:jc w:val="center"/>
        </w:trPr>
        <w:tc>
          <w:tcPr>
            <w:tcW w:w="0" w:type="auto"/>
          </w:tcPr>
          <w:p w14:paraId="49BF3654"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3699</w:t>
            </w:r>
          </w:p>
        </w:tc>
        <w:tc>
          <w:tcPr>
            <w:tcW w:w="0" w:type="auto"/>
          </w:tcPr>
          <w:p w14:paraId="479421E9" w14:textId="77777777" w:rsidR="00641D6D" w:rsidRPr="00E60668" w:rsidRDefault="00641D6D" w:rsidP="00AB6C46">
            <w:pPr>
              <w:widowControl w:val="0"/>
              <w:autoSpaceDE w:val="0"/>
              <w:autoSpaceDN w:val="0"/>
              <w:adjustRightInd w:val="0"/>
              <w:rPr>
                <w:sz w:val="16"/>
                <w:szCs w:val="16"/>
              </w:rPr>
            </w:pPr>
          </w:p>
        </w:tc>
        <w:tc>
          <w:tcPr>
            <w:tcW w:w="0" w:type="auto"/>
          </w:tcPr>
          <w:p w14:paraId="18E5C8FB"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Electronic Warfare Systems, Subsystems, or Components</w:t>
            </w:r>
          </w:p>
        </w:tc>
        <w:tc>
          <w:tcPr>
            <w:tcW w:w="0" w:type="auto"/>
          </w:tcPr>
          <w:p w14:paraId="425BF6C9"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379DDCE4" w14:textId="77777777" w:rsidTr="00AB6C46">
        <w:trPr>
          <w:jc w:val="center"/>
        </w:trPr>
        <w:tc>
          <w:tcPr>
            <w:tcW w:w="0" w:type="auto"/>
          </w:tcPr>
          <w:p w14:paraId="64D6374C"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3711</w:t>
            </w:r>
          </w:p>
        </w:tc>
        <w:tc>
          <w:tcPr>
            <w:tcW w:w="0" w:type="auto"/>
          </w:tcPr>
          <w:p w14:paraId="091449D6" w14:textId="77777777" w:rsidR="00641D6D" w:rsidRPr="00E60668" w:rsidRDefault="00641D6D" w:rsidP="00AB6C46">
            <w:pPr>
              <w:widowControl w:val="0"/>
              <w:autoSpaceDE w:val="0"/>
              <w:autoSpaceDN w:val="0"/>
              <w:adjustRightInd w:val="0"/>
              <w:rPr>
                <w:sz w:val="16"/>
                <w:szCs w:val="16"/>
              </w:rPr>
            </w:pPr>
          </w:p>
        </w:tc>
        <w:tc>
          <w:tcPr>
            <w:tcW w:w="0" w:type="auto"/>
          </w:tcPr>
          <w:p w14:paraId="6A61477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Surface Transportation Technologies</w:t>
            </w:r>
          </w:p>
        </w:tc>
        <w:tc>
          <w:tcPr>
            <w:tcW w:w="0" w:type="auto"/>
          </w:tcPr>
          <w:p w14:paraId="30FEBCCD"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548E8DD8" w14:textId="77777777" w:rsidTr="00AB6C46">
        <w:trPr>
          <w:jc w:val="center"/>
        </w:trPr>
        <w:tc>
          <w:tcPr>
            <w:tcW w:w="0" w:type="auto"/>
          </w:tcPr>
          <w:p w14:paraId="3E2FD731"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3721</w:t>
            </w:r>
          </w:p>
        </w:tc>
        <w:tc>
          <w:tcPr>
            <w:tcW w:w="0" w:type="auto"/>
          </w:tcPr>
          <w:p w14:paraId="4C5F4DC3" w14:textId="77777777" w:rsidR="00641D6D" w:rsidRPr="00E60668" w:rsidRDefault="00641D6D" w:rsidP="00AB6C46">
            <w:pPr>
              <w:widowControl w:val="0"/>
              <w:autoSpaceDE w:val="0"/>
              <w:autoSpaceDN w:val="0"/>
              <w:adjustRightInd w:val="0"/>
              <w:rPr>
                <w:sz w:val="16"/>
                <w:szCs w:val="16"/>
              </w:rPr>
            </w:pPr>
          </w:p>
        </w:tc>
        <w:tc>
          <w:tcPr>
            <w:tcW w:w="0" w:type="auto"/>
          </w:tcPr>
          <w:p w14:paraId="7F371F4E" w14:textId="77777777" w:rsidR="00641D6D" w:rsidRPr="00E60668" w:rsidRDefault="00641D6D" w:rsidP="00AB6C46">
            <w:pPr>
              <w:widowControl w:val="0"/>
              <w:autoSpaceDE w:val="0"/>
              <w:autoSpaceDN w:val="0"/>
              <w:adjustRightInd w:val="0"/>
              <w:rPr>
                <w:sz w:val="16"/>
                <w:szCs w:val="16"/>
              </w:rPr>
            </w:pPr>
            <w:r w:rsidRPr="00E60668">
              <w:rPr>
                <w:color w:val="000000"/>
                <w:sz w:val="16"/>
                <w:szCs w:val="16"/>
              </w:rPr>
              <w:t>Commercial Air Vehicle Products</w:t>
            </w:r>
          </w:p>
        </w:tc>
        <w:tc>
          <w:tcPr>
            <w:tcW w:w="0" w:type="auto"/>
          </w:tcPr>
          <w:p w14:paraId="00B90201"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22429157" w14:textId="77777777" w:rsidTr="00AB6C46">
        <w:trPr>
          <w:jc w:val="center"/>
        </w:trPr>
        <w:tc>
          <w:tcPr>
            <w:tcW w:w="0" w:type="auto"/>
          </w:tcPr>
          <w:p w14:paraId="7BE47B1F"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3724</w:t>
            </w:r>
          </w:p>
        </w:tc>
        <w:tc>
          <w:tcPr>
            <w:tcW w:w="0" w:type="auto"/>
          </w:tcPr>
          <w:p w14:paraId="07544FE6" w14:textId="77777777" w:rsidR="00641D6D" w:rsidRPr="00E60668" w:rsidRDefault="00641D6D" w:rsidP="00AB6C46">
            <w:pPr>
              <w:widowControl w:val="0"/>
              <w:autoSpaceDE w:val="0"/>
              <w:autoSpaceDN w:val="0"/>
              <w:adjustRightInd w:val="0"/>
              <w:rPr>
                <w:sz w:val="16"/>
                <w:szCs w:val="16"/>
              </w:rPr>
            </w:pPr>
          </w:p>
        </w:tc>
        <w:tc>
          <w:tcPr>
            <w:tcW w:w="0" w:type="auto"/>
          </w:tcPr>
          <w:p w14:paraId="4889D2F1"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Gas Turbine Engine Products, Manufacturing and Controls</w:t>
            </w:r>
          </w:p>
        </w:tc>
        <w:tc>
          <w:tcPr>
            <w:tcW w:w="0" w:type="auto"/>
          </w:tcPr>
          <w:p w14:paraId="6A6E3DB7"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2DFA58CD" w14:textId="77777777" w:rsidTr="00AB6C46">
        <w:trPr>
          <w:jc w:val="center"/>
        </w:trPr>
        <w:tc>
          <w:tcPr>
            <w:tcW w:w="0" w:type="auto"/>
          </w:tcPr>
          <w:p w14:paraId="6ECE73BF"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3731</w:t>
            </w:r>
          </w:p>
        </w:tc>
        <w:tc>
          <w:tcPr>
            <w:tcW w:w="0" w:type="auto"/>
          </w:tcPr>
          <w:p w14:paraId="013B489F" w14:textId="77777777" w:rsidR="00641D6D" w:rsidRPr="00E60668" w:rsidRDefault="00641D6D" w:rsidP="00AB6C46">
            <w:pPr>
              <w:widowControl w:val="0"/>
              <w:autoSpaceDE w:val="0"/>
              <w:autoSpaceDN w:val="0"/>
              <w:adjustRightInd w:val="0"/>
              <w:rPr>
                <w:sz w:val="16"/>
                <w:szCs w:val="16"/>
              </w:rPr>
            </w:pPr>
          </w:p>
        </w:tc>
        <w:tc>
          <w:tcPr>
            <w:tcW w:w="0" w:type="auto"/>
          </w:tcPr>
          <w:p w14:paraId="5A5DB455"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Undersea Vehicles</w:t>
            </w:r>
          </w:p>
        </w:tc>
        <w:tc>
          <w:tcPr>
            <w:tcW w:w="0" w:type="auto"/>
          </w:tcPr>
          <w:p w14:paraId="57DC000A"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57B575E" w14:textId="77777777" w:rsidTr="00AB6C46">
        <w:trPr>
          <w:jc w:val="center"/>
        </w:trPr>
        <w:tc>
          <w:tcPr>
            <w:tcW w:w="0" w:type="auto"/>
          </w:tcPr>
          <w:p w14:paraId="782D69CA"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3761</w:t>
            </w:r>
          </w:p>
        </w:tc>
        <w:tc>
          <w:tcPr>
            <w:tcW w:w="0" w:type="auto"/>
          </w:tcPr>
          <w:p w14:paraId="014068DE" w14:textId="77777777" w:rsidR="00641D6D" w:rsidRPr="00E60668" w:rsidRDefault="00641D6D" w:rsidP="00AB6C46">
            <w:pPr>
              <w:widowControl w:val="0"/>
              <w:autoSpaceDE w:val="0"/>
              <w:autoSpaceDN w:val="0"/>
              <w:adjustRightInd w:val="0"/>
              <w:rPr>
                <w:sz w:val="16"/>
                <w:szCs w:val="16"/>
              </w:rPr>
            </w:pPr>
          </w:p>
        </w:tc>
        <w:tc>
          <w:tcPr>
            <w:tcW w:w="0" w:type="auto"/>
          </w:tcPr>
          <w:p w14:paraId="1F03B124"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Space Launch Vehicles</w:t>
            </w:r>
          </w:p>
        </w:tc>
        <w:tc>
          <w:tcPr>
            <w:tcW w:w="0" w:type="auto"/>
          </w:tcPr>
          <w:p w14:paraId="6BAF7729"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C8EF87A" w14:textId="77777777" w:rsidTr="00AB6C46">
        <w:trPr>
          <w:jc w:val="center"/>
        </w:trPr>
        <w:tc>
          <w:tcPr>
            <w:tcW w:w="0" w:type="auto"/>
          </w:tcPr>
          <w:p w14:paraId="27D38FEF"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3764</w:t>
            </w:r>
          </w:p>
        </w:tc>
        <w:tc>
          <w:tcPr>
            <w:tcW w:w="0" w:type="auto"/>
          </w:tcPr>
          <w:p w14:paraId="7A45950B" w14:textId="77777777" w:rsidR="00641D6D" w:rsidRPr="00E60668" w:rsidRDefault="00641D6D" w:rsidP="00AB6C46">
            <w:pPr>
              <w:widowControl w:val="0"/>
              <w:autoSpaceDE w:val="0"/>
              <w:autoSpaceDN w:val="0"/>
              <w:adjustRightInd w:val="0"/>
              <w:rPr>
                <w:sz w:val="16"/>
                <w:szCs w:val="16"/>
              </w:rPr>
            </w:pPr>
          </w:p>
        </w:tc>
        <w:tc>
          <w:tcPr>
            <w:tcW w:w="0" w:type="auto"/>
          </w:tcPr>
          <w:p w14:paraId="5A73C34D"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Launch Propulsion for Space Systems</w:t>
            </w:r>
          </w:p>
        </w:tc>
        <w:tc>
          <w:tcPr>
            <w:tcW w:w="0" w:type="auto"/>
          </w:tcPr>
          <w:p w14:paraId="26184800"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04DED36" w14:textId="77777777" w:rsidTr="00AB6C46">
        <w:trPr>
          <w:jc w:val="center"/>
        </w:trPr>
        <w:tc>
          <w:tcPr>
            <w:tcW w:w="0" w:type="auto"/>
          </w:tcPr>
          <w:p w14:paraId="63DF16F1"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3812</w:t>
            </w:r>
          </w:p>
        </w:tc>
        <w:tc>
          <w:tcPr>
            <w:tcW w:w="0" w:type="auto"/>
          </w:tcPr>
          <w:p w14:paraId="0080055B" w14:textId="77777777" w:rsidR="00641D6D" w:rsidRPr="00E60668" w:rsidRDefault="00641D6D" w:rsidP="00AB6C46">
            <w:pPr>
              <w:widowControl w:val="0"/>
              <w:autoSpaceDE w:val="0"/>
              <w:autoSpaceDN w:val="0"/>
              <w:adjustRightInd w:val="0"/>
              <w:rPr>
                <w:sz w:val="16"/>
                <w:szCs w:val="16"/>
              </w:rPr>
            </w:pPr>
          </w:p>
        </w:tc>
        <w:tc>
          <w:tcPr>
            <w:tcW w:w="0" w:type="auto"/>
          </w:tcPr>
          <w:p w14:paraId="4A5A1374"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Passive Radiolocation/ Emitter Measurement/ Targeting Systems</w:t>
            </w:r>
          </w:p>
        </w:tc>
        <w:tc>
          <w:tcPr>
            <w:tcW w:w="0" w:type="auto"/>
          </w:tcPr>
          <w:p w14:paraId="7CA92719"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DCEC1AE" w14:textId="77777777" w:rsidTr="00AB6C46">
        <w:trPr>
          <w:jc w:val="center"/>
        </w:trPr>
        <w:tc>
          <w:tcPr>
            <w:tcW w:w="0" w:type="auto"/>
          </w:tcPr>
          <w:p w14:paraId="4891DF4C"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3822</w:t>
            </w:r>
          </w:p>
        </w:tc>
        <w:tc>
          <w:tcPr>
            <w:tcW w:w="0" w:type="auto"/>
          </w:tcPr>
          <w:p w14:paraId="1F3046AC" w14:textId="77777777" w:rsidR="00641D6D" w:rsidRPr="00E60668" w:rsidRDefault="00641D6D" w:rsidP="00AB6C46">
            <w:pPr>
              <w:widowControl w:val="0"/>
              <w:autoSpaceDE w:val="0"/>
              <w:autoSpaceDN w:val="0"/>
              <w:adjustRightInd w:val="0"/>
              <w:rPr>
                <w:sz w:val="16"/>
                <w:szCs w:val="16"/>
              </w:rPr>
            </w:pPr>
          </w:p>
        </w:tc>
        <w:tc>
          <w:tcPr>
            <w:tcW w:w="0" w:type="auto"/>
          </w:tcPr>
          <w:p w14:paraId="1A13F11B"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Power and Thermal Management</w:t>
            </w:r>
          </w:p>
        </w:tc>
        <w:tc>
          <w:tcPr>
            <w:tcW w:w="0" w:type="auto"/>
          </w:tcPr>
          <w:p w14:paraId="0A154A44"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F38279C" w14:textId="77777777" w:rsidTr="00AB6C46">
        <w:trPr>
          <w:jc w:val="center"/>
        </w:trPr>
        <w:tc>
          <w:tcPr>
            <w:tcW w:w="0" w:type="auto"/>
          </w:tcPr>
          <w:p w14:paraId="2FE92C25"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3823</w:t>
            </w:r>
          </w:p>
        </w:tc>
        <w:tc>
          <w:tcPr>
            <w:tcW w:w="0" w:type="auto"/>
          </w:tcPr>
          <w:p w14:paraId="1F4F4BB4" w14:textId="77777777" w:rsidR="00641D6D" w:rsidRPr="00E60668" w:rsidRDefault="00641D6D" w:rsidP="00AB6C46">
            <w:pPr>
              <w:widowControl w:val="0"/>
              <w:autoSpaceDE w:val="0"/>
              <w:autoSpaceDN w:val="0"/>
              <w:adjustRightInd w:val="0"/>
              <w:rPr>
                <w:sz w:val="16"/>
                <w:szCs w:val="16"/>
              </w:rPr>
            </w:pPr>
          </w:p>
        </w:tc>
        <w:tc>
          <w:tcPr>
            <w:tcW w:w="0" w:type="auto"/>
          </w:tcPr>
          <w:p w14:paraId="4017FE13"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Industrial Automation, Robotics</w:t>
            </w:r>
          </w:p>
        </w:tc>
        <w:tc>
          <w:tcPr>
            <w:tcW w:w="0" w:type="auto"/>
          </w:tcPr>
          <w:p w14:paraId="737AF5E4"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3A912CEE" w14:textId="77777777" w:rsidTr="00AB6C46">
        <w:trPr>
          <w:jc w:val="center"/>
        </w:trPr>
        <w:tc>
          <w:tcPr>
            <w:tcW w:w="0" w:type="auto"/>
          </w:tcPr>
          <w:p w14:paraId="38546836"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3825</w:t>
            </w:r>
          </w:p>
        </w:tc>
        <w:tc>
          <w:tcPr>
            <w:tcW w:w="0" w:type="auto"/>
          </w:tcPr>
          <w:p w14:paraId="192E9F9C" w14:textId="77777777" w:rsidR="00641D6D" w:rsidRPr="00E60668" w:rsidRDefault="00641D6D" w:rsidP="00AB6C46">
            <w:pPr>
              <w:widowControl w:val="0"/>
              <w:autoSpaceDE w:val="0"/>
              <w:autoSpaceDN w:val="0"/>
              <w:adjustRightInd w:val="0"/>
              <w:rPr>
                <w:sz w:val="16"/>
                <w:szCs w:val="16"/>
              </w:rPr>
            </w:pPr>
          </w:p>
        </w:tc>
        <w:tc>
          <w:tcPr>
            <w:tcW w:w="0" w:type="auto"/>
          </w:tcPr>
          <w:p w14:paraId="2CADDBCB"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Automated Test Equipment</w:t>
            </w:r>
          </w:p>
        </w:tc>
        <w:tc>
          <w:tcPr>
            <w:tcW w:w="0" w:type="auto"/>
          </w:tcPr>
          <w:p w14:paraId="24D5D676"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EA9D8A5" w14:textId="77777777" w:rsidTr="00AB6C46">
        <w:trPr>
          <w:jc w:val="center"/>
        </w:trPr>
        <w:tc>
          <w:tcPr>
            <w:tcW w:w="0" w:type="auto"/>
          </w:tcPr>
          <w:p w14:paraId="6E758BE9"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3826</w:t>
            </w:r>
          </w:p>
        </w:tc>
        <w:tc>
          <w:tcPr>
            <w:tcW w:w="0" w:type="auto"/>
          </w:tcPr>
          <w:p w14:paraId="2E85679A" w14:textId="77777777" w:rsidR="00641D6D" w:rsidRPr="00E60668" w:rsidRDefault="00641D6D" w:rsidP="00AB6C46">
            <w:pPr>
              <w:widowControl w:val="0"/>
              <w:autoSpaceDE w:val="0"/>
              <w:autoSpaceDN w:val="0"/>
              <w:adjustRightInd w:val="0"/>
              <w:rPr>
                <w:sz w:val="16"/>
                <w:szCs w:val="16"/>
              </w:rPr>
            </w:pPr>
          </w:p>
        </w:tc>
        <w:tc>
          <w:tcPr>
            <w:tcW w:w="0" w:type="auto"/>
          </w:tcPr>
          <w:p w14:paraId="4EE43F75"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Analytical and Scientific Instrumentation</w:t>
            </w:r>
          </w:p>
        </w:tc>
        <w:tc>
          <w:tcPr>
            <w:tcW w:w="0" w:type="auto"/>
          </w:tcPr>
          <w:p w14:paraId="25635468"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B7D8D08" w14:textId="77777777" w:rsidTr="00AB6C46">
        <w:trPr>
          <w:jc w:val="center"/>
        </w:trPr>
        <w:tc>
          <w:tcPr>
            <w:tcW w:w="0" w:type="auto"/>
          </w:tcPr>
          <w:p w14:paraId="04E91AFF"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3827</w:t>
            </w:r>
          </w:p>
        </w:tc>
        <w:tc>
          <w:tcPr>
            <w:tcW w:w="0" w:type="auto"/>
          </w:tcPr>
          <w:p w14:paraId="7DBD4F39" w14:textId="77777777" w:rsidR="00641D6D" w:rsidRPr="00E60668" w:rsidRDefault="00641D6D" w:rsidP="00AB6C46">
            <w:pPr>
              <w:widowControl w:val="0"/>
              <w:autoSpaceDE w:val="0"/>
              <w:autoSpaceDN w:val="0"/>
              <w:adjustRightInd w:val="0"/>
              <w:rPr>
                <w:sz w:val="16"/>
                <w:szCs w:val="16"/>
              </w:rPr>
            </w:pPr>
          </w:p>
        </w:tc>
        <w:tc>
          <w:tcPr>
            <w:tcW w:w="0" w:type="auto"/>
          </w:tcPr>
          <w:p w14:paraId="62952C73"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Nano-imaging Equipment</w:t>
            </w:r>
          </w:p>
        </w:tc>
        <w:tc>
          <w:tcPr>
            <w:tcW w:w="0" w:type="auto"/>
          </w:tcPr>
          <w:p w14:paraId="0FD7239A"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8AE45BE" w14:textId="77777777" w:rsidTr="00AB6C46">
        <w:trPr>
          <w:jc w:val="center"/>
        </w:trPr>
        <w:tc>
          <w:tcPr>
            <w:tcW w:w="0" w:type="auto"/>
          </w:tcPr>
          <w:p w14:paraId="2A984DB0"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3829</w:t>
            </w:r>
          </w:p>
        </w:tc>
        <w:tc>
          <w:tcPr>
            <w:tcW w:w="0" w:type="auto"/>
          </w:tcPr>
          <w:p w14:paraId="2FE9345A" w14:textId="77777777" w:rsidR="00641D6D" w:rsidRPr="00E60668" w:rsidRDefault="00641D6D" w:rsidP="00AB6C46">
            <w:pPr>
              <w:widowControl w:val="0"/>
              <w:autoSpaceDE w:val="0"/>
              <w:autoSpaceDN w:val="0"/>
              <w:adjustRightInd w:val="0"/>
              <w:rPr>
                <w:sz w:val="16"/>
                <w:szCs w:val="16"/>
              </w:rPr>
            </w:pPr>
          </w:p>
        </w:tc>
        <w:tc>
          <w:tcPr>
            <w:tcW w:w="0" w:type="auto"/>
          </w:tcPr>
          <w:p w14:paraId="208A2B40"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Chemical Detection, Warning, and Identification</w:t>
            </w:r>
          </w:p>
        </w:tc>
        <w:tc>
          <w:tcPr>
            <w:tcW w:w="0" w:type="auto"/>
          </w:tcPr>
          <w:p w14:paraId="6FAA05D2"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1AB7D8A8" w14:textId="77777777" w:rsidTr="00AB6C46">
        <w:trPr>
          <w:jc w:val="center"/>
        </w:trPr>
        <w:tc>
          <w:tcPr>
            <w:tcW w:w="0" w:type="auto"/>
          </w:tcPr>
          <w:p w14:paraId="00B67EFE"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3841</w:t>
            </w:r>
          </w:p>
        </w:tc>
        <w:tc>
          <w:tcPr>
            <w:tcW w:w="0" w:type="auto"/>
          </w:tcPr>
          <w:p w14:paraId="74327823" w14:textId="77777777" w:rsidR="00641D6D" w:rsidRPr="00E60668" w:rsidRDefault="00641D6D" w:rsidP="00AB6C46">
            <w:pPr>
              <w:widowControl w:val="0"/>
              <w:autoSpaceDE w:val="0"/>
              <w:autoSpaceDN w:val="0"/>
              <w:adjustRightInd w:val="0"/>
              <w:rPr>
                <w:sz w:val="16"/>
                <w:szCs w:val="16"/>
              </w:rPr>
            </w:pPr>
          </w:p>
        </w:tc>
        <w:tc>
          <w:tcPr>
            <w:tcW w:w="0" w:type="auto"/>
          </w:tcPr>
          <w:p w14:paraId="4F37DAD0"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Surgical and Medical Instrument Manufacturing</w:t>
            </w:r>
          </w:p>
        </w:tc>
        <w:tc>
          <w:tcPr>
            <w:tcW w:w="0" w:type="auto"/>
          </w:tcPr>
          <w:p w14:paraId="2CD24BEF"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7219AB7E" w14:textId="77777777" w:rsidTr="00AB6C46">
        <w:trPr>
          <w:jc w:val="center"/>
        </w:trPr>
        <w:tc>
          <w:tcPr>
            <w:tcW w:w="0" w:type="auto"/>
          </w:tcPr>
          <w:p w14:paraId="19FF6DCA"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3842</w:t>
            </w:r>
          </w:p>
        </w:tc>
        <w:tc>
          <w:tcPr>
            <w:tcW w:w="0" w:type="auto"/>
          </w:tcPr>
          <w:p w14:paraId="7723A02B" w14:textId="77777777" w:rsidR="00641D6D" w:rsidRPr="00E60668" w:rsidRDefault="00641D6D" w:rsidP="00AB6C46">
            <w:pPr>
              <w:widowControl w:val="0"/>
              <w:autoSpaceDE w:val="0"/>
              <w:autoSpaceDN w:val="0"/>
              <w:adjustRightInd w:val="0"/>
              <w:rPr>
                <w:sz w:val="16"/>
                <w:szCs w:val="16"/>
              </w:rPr>
            </w:pPr>
          </w:p>
        </w:tc>
        <w:tc>
          <w:tcPr>
            <w:tcW w:w="0" w:type="auto"/>
          </w:tcPr>
          <w:p w14:paraId="2CC47DE5"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Surgical Appliance and Supplies Manufacturing</w:t>
            </w:r>
          </w:p>
        </w:tc>
        <w:tc>
          <w:tcPr>
            <w:tcW w:w="0" w:type="auto"/>
          </w:tcPr>
          <w:p w14:paraId="091E7FCE"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63A7A386" w14:textId="77777777" w:rsidTr="00AB6C46">
        <w:trPr>
          <w:jc w:val="center"/>
        </w:trPr>
        <w:tc>
          <w:tcPr>
            <w:tcW w:w="0" w:type="auto"/>
          </w:tcPr>
          <w:p w14:paraId="5DD500AD"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3843</w:t>
            </w:r>
          </w:p>
        </w:tc>
        <w:tc>
          <w:tcPr>
            <w:tcW w:w="0" w:type="auto"/>
          </w:tcPr>
          <w:p w14:paraId="4F87C915" w14:textId="77777777" w:rsidR="00641D6D" w:rsidRPr="00E60668" w:rsidRDefault="00641D6D" w:rsidP="00AB6C46">
            <w:pPr>
              <w:widowControl w:val="0"/>
              <w:autoSpaceDE w:val="0"/>
              <w:autoSpaceDN w:val="0"/>
              <w:adjustRightInd w:val="0"/>
              <w:rPr>
                <w:sz w:val="16"/>
                <w:szCs w:val="16"/>
              </w:rPr>
            </w:pPr>
          </w:p>
        </w:tc>
        <w:tc>
          <w:tcPr>
            <w:tcW w:w="0" w:type="auto"/>
          </w:tcPr>
          <w:p w14:paraId="273A1B79"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Dental Equipment and Supplies Manufacturing</w:t>
            </w:r>
          </w:p>
        </w:tc>
        <w:tc>
          <w:tcPr>
            <w:tcW w:w="0" w:type="auto"/>
          </w:tcPr>
          <w:p w14:paraId="7B3CB98F"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70E2D283" w14:textId="77777777" w:rsidTr="00AB6C46">
        <w:trPr>
          <w:jc w:val="center"/>
        </w:trPr>
        <w:tc>
          <w:tcPr>
            <w:tcW w:w="0" w:type="auto"/>
          </w:tcPr>
          <w:p w14:paraId="31394032"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3844</w:t>
            </w:r>
          </w:p>
        </w:tc>
        <w:tc>
          <w:tcPr>
            <w:tcW w:w="0" w:type="auto"/>
          </w:tcPr>
          <w:p w14:paraId="7C6082F2" w14:textId="77777777" w:rsidR="00641D6D" w:rsidRPr="00E60668" w:rsidRDefault="00641D6D" w:rsidP="00AB6C46">
            <w:pPr>
              <w:widowControl w:val="0"/>
              <w:autoSpaceDE w:val="0"/>
              <w:autoSpaceDN w:val="0"/>
              <w:adjustRightInd w:val="0"/>
              <w:rPr>
                <w:sz w:val="16"/>
                <w:szCs w:val="16"/>
              </w:rPr>
            </w:pPr>
          </w:p>
        </w:tc>
        <w:tc>
          <w:tcPr>
            <w:tcW w:w="0" w:type="auto"/>
          </w:tcPr>
          <w:p w14:paraId="1D8C7461"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X-ray Tomography Inspection Tools</w:t>
            </w:r>
          </w:p>
        </w:tc>
        <w:tc>
          <w:tcPr>
            <w:tcW w:w="0" w:type="auto"/>
          </w:tcPr>
          <w:p w14:paraId="30596775"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5ECD084B" w14:textId="77777777" w:rsidTr="00AB6C46">
        <w:trPr>
          <w:jc w:val="center"/>
        </w:trPr>
        <w:tc>
          <w:tcPr>
            <w:tcW w:w="0" w:type="auto"/>
          </w:tcPr>
          <w:p w14:paraId="48B2D1B8"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3845</w:t>
            </w:r>
          </w:p>
        </w:tc>
        <w:tc>
          <w:tcPr>
            <w:tcW w:w="0" w:type="auto"/>
          </w:tcPr>
          <w:p w14:paraId="0F244980" w14:textId="77777777" w:rsidR="00641D6D" w:rsidRPr="00E60668" w:rsidRDefault="00641D6D" w:rsidP="00AB6C46">
            <w:pPr>
              <w:widowControl w:val="0"/>
              <w:autoSpaceDE w:val="0"/>
              <w:autoSpaceDN w:val="0"/>
              <w:adjustRightInd w:val="0"/>
              <w:rPr>
                <w:sz w:val="16"/>
                <w:szCs w:val="16"/>
              </w:rPr>
            </w:pPr>
          </w:p>
        </w:tc>
        <w:tc>
          <w:tcPr>
            <w:tcW w:w="0" w:type="auto"/>
          </w:tcPr>
          <w:p w14:paraId="7E247C2D"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Laser Related Equipment</w:t>
            </w:r>
          </w:p>
        </w:tc>
        <w:tc>
          <w:tcPr>
            <w:tcW w:w="0" w:type="auto"/>
          </w:tcPr>
          <w:p w14:paraId="58BCD1E4"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26B49BF3" w14:textId="77777777" w:rsidTr="00AB6C46">
        <w:trPr>
          <w:jc w:val="center"/>
        </w:trPr>
        <w:tc>
          <w:tcPr>
            <w:tcW w:w="0" w:type="auto"/>
          </w:tcPr>
          <w:p w14:paraId="7AC417BC"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3851</w:t>
            </w:r>
          </w:p>
        </w:tc>
        <w:tc>
          <w:tcPr>
            <w:tcW w:w="0" w:type="auto"/>
          </w:tcPr>
          <w:p w14:paraId="4FCF761D" w14:textId="77777777" w:rsidR="00641D6D" w:rsidRPr="00E60668" w:rsidRDefault="00641D6D" w:rsidP="00AB6C46">
            <w:pPr>
              <w:widowControl w:val="0"/>
              <w:autoSpaceDE w:val="0"/>
              <w:autoSpaceDN w:val="0"/>
              <w:adjustRightInd w:val="0"/>
              <w:rPr>
                <w:sz w:val="16"/>
                <w:szCs w:val="16"/>
              </w:rPr>
            </w:pPr>
          </w:p>
        </w:tc>
        <w:tc>
          <w:tcPr>
            <w:tcW w:w="0" w:type="auto"/>
          </w:tcPr>
          <w:p w14:paraId="64F32940"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Ophthalmic Goods Manufacturing</w:t>
            </w:r>
          </w:p>
        </w:tc>
        <w:tc>
          <w:tcPr>
            <w:tcW w:w="0" w:type="auto"/>
          </w:tcPr>
          <w:p w14:paraId="5F82599C"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7A88D1A3" w14:textId="77777777" w:rsidTr="00AB6C46">
        <w:trPr>
          <w:jc w:val="center"/>
        </w:trPr>
        <w:tc>
          <w:tcPr>
            <w:tcW w:w="0" w:type="auto"/>
          </w:tcPr>
          <w:p w14:paraId="79CF90CA"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4499</w:t>
            </w:r>
          </w:p>
        </w:tc>
        <w:tc>
          <w:tcPr>
            <w:tcW w:w="0" w:type="auto"/>
          </w:tcPr>
          <w:p w14:paraId="2AF29B95" w14:textId="77777777" w:rsidR="00641D6D" w:rsidRPr="00E60668" w:rsidRDefault="00641D6D" w:rsidP="00AB6C46">
            <w:pPr>
              <w:widowControl w:val="0"/>
              <w:autoSpaceDE w:val="0"/>
              <w:autoSpaceDN w:val="0"/>
              <w:adjustRightInd w:val="0"/>
              <w:rPr>
                <w:sz w:val="16"/>
                <w:szCs w:val="16"/>
              </w:rPr>
            </w:pPr>
          </w:p>
        </w:tc>
        <w:tc>
          <w:tcPr>
            <w:tcW w:w="0" w:type="auto"/>
          </w:tcPr>
          <w:p w14:paraId="384762E5"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Ocean Salvage</w:t>
            </w:r>
          </w:p>
        </w:tc>
        <w:tc>
          <w:tcPr>
            <w:tcW w:w="0" w:type="auto"/>
          </w:tcPr>
          <w:p w14:paraId="25A9B4C6"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20554E8D" w14:textId="77777777" w:rsidTr="00AB6C46">
        <w:trPr>
          <w:jc w:val="center"/>
        </w:trPr>
        <w:tc>
          <w:tcPr>
            <w:tcW w:w="0" w:type="auto"/>
          </w:tcPr>
          <w:p w14:paraId="6DDF65E1"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4812</w:t>
            </w:r>
          </w:p>
        </w:tc>
        <w:tc>
          <w:tcPr>
            <w:tcW w:w="0" w:type="auto"/>
          </w:tcPr>
          <w:p w14:paraId="2E5458C2" w14:textId="77777777" w:rsidR="00641D6D" w:rsidRPr="00E60668" w:rsidRDefault="00641D6D" w:rsidP="00AB6C46">
            <w:pPr>
              <w:widowControl w:val="0"/>
              <w:autoSpaceDE w:val="0"/>
              <w:autoSpaceDN w:val="0"/>
              <w:adjustRightInd w:val="0"/>
              <w:rPr>
                <w:sz w:val="16"/>
                <w:szCs w:val="16"/>
              </w:rPr>
            </w:pPr>
          </w:p>
        </w:tc>
        <w:tc>
          <w:tcPr>
            <w:tcW w:w="0" w:type="auto"/>
          </w:tcPr>
          <w:p w14:paraId="74DDD33B"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Wireless Data</w:t>
            </w:r>
          </w:p>
        </w:tc>
        <w:tc>
          <w:tcPr>
            <w:tcW w:w="0" w:type="auto"/>
          </w:tcPr>
          <w:p w14:paraId="7CFD6695"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89041C4" w14:textId="77777777" w:rsidTr="00AB6C46">
        <w:trPr>
          <w:jc w:val="center"/>
        </w:trPr>
        <w:tc>
          <w:tcPr>
            <w:tcW w:w="0" w:type="auto"/>
          </w:tcPr>
          <w:p w14:paraId="03B34AC6"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4813</w:t>
            </w:r>
          </w:p>
        </w:tc>
        <w:tc>
          <w:tcPr>
            <w:tcW w:w="0" w:type="auto"/>
          </w:tcPr>
          <w:p w14:paraId="10482F5A" w14:textId="77777777" w:rsidR="00641D6D" w:rsidRPr="00E60668" w:rsidRDefault="00641D6D" w:rsidP="00AB6C46">
            <w:pPr>
              <w:widowControl w:val="0"/>
              <w:autoSpaceDE w:val="0"/>
              <w:autoSpaceDN w:val="0"/>
              <w:adjustRightInd w:val="0"/>
              <w:rPr>
                <w:sz w:val="16"/>
                <w:szCs w:val="16"/>
              </w:rPr>
            </w:pPr>
          </w:p>
        </w:tc>
        <w:tc>
          <w:tcPr>
            <w:tcW w:w="0" w:type="auto"/>
          </w:tcPr>
          <w:p w14:paraId="3C4D439F"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Telecommunications Carriers</w:t>
            </w:r>
          </w:p>
        </w:tc>
        <w:tc>
          <w:tcPr>
            <w:tcW w:w="0" w:type="auto"/>
          </w:tcPr>
          <w:p w14:paraId="7B27FFE1"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F0028ED" w14:textId="77777777" w:rsidTr="00AB6C46">
        <w:trPr>
          <w:jc w:val="center"/>
        </w:trPr>
        <w:tc>
          <w:tcPr>
            <w:tcW w:w="0" w:type="auto"/>
          </w:tcPr>
          <w:p w14:paraId="6137CCC0"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4899</w:t>
            </w:r>
          </w:p>
        </w:tc>
        <w:tc>
          <w:tcPr>
            <w:tcW w:w="0" w:type="auto"/>
          </w:tcPr>
          <w:p w14:paraId="34B6C5B5" w14:textId="77777777" w:rsidR="00641D6D" w:rsidRPr="00E60668" w:rsidRDefault="00641D6D" w:rsidP="00AB6C46">
            <w:pPr>
              <w:widowControl w:val="0"/>
              <w:autoSpaceDE w:val="0"/>
              <w:autoSpaceDN w:val="0"/>
              <w:adjustRightInd w:val="0"/>
              <w:rPr>
                <w:sz w:val="16"/>
                <w:szCs w:val="16"/>
              </w:rPr>
            </w:pPr>
          </w:p>
        </w:tc>
        <w:tc>
          <w:tcPr>
            <w:tcW w:w="0" w:type="auto"/>
          </w:tcPr>
          <w:p w14:paraId="62CB7011"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Satellite Telecommunication Carriers</w:t>
            </w:r>
          </w:p>
        </w:tc>
        <w:tc>
          <w:tcPr>
            <w:tcW w:w="0" w:type="auto"/>
          </w:tcPr>
          <w:p w14:paraId="319728AC"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1CBA552C" w14:textId="77777777" w:rsidTr="00AB6C46">
        <w:trPr>
          <w:jc w:val="center"/>
        </w:trPr>
        <w:tc>
          <w:tcPr>
            <w:tcW w:w="0" w:type="auto"/>
          </w:tcPr>
          <w:p w14:paraId="142EC8CB"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4911</w:t>
            </w:r>
          </w:p>
        </w:tc>
        <w:tc>
          <w:tcPr>
            <w:tcW w:w="0" w:type="auto"/>
          </w:tcPr>
          <w:p w14:paraId="61D9CC2A" w14:textId="77777777" w:rsidR="00641D6D" w:rsidRPr="00E60668" w:rsidRDefault="00641D6D" w:rsidP="00AB6C46">
            <w:pPr>
              <w:widowControl w:val="0"/>
              <w:autoSpaceDE w:val="0"/>
              <w:autoSpaceDN w:val="0"/>
              <w:adjustRightInd w:val="0"/>
              <w:rPr>
                <w:sz w:val="16"/>
                <w:szCs w:val="16"/>
              </w:rPr>
            </w:pPr>
          </w:p>
        </w:tc>
        <w:tc>
          <w:tcPr>
            <w:tcW w:w="0" w:type="auto"/>
          </w:tcPr>
          <w:p w14:paraId="7B7A5ED7"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Hydroelectric Power Generation</w:t>
            </w:r>
          </w:p>
        </w:tc>
        <w:tc>
          <w:tcPr>
            <w:tcW w:w="0" w:type="auto"/>
          </w:tcPr>
          <w:p w14:paraId="20955A6A"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7243A8D5" w14:textId="77777777" w:rsidTr="00AB6C46">
        <w:trPr>
          <w:jc w:val="center"/>
        </w:trPr>
        <w:tc>
          <w:tcPr>
            <w:tcW w:w="0" w:type="auto"/>
          </w:tcPr>
          <w:p w14:paraId="33624975"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7371</w:t>
            </w:r>
          </w:p>
        </w:tc>
        <w:tc>
          <w:tcPr>
            <w:tcW w:w="0" w:type="auto"/>
          </w:tcPr>
          <w:p w14:paraId="5CA8EA7D" w14:textId="77777777" w:rsidR="00641D6D" w:rsidRPr="00E60668" w:rsidRDefault="00641D6D" w:rsidP="00AB6C46">
            <w:pPr>
              <w:widowControl w:val="0"/>
              <w:autoSpaceDE w:val="0"/>
              <w:autoSpaceDN w:val="0"/>
              <w:adjustRightInd w:val="0"/>
              <w:rPr>
                <w:sz w:val="16"/>
                <w:szCs w:val="16"/>
              </w:rPr>
            </w:pPr>
          </w:p>
        </w:tc>
        <w:tc>
          <w:tcPr>
            <w:tcW w:w="0" w:type="auto"/>
          </w:tcPr>
          <w:p w14:paraId="5738A735"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Computer Programming Services</w:t>
            </w:r>
          </w:p>
        </w:tc>
        <w:tc>
          <w:tcPr>
            <w:tcW w:w="0" w:type="auto"/>
          </w:tcPr>
          <w:p w14:paraId="33738860"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4F98868E" w14:textId="77777777" w:rsidTr="00AB6C46">
        <w:trPr>
          <w:jc w:val="center"/>
        </w:trPr>
        <w:tc>
          <w:tcPr>
            <w:tcW w:w="0" w:type="auto"/>
          </w:tcPr>
          <w:p w14:paraId="28B0EB0B"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7372</w:t>
            </w:r>
          </w:p>
        </w:tc>
        <w:tc>
          <w:tcPr>
            <w:tcW w:w="0" w:type="auto"/>
          </w:tcPr>
          <w:p w14:paraId="2635BB9F" w14:textId="77777777" w:rsidR="00641D6D" w:rsidRPr="00E60668" w:rsidRDefault="00641D6D" w:rsidP="00AB6C46">
            <w:pPr>
              <w:widowControl w:val="0"/>
              <w:autoSpaceDE w:val="0"/>
              <w:autoSpaceDN w:val="0"/>
              <w:adjustRightInd w:val="0"/>
              <w:rPr>
                <w:sz w:val="16"/>
                <w:szCs w:val="16"/>
              </w:rPr>
            </w:pPr>
          </w:p>
        </w:tc>
        <w:tc>
          <w:tcPr>
            <w:tcW w:w="0" w:type="auto"/>
          </w:tcPr>
          <w:p w14:paraId="766B8632"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Prepackaged Software</w:t>
            </w:r>
          </w:p>
        </w:tc>
        <w:tc>
          <w:tcPr>
            <w:tcW w:w="0" w:type="auto"/>
          </w:tcPr>
          <w:p w14:paraId="1608184A"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5A2ED6F0" w14:textId="77777777" w:rsidTr="00AB6C46">
        <w:trPr>
          <w:jc w:val="center"/>
        </w:trPr>
        <w:tc>
          <w:tcPr>
            <w:tcW w:w="0" w:type="auto"/>
          </w:tcPr>
          <w:p w14:paraId="296ECDDA"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7373</w:t>
            </w:r>
          </w:p>
        </w:tc>
        <w:tc>
          <w:tcPr>
            <w:tcW w:w="0" w:type="auto"/>
          </w:tcPr>
          <w:p w14:paraId="1ADBFCFD" w14:textId="77777777" w:rsidR="00641D6D" w:rsidRPr="00E60668" w:rsidRDefault="00641D6D" w:rsidP="00AB6C46">
            <w:pPr>
              <w:widowControl w:val="0"/>
              <w:autoSpaceDE w:val="0"/>
              <w:autoSpaceDN w:val="0"/>
              <w:adjustRightInd w:val="0"/>
              <w:rPr>
                <w:sz w:val="16"/>
                <w:szCs w:val="16"/>
              </w:rPr>
            </w:pPr>
          </w:p>
        </w:tc>
        <w:tc>
          <w:tcPr>
            <w:tcW w:w="0" w:type="auto"/>
          </w:tcPr>
          <w:p w14:paraId="048532C2"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Computer Graphics and Scanning, CAD/CAM, CAE systems</w:t>
            </w:r>
          </w:p>
        </w:tc>
        <w:tc>
          <w:tcPr>
            <w:tcW w:w="0" w:type="auto"/>
          </w:tcPr>
          <w:p w14:paraId="04F8DC7A"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3C98F12" w14:textId="77777777" w:rsidTr="00AB6C46">
        <w:trPr>
          <w:jc w:val="center"/>
        </w:trPr>
        <w:tc>
          <w:tcPr>
            <w:tcW w:w="0" w:type="auto"/>
          </w:tcPr>
          <w:p w14:paraId="51F88BE1"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7374</w:t>
            </w:r>
          </w:p>
        </w:tc>
        <w:tc>
          <w:tcPr>
            <w:tcW w:w="0" w:type="auto"/>
          </w:tcPr>
          <w:p w14:paraId="471B16A5" w14:textId="77777777" w:rsidR="00641D6D" w:rsidRPr="00E60668" w:rsidRDefault="00641D6D" w:rsidP="00AB6C46">
            <w:pPr>
              <w:widowControl w:val="0"/>
              <w:autoSpaceDE w:val="0"/>
              <w:autoSpaceDN w:val="0"/>
              <w:adjustRightInd w:val="0"/>
              <w:rPr>
                <w:sz w:val="16"/>
                <w:szCs w:val="16"/>
              </w:rPr>
            </w:pPr>
          </w:p>
        </w:tc>
        <w:tc>
          <w:tcPr>
            <w:tcW w:w="0" w:type="auto"/>
          </w:tcPr>
          <w:p w14:paraId="7540A4F6"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Data Processing Services, Hosting</w:t>
            </w:r>
          </w:p>
        </w:tc>
        <w:tc>
          <w:tcPr>
            <w:tcW w:w="0" w:type="auto"/>
          </w:tcPr>
          <w:p w14:paraId="4C055638"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71B24CF0" w14:textId="77777777" w:rsidTr="00AB6C46">
        <w:trPr>
          <w:jc w:val="center"/>
        </w:trPr>
        <w:tc>
          <w:tcPr>
            <w:tcW w:w="0" w:type="auto"/>
          </w:tcPr>
          <w:p w14:paraId="66824827"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7375</w:t>
            </w:r>
          </w:p>
        </w:tc>
        <w:tc>
          <w:tcPr>
            <w:tcW w:w="0" w:type="auto"/>
          </w:tcPr>
          <w:p w14:paraId="2F16FD3A" w14:textId="77777777" w:rsidR="00641D6D" w:rsidRPr="00E60668" w:rsidRDefault="00641D6D" w:rsidP="00AB6C46">
            <w:pPr>
              <w:widowControl w:val="0"/>
              <w:autoSpaceDE w:val="0"/>
              <w:autoSpaceDN w:val="0"/>
              <w:adjustRightInd w:val="0"/>
              <w:rPr>
                <w:sz w:val="16"/>
                <w:szCs w:val="16"/>
              </w:rPr>
            </w:pPr>
          </w:p>
        </w:tc>
        <w:tc>
          <w:tcPr>
            <w:tcW w:w="0" w:type="auto"/>
          </w:tcPr>
          <w:p w14:paraId="1FFD539E"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Internet Service Providers and Web Search Portals</w:t>
            </w:r>
          </w:p>
        </w:tc>
        <w:tc>
          <w:tcPr>
            <w:tcW w:w="0" w:type="auto"/>
          </w:tcPr>
          <w:p w14:paraId="547D9B0E"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19E7C4DE" w14:textId="77777777" w:rsidTr="00AB6C46">
        <w:trPr>
          <w:jc w:val="center"/>
        </w:trPr>
        <w:tc>
          <w:tcPr>
            <w:tcW w:w="0" w:type="auto"/>
          </w:tcPr>
          <w:p w14:paraId="603E7FC2"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8243</w:t>
            </w:r>
          </w:p>
        </w:tc>
        <w:tc>
          <w:tcPr>
            <w:tcW w:w="0" w:type="auto"/>
          </w:tcPr>
          <w:p w14:paraId="58B816F5" w14:textId="77777777" w:rsidR="00641D6D" w:rsidRPr="00E60668" w:rsidRDefault="00641D6D" w:rsidP="00AB6C46">
            <w:pPr>
              <w:widowControl w:val="0"/>
              <w:autoSpaceDE w:val="0"/>
              <w:autoSpaceDN w:val="0"/>
              <w:adjustRightInd w:val="0"/>
              <w:rPr>
                <w:sz w:val="16"/>
                <w:szCs w:val="16"/>
              </w:rPr>
            </w:pPr>
          </w:p>
        </w:tc>
        <w:tc>
          <w:tcPr>
            <w:tcW w:w="0" w:type="auto"/>
          </w:tcPr>
          <w:p w14:paraId="29559AE8"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Data Processing Schools</w:t>
            </w:r>
          </w:p>
        </w:tc>
        <w:tc>
          <w:tcPr>
            <w:tcW w:w="0" w:type="auto"/>
          </w:tcPr>
          <w:p w14:paraId="54249151"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5DE82DB0" w14:textId="77777777" w:rsidTr="00AB6C46">
        <w:trPr>
          <w:jc w:val="center"/>
        </w:trPr>
        <w:tc>
          <w:tcPr>
            <w:tcW w:w="0" w:type="auto"/>
          </w:tcPr>
          <w:p w14:paraId="6B783676"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8711</w:t>
            </w:r>
          </w:p>
        </w:tc>
        <w:tc>
          <w:tcPr>
            <w:tcW w:w="0" w:type="auto"/>
          </w:tcPr>
          <w:p w14:paraId="7DCE4772" w14:textId="77777777" w:rsidR="00641D6D" w:rsidRPr="00E60668" w:rsidRDefault="00641D6D" w:rsidP="00AB6C46">
            <w:pPr>
              <w:widowControl w:val="0"/>
              <w:autoSpaceDE w:val="0"/>
              <w:autoSpaceDN w:val="0"/>
              <w:adjustRightInd w:val="0"/>
              <w:rPr>
                <w:sz w:val="16"/>
                <w:szCs w:val="16"/>
              </w:rPr>
            </w:pPr>
          </w:p>
        </w:tc>
        <w:tc>
          <w:tcPr>
            <w:tcW w:w="0" w:type="auto"/>
          </w:tcPr>
          <w:p w14:paraId="6D97E6E8"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Space Survivability</w:t>
            </w:r>
          </w:p>
        </w:tc>
        <w:tc>
          <w:tcPr>
            <w:tcW w:w="0" w:type="auto"/>
          </w:tcPr>
          <w:p w14:paraId="77825447"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3DF6F456" w14:textId="77777777" w:rsidTr="00AB6C46">
        <w:trPr>
          <w:jc w:val="center"/>
        </w:trPr>
        <w:tc>
          <w:tcPr>
            <w:tcW w:w="0" w:type="auto"/>
          </w:tcPr>
          <w:p w14:paraId="2F2DA98E"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8731</w:t>
            </w:r>
          </w:p>
        </w:tc>
        <w:tc>
          <w:tcPr>
            <w:tcW w:w="0" w:type="auto"/>
          </w:tcPr>
          <w:p w14:paraId="05CE86A7" w14:textId="77777777" w:rsidR="00641D6D" w:rsidRPr="00E60668" w:rsidRDefault="00641D6D" w:rsidP="00AB6C46">
            <w:pPr>
              <w:widowControl w:val="0"/>
              <w:autoSpaceDE w:val="0"/>
              <w:autoSpaceDN w:val="0"/>
              <w:adjustRightInd w:val="0"/>
              <w:rPr>
                <w:sz w:val="16"/>
                <w:szCs w:val="16"/>
              </w:rPr>
            </w:pPr>
          </w:p>
        </w:tc>
        <w:tc>
          <w:tcPr>
            <w:tcW w:w="0" w:type="auto"/>
          </w:tcPr>
          <w:p w14:paraId="5F1074E1"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Metamaterials (nanostructures with special properties)</w:t>
            </w:r>
          </w:p>
        </w:tc>
        <w:tc>
          <w:tcPr>
            <w:tcW w:w="0" w:type="auto"/>
          </w:tcPr>
          <w:p w14:paraId="1560CF21"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0E54F85F" w14:textId="77777777" w:rsidTr="00AB6C46">
        <w:trPr>
          <w:jc w:val="center"/>
        </w:trPr>
        <w:tc>
          <w:tcPr>
            <w:tcW w:w="0" w:type="auto"/>
          </w:tcPr>
          <w:p w14:paraId="46086ECB"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8733</w:t>
            </w:r>
          </w:p>
        </w:tc>
        <w:tc>
          <w:tcPr>
            <w:tcW w:w="0" w:type="auto"/>
          </w:tcPr>
          <w:p w14:paraId="4C8F3CA2" w14:textId="77777777" w:rsidR="00641D6D" w:rsidRPr="00E60668" w:rsidRDefault="00641D6D" w:rsidP="00AB6C46">
            <w:pPr>
              <w:widowControl w:val="0"/>
              <w:autoSpaceDE w:val="0"/>
              <w:autoSpaceDN w:val="0"/>
              <w:adjustRightInd w:val="0"/>
              <w:rPr>
                <w:sz w:val="16"/>
                <w:szCs w:val="16"/>
              </w:rPr>
            </w:pPr>
          </w:p>
        </w:tc>
        <w:tc>
          <w:tcPr>
            <w:tcW w:w="0" w:type="auto"/>
          </w:tcPr>
          <w:p w14:paraId="2E15F95B" w14:textId="77777777" w:rsidR="00641D6D" w:rsidRPr="00E60668" w:rsidRDefault="00641D6D" w:rsidP="00AB6C46">
            <w:pPr>
              <w:widowControl w:val="0"/>
              <w:autoSpaceDE w:val="0"/>
              <w:autoSpaceDN w:val="0"/>
              <w:adjustRightInd w:val="0"/>
              <w:rPr>
                <w:color w:val="000000"/>
                <w:sz w:val="16"/>
                <w:szCs w:val="16"/>
              </w:rPr>
            </w:pPr>
            <w:r w:rsidRPr="00E60668">
              <w:rPr>
                <w:color w:val="000000"/>
                <w:sz w:val="16"/>
                <w:szCs w:val="16"/>
              </w:rPr>
              <w:t>Biotech Research and Production Equipment</w:t>
            </w:r>
          </w:p>
        </w:tc>
        <w:tc>
          <w:tcPr>
            <w:tcW w:w="0" w:type="auto"/>
          </w:tcPr>
          <w:p w14:paraId="1C0BDE1E"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1</w:t>
            </w:r>
          </w:p>
        </w:tc>
      </w:tr>
      <w:tr w:rsidR="008620B3" w:rsidRPr="00E60668" w14:paraId="24A33ECD" w14:textId="77777777" w:rsidTr="00E60668">
        <w:trPr>
          <w:jc w:val="center"/>
        </w:trPr>
        <w:tc>
          <w:tcPr>
            <w:tcW w:w="0" w:type="auto"/>
            <w:tcBorders>
              <w:top w:val="single" w:sz="4" w:space="0" w:color="auto"/>
              <w:bottom w:val="single" w:sz="4" w:space="0" w:color="auto"/>
            </w:tcBorders>
          </w:tcPr>
          <w:p w14:paraId="6CC91553" w14:textId="77777777" w:rsidR="00641D6D" w:rsidRPr="00E60668" w:rsidRDefault="00641D6D" w:rsidP="00AB6C46">
            <w:pPr>
              <w:widowControl w:val="0"/>
              <w:autoSpaceDE w:val="0"/>
              <w:autoSpaceDN w:val="0"/>
              <w:adjustRightInd w:val="0"/>
              <w:rPr>
                <w:sz w:val="16"/>
                <w:szCs w:val="16"/>
              </w:rPr>
            </w:pPr>
            <w:r w:rsidRPr="00E60668">
              <w:rPr>
                <w:sz w:val="16"/>
                <w:szCs w:val="16"/>
              </w:rPr>
              <w:t>Total</w:t>
            </w:r>
          </w:p>
        </w:tc>
        <w:tc>
          <w:tcPr>
            <w:tcW w:w="0" w:type="auto"/>
            <w:tcBorders>
              <w:top w:val="single" w:sz="4" w:space="0" w:color="auto"/>
              <w:bottom w:val="single" w:sz="4" w:space="0" w:color="auto"/>
            </w:tcBorders>
          </w:tcPr>
          <w:p w14:paraId="7943EF8F" w14:textId="77777777" w:rsidR="00641D6D" w:rsidRPr="00E60668" w:rsidRDefault="00641D6D" w:rsidP="00AB6C46">
            <w:pPr>
              <w:widowControl w:val="0"/>
              <w:autoSpaceDE w:val="0"/>
              <w:autoSpaceDN w:val="0"/>
              <w:adjustRightInd w:val="0"/>
              <w:rPr>
                <w:sz w:val="16"/>
                <w:szCs w:val="16"/>
              </w:rPr>
            </w:pPr>
          </w:p>
        </w:tc>
        <w:tc>
          <w:tcPr>
            <w:tcW w:w="0" w:type="auto"/>
            <w:tcBorders>
              <w:top w:val="single" w:sz="4" w:space="0" w:color="auto"/>
              <w:bottom w:val="single" w:sz="4" w:space="0" w:color="auto"/>
            </w:tcBorders>
          </w:tcPr>
          <w:p w14:paraId="3E4A3C0F" w14:textId="77777777" w:rsidR="00641D6D" w:rsidRPr="00E60668" w:rsidRDefault="00641D6D" w:rsidP="00AB6C46">
            <w:pPr>
              <w:widowControl w:val="0"/>
              <w:autoSpaceDE w:val="0"/>
              <w:autoSpaceDN w:val="0"/>
              <w:adjustRightInd w:val="0"/>
              <w:rPr>
                <w:sz w:val="16"/>
                <w:szCs w:val="16"/>
              </w:rPr>
            </w:pPr>
          </w:p>
        </w:tc>
        <w:tc>
          <w:tcPr>
            <w:tcW w:w="0" w:type="auto"/>
            <w:tcBorders>
              <w:top w:val="single" w:sz="4" w:space="0" w:color="auto"/>
              <w:bottom w:val="single" w:sz="4" w:space="0" w:color="auto"/>
            </w:tcBorders>
          </w:tcPr>
          <w:p w14:paraId="40EECFB6" w14:textId="77777777" w:rsidR="00641D6D" w:rsidRPr="00E60668" w:rsidRDefault="00641D6D" w:rsidP="00AB6C46">
            <w:pPr>
              <w:widowControl w:val="0"/>
              <w:autoSpaceDE w:val="0"/>
              <w:autoSpaceDN w:val="0"/>
              <w:adjustRightInd w:val="0"/>
              <w:jc w:val="center"/>
              <w:rPr>
                <w:sz w:val="16"/>
                <w:szCs w:val="16"/>
              </w:rPr>
            </w:pPr>
            <w:r w:rsidRPr="00E60668">
              <w:rPr>
                <w:sz w:val="16"/>
                <w:szCs w:val="16"/>
              </w:rPr>
              <w:t>61</w:t>
            </w:r>
          </w:p>
        </w:tc>
      </w:tr>
      <w:tr w:rsidR="00E60668" w:rsidRPr="00E60668" w14:paraId="01B48A2B" w14:textId="77777777" w:rsidTr="00E60668">
        <w:trPr>
          <w:jc w:val="center"/>
        </w:trPr>
        <w:tc>
          <w:tcPr>
            <w:tcW w:w="0" w:type="auto"/>
            <w:gridSpan w:val="4"/>
            <w:tcBorders>
              <w:top w:val="single" w:sz="4" w:space="0" w:color="auto"/>
            </w:tcBorders>
          </w:tcPr>
          <w:p w14:paraId="63BDC17B" w14:textId="6C1D5B87" w:rsidR="00E60668" w:rsidRPr="00E60668" w:rsidRDefault="00E60668" w:rsidP="00E60668">
            <w:pPr>
              <w:widowControl w:val="0"/>
              <w:autoSpaceDE w:val="0"/>
              <w:autoSpaceDN w:val="0"/>
              <w:adjustRightInd w:val="0"/>
              <w:jc w:val="both"/>
              <w:rPr>
                <w:sz w:val="16"/>
                <w:szCs w:val="16"/>
              </w:rPr>
            </w:pPr>
            <w:r w:rsidRPr="00E60668">
              <w:rPr>
                <w:sz w:val="16"/>
                <w:szCs w:val="16"/>
              </w:rPr>
              <w:t xml:space="preserve">This table presents the FINSA list of 61 SIC four-digit code critical industries (see CFIUS annual report, 2007, available at: </w:t>
            </w:r>
            <w:hyperlink r:id="rId14" w:history="1">
              <w:r w:rsidRPr="00E60668">
                <w:rPr>
                  <w:rStyle w:val="Lienhypertexte"/>
                  <w:sz w:val="16"/>
                  <w:szCs w:val="16"/>
                </w:rPr>
                <w:t>https://home.treasury.gov/system/files/206/CFIUS-Annual-Rpt-2008.pdf</w:t>
              </w:r>
            </w:hyperlink>
            <w:r w:rsidRPr="00E60668">
              <w:rPr>
                <w:sz w:val="16"/>
                <w:szCs w:val="16"/>
              </w:rPr>
              <w:t xml:space="preserve"> ).</w:t>
            </w:r>
          </w:p>
        </w:tc>
      </w:tr>
    </w:tbl>
    <w:p w14:paraId="629029E6" w14:textId="202A6CCD" w:rsidR="00641D6D" w:rsidRPr="00AD55AA" w:rsidRDefault="00641D6D">
      <w:pPr>
        <w:spacing w:after="160" w:line="259" w:lineRule="auto"/>
        <w:rPr>
          <w:rFonts w:eastAsiaTheme="minorEastAsia"/>
          <w:szCs w:val="20"/>
          <w:lang w:eastAsia="zh-CN"/>
        </w:rPr>
      </w:pPr>
      <w:r w:rsidRPr="00AD55AA">
        <w:rPr>
          <w:rStyle w:val="Normal2Car"/>
        </w:rPr>
        <w:br w:type="page"/>
      </w:r>
    </w:p>
    <w:tbl>
      <w:tblPr>
        <w:tblpPr w:leftFromText="180" w:rightFromText="180" w:vertAnchor="page" w:horzAnchor="margin" w:tblpXSpec="center" w:tblpY="916"/>
        <w:tblW w:w="0" w:type="auto"/>
        <w:tblLook w:val="0000" w:firstRow="0" w:lastRow="0" w:firstColumn="0" w:lastColumn="0" w:noHBand="0" w:noVBand="0"/>
      </w:tblPr>
      <w:tblGrid>
        <w:gridCol w:w="1522"/>
        <w:gridCol w:w="6341"/>
        <w:gridCol w:w="630"/>
        <w:gridCol w:w="574"/>
      </w:tblGrid>
      <w:tr w:rsidR="0076530D" w:rsidRPr="00AD55AA" w14:paraId="672C0971" w14:textId="77777777" w:rsidTr="00C91FF7">
        <w:trPr>
          <w:gridAfter w:val="1"/>
        </w:trPr>
        <w:tc>
          <w:tcPr>
            <w:tcW w:w="0" w:type="auto"/>
            <w:gridSpan w:val="3"/>
            <w:tcBorders>
              <w:left w:val="nil"/>
              <w:bottom w:val="nil"/>
              <w:right w:val="nil"/>
            </w:tcBorders>
          </w:tcPr>
          <w:p w14:paraId="2E7204B9" w14:textId="2A15769E" w:rsidR="0076530D" w:rsidRPr="00AD55AA" w:rsidRDefault="0076530D" w:rsidP="00AB6C46">
            <w:pPr>
              <w:widowControl w:val="0"/>
              <w:autoSpaceDE w:val="0"/>
              <w:autoSpaceDN w:val="0"/>
              <w:adjustRightInd w:val="0"/>
              <w:jc w:val="both"/>
              <w:rPr>
                <w:sz w:val="22"/>
                <w:szCs w:val="22"/>
              </w:rPr>
            </w:pPr>
            <w:r w:rsidRPr="00AD55AA">
              <w:rPr>
                <w:b/>
              </w:rPr>
              <w:lastRenderedPageBreak/>
              <w:t xml:space="preserve">Appendix </w:t>
            </w:r>
            <w:r w:rsidR="009A2F4F" w:rsidRPr="00AD55AA">
              <w:rPr>
                <w:b/>
              </w:rPr>
              <w:t>C</w:t>
            </w:r>
            <w:r w:rsidR="00E00313">
              <w:rPr>
                <w:b/>
              </w:rPr>
              <w:t xml:space="preserve"> – Variable d</w:t>
            </w:r>
            <w:r w:rsidRPr="00AD55AA">
              <w:rPr>
                <w:b/>
              </w:rPr>
              <w:t>efinitions</w:t>
            </w:r>
            <w:r w:rsidR="00E00313">
              <w:rPr>
                <w:b/>
              </w:rPr>
              <w:t xml:space="preserve"> and data s</w:t>
            </w:r>
            <w:r w:rsidR="00B8729E">
              <w:rPr>
                <w:b/>
              </w:rPr>
              <w:t>ources</w:t>
            </w:r>
          </w:p>
        </w:tc>
      </w:tr>
      <w:tr w:rsidR="0076530D" w:rsidRPr="00AD55AA" w14:paraId="6DB6CF4D" w14:textId="77777777" w:rsidTr="00C91FF7">
        <w:tc>
          <w:tcPr>
            <w:tcW w:w="0" w:type="auto"/>
            <w:tcBorders>
              <w:left w:val="nil"/>
              <w:bottom w:val="nil"/>
              <w:right w:val="nil"/>
            </w:tcBorders>
          </w:tcPr>
          <w:p w14:paraId="1F7324E5" w14:textId="77777777" w:rsidR="0076530D" w:rsidRPr="00AD55AA" w:rsidRDefault="0076530D" w:rsidP="00AB6C46">
            <w:pPr>
              <w:widowControl w:val="0"/>
              <w:autoSpaceDE w:val="0"/>
              <w:autoSpaceDN w:val="0"/>
              <w:adjustRightInd w:val="0"/>
              <w:rPr>
                <w:sz w:val="22"/>
                <w:szCs w:val="22"/>
              </w:rPr>
            </w:pPr>
          </w:p>
        </w:tc>
        <w:tc>
          <w:tcPr>
            <w:tcW w:w="0" w:type="auto"/>
            <w:tcBorders>
              <w:left w:val="nil"/>
              <w:bottom w:val="nil"/>
              <w:right w:val="nil"/>
            </w:tcBorders>
          </w:tcPr>
          <w:p w14:paraId="1F5B2DCD" w14:textId="77777777" w:rsidR="0076530D" w:rsidRPr="00AD55AA" w:rsidRDefault="0076530D" w:rsidP="00AB6C46">
            <w:pPr>
              <w:widowControl w:val="0"/>
              <w:autoSpaceDE w:val="0"/>
              <w:autoSpaceDN w:val="0"/>
              <w:adjustRightInd w:val="0"/>
              <w:jc w:val="center"/>
              <w:rPr>
                <w:sz w:val="22"/>
                <w:szCs w:val="22"/>
              </w:rPr>
            </w:pPr>
          </w:p>
        </w:tc>
        <w:tc>
          <w:tcPr>
            <w:tcW w:w="0" w:type="auto"/>
            <w:gridSpan w:val="2"/>
            <w:tcBorders>
              <w:left w:val="nil"/>
              <w:bottom w:val="nil"/>
              <w:right w:val="nil"/>
            </w:tcBorders>
          </w:tcPr>
          <w:p w14:paraId="07F8C554" w14:textId="77777777" w:rsidR="0076530D" w:rsidRPr="00AD55AA" w:rsidRDefault="0076530D" w:rsidP="00AB6C46">
            <w:pPr>
              <w:widowControl w:val="0"/>
              <w:autoSpaceDE w:val="0"/>
              <w:autoSpaceDN w:val="0"/>
              <w:adjustRightInd w:val="0"/>
              <w:jc w:val="both"/>
              <w:rPr>
                <w:sz w:val="22"/>
                <w:szCs w:val="22"/>
              </w:rPr>
            </w:pPr>
          </w:p>
        </w:tc>
      </w:tr>
      <w:tr w:rsidR="0076530D" w:rsidRPr="00AD55AA" w14:paraId="4602E048" w14:textId="77777777" w:rsidTr="00C91FF7">
        <w:tc>
          <w:tcPr>
            <w:tcW w:w="0" w:type="auto"/>
            <w:tcBorders>
              <w:top w:val="single" w:sz="4" w:space="0" w:color="auto"/>
              <w:left w:val="nil"/>
              <w:bottom w:val="nil"/>
              <w:right w:val="nil"/>
            </w:tcBorders>
          </w:tcPr>
          <w:p w14:paraId="193BA81F" w14:textId="77777777" w:rsidR="0076530D" w:rsidRPr="00AD55AA" w:rsidRDefault="0076530D" w:rsidP="00AB6C46">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20AD7D83" w14:textId="77777777" w:rsidR="0076530D" w:rsidRPr="00AD55AA" w:rsidRDefault="0076530D" w:rsidP="00AB6C46">
            <w:pPr>
              <w:widowControl w:val="0"/>
              <w:autoSpaceDE w:val="0"/>
              <w:autoSpaceDN w:val="0"/>
              <w:adjustRightInd w:val="0"/>
              <w:jc w:val="center"/>
              <w:rPr>
                <w:sz w:val="22"/>
                <w:szCs w:val="22"/>
              </w:rPr>
            </w:pPr>
          </w:p>
        </w:tc>
        <w:tc>
          <w:tcPr>
            <w:tcW w:w="0" w:type="auto"/>
            <w:gridSpan w:val="2"/>
            <w:tcBorders>
              <w:top w:val="single" w:sz="4" w:space="0" w:color="auto"/>
              <w:left w:val="nil"/>
              <w:bottom w:val="nil"/>
              <w:right w:val="nil"/>
            </w:tcBorders>
          </w:tcPr>
          <w:p w14:paraId="3AB4D2AC" w14:textId="77777777" w:rsidR="0076530D" w:rsidRPr="00AD55AA" w:rsidRDefault="0076530D" w:rsidP="00AB6C46">
            <w:pPr>
              <w:widowControl w:val="0"/>
              <w:autoSpaceDE w:val="0"/>
              <w:autoSpaceDN w:val="0"/>
              <w:adjustRightInd w:val="0"/>
              <w:jc w:val="both"/>
              <w:rPr>
                <w:sz w:val="22"/>
                <w:szCs w:val="22"/>
              </w:rPr>
            </w:pPr>
          </w:p>
        </w:tc>
      </w:tr>
      <w:tr w:rsidR="0076530D" w:rsidRPr="00AD55AA" w14:paraId="38AF25E3" w14:textId="77777777" w:rsidTr="00C91FF7">
        <w:tc>
          <w:tcPr>
            <w:tcW w:w="0" w:type="auto"/>
            <w:tcBorders>
              <w:top w:val="nil"/>
              <w:left w:val="nil"/>
              <w:bottom w:val="single" w:sz="4" w:space="0" w:color="auto"/>
              <w:right w:val="nil"/>
            </w:tcBorders>
          </w:tcPr>
          <w:p w14:paraId="77631527" w14:textId="77777777" w:rsidR="0076530D" w:rsidRPr="00AD55AA" w:rsidRDefault="0076530D" w:rsidP="00AB6C46">
            <w:pPr>
              <w:widowControl w:val="0"/>
              <w:autoSpaceDE w:val="0"/>
              <w:autoSpaceDN w:val="0"/>
              <w:adjustRightInd w:val="0"/>
              <w:rPr>
                <w:b/>
                <w:sz w:val="22"/>
                <w:szCs w:val="22"/>
              </w:rPr>
            </w:pPr>
            <w:r w:rsidRPr="00AD55AA">
              <w:rPr>
                <w:b/>
                <w:sz w:val="22"/>
                <w:szCs w:val="22"/>
              </w:rPr>
              <w:t>Independent:</w:t>
            </w:r>
          </w:p>
        </w:tc>
        <w:tc>
          <w:tcPr>
            <w:tcW w:w="0" w:type="auto"/>
            <w:tcBorders>
              <w:top w:val="nil"/>
              <w:left w:val="nil"/>
              <w:bottom w:val="single" w:sz="4" w:space="0" w:color="auto"/>
              <w:right w:val="nil"/>
            </w:tcBorders>
          </w:tcPr>
          <w:p w14:paraId="2F2F61B2" w14:textId="77777777" w:rsidR="0076530D" w:rsidRPr="00AD55AA" w:rsidRDefault="0076530D" w:rsidP="00AB6C46">
            <w:pPr>
              <w:widowControl w:val="0"/>
              <w:autoSpaceDE w:val="0"/>
              <w:autoSpaceDN w:val="0"/>
              <w:adjustRightInd w:val="0"/>
              <w:rPr>
                <w:b/>
                <w:sz w:val="22"/>
                <w:szCs w:val="22"/>
              </w:rPr>
            </w:pPr>
            <w:r w:rsidRPr="00AD55AA">
              <w:rPr>
                <w:b/>
                <w:sz w:val="22"/>
                <w:szCs w:val="22"/>
              </w:rPr>
              <w:t>Definition:</w:t>
            </w:r>
          </w:p>
        </w:tc>
        <w:tc>
          <w:tcPr>
            <w:tcW w:w="0" w:type="auto"/>
            <w:gridSpan w:val="2"/>
            <w:tcBorders>
              <w:top w:val="nil"/>
              <w:left w:val="nil"/>
              <w:bottom w:val="single" w:sz="4" w:space="0" w:color="auto"/>
              <w:right w:val="nil"/>
            </w:tcBorders>
          </w:tcPr>
          <w:p w14:paraId="47C3AC20" w14:textId="77777777" w:rsidR="0076530D" w:rsidRPr="00AD55AA" w:rsidRDefault="0076530D" w:rsidP="00AB6C46">
            <w:pPr>
              <w:widowControl w:val="0"/>
              <w:autoSpaceDE w:val="0"/>
              <w:autoSpaceDN w:val="0"/>
              <w:adjustRightInd w:val="0"/>
              <w:jc w:val="both"/>
              <w:rPr>
                <w:b/>
                <w:sz w:val="22"/>
                <w:szCs w:val="22"/>
              </w:rPr>
            </w:pPr>
            <w:r w:rsidRPr="00AD55AA">
              <w:rPr>
                <w:b/>
                <w:sz w:val="22"/>
                <w:szCs w:val="22"/>
              </w:rPr>
              <w:t>Source:</w:t>
            </w:r>
          </w:p>
        </w:tc>
      </w:tr>
      <w:tr w:rsidR="0076530D" w:rsidRPr="00AD55AA" w14:paraId="7737249E" w14:textId="77777777" w:rsidTr="00C91FF7">
        <w:tc>
          <w:tcPr>
            <w:tcW w:w="0" w:type="auto"/>
            <w:tcBorders>
              <w:top w:val="single" w:sz="4" w:space="0" w:color="auto"/>
              <w:left w:val="nil"/>
              <w:bottom w:val="nil"/>
              <w:right w:val="nil"/>
            </w:tcBorders>
          </w:tcPr>
          <w:p w14:paraId="324D3C46" w14:textId="77777777" w:rsidR="0076530D" w:rsidRPr="00AD55AA" w:rsidRDefault="0076530D" w:rsidP="00AB6C46">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580E15DB" w14:textId="77777777" w:rsidR="0076530D" w:rsidRPr="00AD55AA" w:rsidRDefault="0076530D" w:rsidP="00AB6C46">
            <w:pPr>
              <w:widowControl w:val="0"/>
              <w:autoSpaceDE w:val="0"/>
              <w:autoSpaceDN w:val="0"/>
              <w:adjustRightInd w:val="0"/>
              <w:jc w:val="center"/>
              <w:rPr>
                <w:sz w:val="22"/>
                <w:szCs w:val="22"/>
              </w:rPr>
            </w:pPr>
          </w:p>
        </w:tc>
        <w:tc>
          <w:tcPr>
            <w:tcW w:w="0" w:type="auto"/>
            <w:gridSpan w:val="2"/>
            <w:tcBorders>
              <w:top w:val="single" w:sz="4" w:space="0" w:color="auto"/>
              <w:left w:val="nil"/>
              <w:bottom w:val="nil"/>
              <w:right w:val="nil"/>
            </w:tcBorders>
          </w:tcPr>
          <w:p w14:paraId="2F6956E4" w14:textId="77777777" w:rsidR="0076530D" w:rsidRPr="00AD55AA" w:rsidRDefault="0076530D" w:rsidP="00AB6C46">
            <w:pPr>
              <w:widowControl w:val="0"/>
              <w:autoSpaceDE w:val="0"/>
              <w:autoSpaceDN w:val="0"/>
              <w:adjustRightInd w:val="0"/>
              <w:jc w:val="both"/>
              <w:rPr>
                <w:sz w:val="22"/>
                <w:szCs w:val="22"/>
              </w:rPr>
            </w:pPr>
          </w:p>
        </w:tc>
      </w:tr>
      <w:tr w:rsidR="0076530D" w:rsidRPr="00AD55AA" w14:paraId="6F799839" w14:textId="77777777" w:rsidTr="00C91FF7">
        <w:tc>
          <w:tcPr>
            <w:tcW w:w="0" w:type="auto"/>
            <w:tcBorders>
              <w:left w:val="nil"/>
              <w:right w:val="nil"/>
            </w:tcBorders>
          </w:tcPr>
          <w:p w14:paraId="1984BFA8" w14:textId="1F2943D3" w:rsidR="0076530D" w:rsidRPr="00AD55AA" w:rsidRDefault="0076530D" w:rsidP="00AB6C46">
            <w:pPr>
              <w:widowControl w:val="0"/>
              <w:autoSpaceDE w:val="0"/>
              <w:autoSpaceDN w:val="0"/>
              <w:adjustRightInd w:val="0"/>
              <w:rPr>
                <w:sz w:val="22"/>
                <w:szCs w:val="22"/>
              </w:rPr>
            </w:pPr>
            <w:r w:rsidRPr="00AD55AA">
              <w:rPr>
                <w:sz w:val="22"/>
                <w:szCs w:val="22"/>
              </w:rPr>
              <w:t>Treatment group</w:t>
            </w:r>
          </w:p>
        </w:tc>
        <w:tc>
          <w:tcPr>
            <w:tcW w:w="0" w:type="auto"/>
            <w:tcBorders>
              <w:left w:val="nil"/>
              <w:right w:val="nil"/>
            </w:tcBorders>
          </w:tcPr>
          <w:p w14:paraId="14B9460F" w14:textId="1F863751" w:rsidR="0076530D" w:rsidRPr="00AD55AA" w:rsidRDefault="0076530D" w:rsidP="00DC0E3F">
            <w:pPr>
              <w:widowControl w:val="0"/>
              <w:autoSpaceDE w:val="0"/>
              <w:autoSpaceDN w:val="0"/>
              <w:adjustRightInd w:val="0"/>
              <w:jc w:val="both"/>
              <w:rPr>
                <w:sz w:val="22"/>
                <w:szCs w:val="22"/>
              </w:rPr>
            </w:pPr>
            <w:r w:rsidRPr="00AD55AA">
              <w:rPr>
                <w:sz w:val="22"/>
                <w:szCs w:val="22"/>
              </w:rPr>
              <w:t xml:space="preserve">It is an indicator variable equal to one for </w:t>
            </w:r>
            <w:r w:rsidR="00DC0E3F">
              <w:rPr>
                <w:sz w:val="22"/>
                <w:szCs w:val="22"/>
              </w:rPr>
              <w:t>peers</w:t>
            </w:r>
            <w:r w:rsidRPr="00AD55AA">
              <w:rPr>
                <w:sz w:val="22"/>
                <w:szCs w:val="22"/>
              </w:rPr>
              <w:t xml:space="preserve"> belonging to the industry of the target of </w:t>
            </w:r>
            <w:r w:rsidR="00324287" w:rsidRPr="00AD55AA">
              <w:rPr>
                <w:sz w:val="22"/>
                <w:szCs w:val="22"/>
              </w:rPr>
              <w:t>a</w:t>
            </w:r>
            <w:r w:rsidRPr="00AD55AA">
              <w:rPr>
                <w:sz w:val="22"/>
                <w:szCs w:val="22"/>
              </w:rPr>
              <w:t xml:space="preserve"> blocked </w:t>
            </w:r>
            <w:r w:rsidR="00FE0AB5" w:rsidRPr="00AD55AA">
              <w:rPr>
                <w:sz w:val="22"/>
                <w:szCs w:val="22"/>
              </w:rPr>
              <w:t>acquisition</w:t>
            </w:r>
            <w:r w:rsidRPr="00AD55AA">
              <w:rPr>
                <w:sz w:val="22"/>
                <w:szCs w:val="22"/>
              </w:rPr>
              <w:t xml:space="preserve"> and zero otherwise. According to Hoberg and Phillips (</w:t>
            </w:r>
            <w:r w:rsidR="005B0FE9" w:rsidRPr="00AD55AA">
              <w:rPr>
                <w:sz w:val="22"/>
                <w:szCs w:val="22"/>
              </w:rPr>
              <w:t>2010</w:t>
            </w:r>
            <w:r w:rsidR="003D50A8">
              <w:rPr>
                <w:sz w:val="22"/>
                <w:szCs w:val="22"/>
              </w:rPr>
              <w:t>),</w:t>
            </w:r>
            <w:r w:rsidR="005B0FE9" w:rsidRPr="00AD55AA">
              <w:rPr>
                <w:sz w:val="22"/>
                <w:szCs w:val="22"/>
              </w:rPr>
              <w:t xml:space="preserve"> </w:t>
            </w:r>
            <w:r w:rsidR="003D50A8">
              <w:rPr>
                <w:sz w:val="22"/>
                <w:szCs w:val="22"/>
              </w:rPr>
              <w:t>(</w:t>
            </w:r>
            <w:r w:rsidRPr="00AD55AA">
              <w:rPr>
                <w:sz w:val="22"/>
                <w:szCs w:val="22"/>
              </w:rPr>
              <w:t>2016), industry classifications are based on firm pairwise similarity scores from textual analysis of firm 10-K product descriptions. Data are publicly available at:</w:t>
            </w:r>
            <w:r w:rsidRPr="00AD55AA">
              <w:t xml:space="preserve"> </w:t>
            </w:r>
            <w:hyperlink r:id="rId15" w:history="1">
              <w:r w:rsidRPr="00AD55AA">
                <w:rPr>
                  <w:rStyle w:val="Lienhypertexte"/>
                  <w:sz w:val="22"/>
                  <w:szCs w:val="22"/>
                </w:rPr>
                <w:t>https://hobergphillips.tuck.dartmouth.edu/industryclass.htm</w:t>
              </w:r>
            </w:hyperlink>
            <w:r w:rsidRPr="00AD55AA">
              <w:rPr>
                <w:sz w:val="22"/>
                <w:szCs w:val="22"/>
              </w:rPr>
              <w:t xml:space="preserve"> </w:t>
            </w:r>
          </w:p>
        </w:tc>
        <w:tc>
          <w:tcPr>
            <w:tcW w:w="0" w:type="auto"/>
            <w:gridSpan w:val="2"/>
            <w:tcBorders>
              <w:left w:val="nil"/>
              <w:right w:val="nil"/>
            </w:tcBorders>
          </w:tcPr>
          <w:p w14:paraId="22C15F81" w14:textId="5CB19719" w:rsidR="0076530D" w:rsidRPr="00AD55AA" w:rsidRDefault="0076530D" w:rsidP="00AB6C46">
            <w:pPr>
              <w:widowControl w:val="0"/>
              <w:autoSpaceDE w:val="0"/>
              <w:autoSpaceDN w:val="0"/>
              <w:adjustRightInd w:val="0"/>
              <w:jc w:val="both"/>
              <w:rPr>
                <w:sz w:val="22"/>
                <w:szCs w:val="22"/>
              </w:rPr>
            </w:pPr>
            <w:r w:rsidRPr="00AD55AA">
              <w:rPr>
                <w:sz w:val="22"/>
                <w:szCs w:val="22"/>
              </w:rPr>
              <w:t>Hoberg Phillips</w:t>
            </w:r>
          </w:p>
        </w:tc>
      </w:tr>
      <w:tr w:rsidR="0076530D" w:rsidRPr="00AD55AA" w14:paraId="189C98FA" w14:textId="77777777" w:rsidTr="00C91FF7">
        <w:tc>
          <w:tcPr>
            <w:tcW w:w="0" w:type="auto"/>
            <w:tcBorders>
              <w:left w:val="nil"/>
              <w:right w:val="nil"/>
            </w:tcBorders>
          </w:tcPr>
          <w:p w14:paraId="26D1C409" w14:textId="77777777" w:rsidR="0076530D" w:rsidRPr="00AD55AA" w:rsidRDefault="0076530D" w:rsidP="00AB6C46">
            <w:pPr>
              <w:widowControl w:val="0"/>
              <w:autoSpaceDE w:val="0"/>
              <w:autoSpaceDN w:val="0"/>
              <w:adjustRightInd w:val="0"/>
              <w:rPr>
                <w:sz w:val="22"/>
                <w:szCs w:val="22"/>
              </w:rPr>
            </w:pPr>
          </w:p>
        </w:tc>
        <w:tc>
          <w:tcPr>
            <w:tcW w:w="0" w:type="auto"/>
            <w:tcBorders>
              <w:left w:val="nil"/>
              <w:right w:val="nil"/>
            </w:tcBorders>
          </w:tcPr>
          <w:p w14:paraId="585A5486" w14:textId="77777777" w:rsidR="0076530D" w:rsidRPr="00AD55AA" w:rsidRDefault="0076530D" w:rsidP="00AB6C46">
            <w:pPr>
              <w:widowControl w:val="0"/>
              <w:autoSpaceDE w:val="0"/>
              <w:autoSpaceDN w:val="0"/>
              <w:adjustRightInd w:val="0"/>
              <w:jc w:val="both"/>
              <w:rPr>
                <w:sz w:val="22"/>
                <w:szCs w:val="22"/>
              </w:rPr>
            </w:pPr>
          </w:p>
        </w:tc>
        <w:tc>
          <w:tcPr>
            <w:tcW w:w="0" w:type="auto"/>
            <w:gridSpan w:val="2"/>
            <w:tcBorders>
              <w:left w:val="nil"/>
              <w:right w:val="nil"/>
            </w:tcBorders>
          </w:tcPr>
          <w:p w14:paraId="1C698EEB" w14:textId="77777777" w:rsidR="0076530D" w:rsidRPr="00AD55AA" w:rsidRDefault="0076530D" w:rsidP="00AB6C46">
            <w:pPr>
              <w:widowControl w:val="0"/>
              <w:autoSpaceDE w:val="0"/>
              <w:autoSpaceDN w:val="0"/>
              <w:adjustRightInd w:val="0"/>
              <w:jc w:val="both"/>
              <w:rPr>
                <w:sz w:val="22"/>
                <w:szCs w:val="22"/>
              </w:rPr>
            </w:pPr>
          </w:p>
        </w:tc>
      </w:tr>
      <w:tr w:rsidR="0076530D" w:rsidRPr="00AD55AA" w14:paraId="0069F639" w14:textId="77777777" w:rsidTr="00C91FF7">
        <w:tc>
          <w:tcPr>
            <w:tcW w:w="0" w:type="auto"/>
            <w:tcBorders>
              <w:left w:val="nil"/>
              <w:right w:val="nil"/>
            </w:tcBorders>
          </w:tcPr>
          <w:p w14:paraId="369447B7" w14:textId="77777777" w:rsidR="0076530D" w:rsidRPr="00AD55AA" w:rsidRDefault="0076530D" w:rsidP="00AB6C46">
            <w:pPr>
              <w:widowControl w:val="0"/>
              <w:autoSpaceDE w:val="0"/>
              <w:autoSpaceDN w:val="0"/>
              <w:adjustRightInd w:val="0"/>
              <w:rPr>
                <w:sz w:val="22"/>
                <w:szCs w:val="22"/>
              </w:rPr>
            </w:pPr>
            <w:r w:rsidRPr="00AD55AA">
              <w:rPr>
                <w:sz w:val="22"/>
                <w:szCs w:val="22"/>
              </w:rPr>
              <w:t xml:space="preserve">CFIUS Block </w:t>
            </w:r>
          </w:p>
        </w:tc>
        <w:tc>
          <w:tcPr>
            <w:tcW w:w="0" w:type="auto"/>
            <w:tcBorders>
              <w:left w:val="nil"/>
              <w:right w:val="nil"/>
            </w:tcBorders>
          </w:tcPr>
          <w:p w14:paraId="719012D1" w14:textId="5049761C" w:rsidR="0076530D" w:rsidRPr="00AD55AA" w:rsidRDefault="0015646D" w:rsidP="00AB6C46">
            <w:pPr>
              <w:widowControl w:val="0"/>
              <w:autoSpaceDE w:val="0"/>
              <w:autoSpaceDN w:val="0"/>
              <w:adjustRightInd w:val="0"/>
              <w:jc w:val="both"/>
              <w:rPr>
                <w:sz w:val="22"/>
                <w:szCs w:val="22"/>
              </w:rPr>
            </w:pPr>
            <w:r w:rsidRPr="00AD55AA">
              <w:rPr>
                <w:sz w:val="22"/>
                <w:szCs w:val="22"/>
              </w:rPr>
              <w:t xml:space="preserve">This variable is the interaction term between </w:t>
            </w:r>
            <w:r w:rsidR="00324287" w:rsidRPr="00AD55AA">
              <w:rPr>
                <w:sz w:val="22"/>
                <w:szCs w:val="22"/>
              </w:rPr>
              <w:t xml:space="preserve">the </w:t>
            </w:r>
            <w:r w:rsidRPr="00AD55AA">
              <w:rPr>
                <w:sz w:val="22"/>
                <w:szCs w:val="22"/>
              </w:rPr>
              <w:t xml:space="preserve">“treatment group” and “post CFIUS interventions”. </w:t>
            </w:r>
            <w:r w:rsidR="0076530D" w:rsidRPr="00AD55AA">
              <w:rPr>
                <w:sz w:val="22"/>
                <w:szCs w:val="22"/>
              </w:rPr>
              <w:t>It is an indicator variable equal to one for the three firm-year observations after CFIUS interventions and zero otherwise.</w:t>
            </w:r>
          </w:p>
        </w:tc>
        <w:tc>
          <w:tcPr>
            <w:tcW w:w="0" w:type="auto"/>
            <w:gridSpan w:val="2"/>
            <w:tcBorders>
              <w:left w:val="nil"/>
              <w:right w:val="nil"/>
            </w:tcBorders>
          </w:tcPr>
          <w:p w14:paraId="3F2EC5E0" w14:textId="1FC12958" w:rsidR="0076530D" w:rsidRPr="00AD55AA" w:rsidRDefault="00A73F44" w:rsidP="00AB6C46">
            <w:pPr>
              <w:widowControl w:val="0"/>
              <w:autoSpaceDE w:val="0"/>
              <w:autoSpaceDN w:val="0"/>
              <w:adjustRightInd w:val="0"/>
              <w:jc w:val="both"/>
              <w:rPr>
                <w:sz w:val="22"/>
                <w:szCs w:val="22"/>
              </w:rPr>
            </w:pPr>
            <w:r w:rsidRPr="00AD55AA">
              <w:rPr>
                <w:sz w:val="22"/>
                <w:szCs w:val="22"/>
              </w:rPr>
              <w:t>Factiva, SEC EDGAR</w:t>
            </w:r>
          </w:p>
        </w:tc>
      </w:tr>
      <w:tr w:rsidR="00DE3298" w:rsidRPr="00AD55AA" w14:paraId="6DB62BDF" w14:textId="77777777" w:rsidTr="00C91FF7">
        <w:tc>
          <w:tcPr>
            <w:tcW w:w="0" w:type="auto"/>
            <w:tcBorders>
              <w:top w:val="nil"/>
              <w:left w:val="nil"/>
              <w:bottom w:val="nil"/>
              <w:right w:val="nil"/>
            </w:tcBorders>
          </w:tcPr>
          <w:p w14:paraId="7C35C44D"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nil"/>
              <w:right w:val="nil"/>
            </w:tcBorders>
          </w:tcPr>
          <w:p w14:paraId="35B8C465" w14:textId="77777777" w:rsidR="00DE3298" w:rsidRPr="00AD55AA" w:rsidRDefault="00DE3298" w:rsidP="00DE3298">
            <w:pPr>
              <w:widowControl w:val="0"/>
              <w:autoSpaceDE w:val="0"/>
              <w:autoSpaceDN w:val="0"/>
              <w:adjustRightInd w:val="0"/>
              <w:jc w:val="center"/>
              <w:rPr>
                <w:sz w:val="22"/>
                <w:szCs w:val="22"/>
              </w:rPr>
            </w:pPr>
          </w:p>
        </w:tc>
        <w:tc>
          <w:tcPr>
            <w:tcW w:w="0" w:type="auto"/>
            <w:gridSpan w:val="2"/>
            <w:tcBorders>
              <w:top w:val="nil"/>
              <w:left w:val="nil"/>
              <w:bottom w:val="nil"/>
              <w:right w:val="nil"/>
            </w:tcBorders>
          </w:tcPr>
          <w:p w14:paraId="0C532B70"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159072AB" w14:textId="77777777" w:rsidTr="00C91FF7">
        <w:tc>
          <w:tcPr>
            <w:tcW w:w="0" w:type="auto"/>
            <w:tcBorders>
              <w:top w:val="single" w:sz="4" w:space="0" w:color="auto"/>
              <w:left w:val="nil"/>
              <w:bottom w:val="nil"/>
              <w:right w:val="nil"/>
            </w:tcBorders>
          </w:tcPr>
          <w:p w14:paraId="00BDEF18" w14:textId="77777777" w:rsidR="00DE3298" w:rsidRPr="00AD55AA" w:rsidRDefault="00DE3298" w:rsidP="00DE3298">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118A208C" w14:textId="77777777" w:rsidR="00DE3298" w:rsidRPr="00AD55AA" w:rsidRDefault="00DE3298" w:rsidP="00DE3298">
            <w:pPr>
              <w:widowControl w:val="0"/>
              <w:autoSpaceDE w:val="0"/>
              <w:autoSpaceDN w:val="0"/>
              <w:adjustRightInd w:val="0"/>
              <w:jc w:val="center"/>
              <w:rPr>
                <w:sz w:val="22"/>
                <w:szCs w:val="22"/>
              </w:rPr>
            </w:pPr>
          </w:p>
        </w:tc>
        <w:tc>
          <w:tcPr>
            <w:tcW w:w="0" w:type="auto"/>
            <w:gridSpan w:val="2"/>
            <w:tcBorders>
              <w:top w:val="single" w:sz="4" w:space="0" w:color="auto"/>
              <w:left w:val="nil"/>
              <w:bottom w:val="nil"/>
              <w:right w:val="nil"/>
            </w:tcBorders>
          </w:tcPr>
          <w:p w14:paraId="7B0F5082"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0E7BD25B" w14:textId="77777777" w:rsidTr="00C91FF7">
        <w:tc>
          <w:tcPr>
            <w:tcW w:w="0" w:type="auto"/>
            <w:tcBorders>
              <w:top w:val="nil"/>
              <w:left w:val="nil"/>
              <w:bottom w:val="single" w:sz="4" w:space="0" w:color="auto"/>
              <w:right w:val="nil"/>
            </w:tcBorders>
          </w:tcPr>
          <w:p w14:paraId="618BC77C" w14:textId="77777777" w:rsidR="00DE3298" w:rsidRPr="00AD55AA" w:rsidRDefault="00DE3298" w:rsidP="00DE3298">
            <w:pPr>
              <w:widowControl w:val="0"/>
              <w:autoSpaceDE w:val="0"/>
              <w:autoSpaceDN w:val="0"/>
              <w:adjustRightInd w:val="0"/>
              <w:rPr>
                <w:sz w:val="22"/>
                <w:szCs w:val="22"/>
              </w:rPr>
            </w:pPr>
            <w:r w:rsidRPr="00AD55AA">
              <w:rPr>
                <w:b/>
                <w:sz w:val="22"/>
                <w:szCs w:val="22"/>
              </w:rPr>
              <w:t>Dependent:</w:t>
            </w:r>
          </w:p>
        </w:tc>
        <w:tc>
          <w:tcPr>
            <w:tcW w:w="0" w:type="auto"/>
            <w:tcBorders>
              <w:top w:val="nil"/>
              <w:left w:val="nil"/>
              <w:bottom w:val="single" w:sz="4" w:space="0" w:color="auto"/>
              <w:right w:val="nil"/>
            </w:tcBorders>
          </w:tcPr>
          <w:p w14:paraId="4A70D72F" w14:textId="77777777" w:rsidR="00DE3298" w:rsidRPr="00AD55AA" w:rsidRDefault="00DE3298" w:rsidP="00DE3298">
            <w:pPr>
              <w:widowControl w:val="0"/>
              <w:autoSpaceDE w:val="0"/>
              <w:autoSpaceDN w:val="0"/>
              <w:adjustRightInd w:val="0"/>
              <w:jc w:val="center"/>
              <w:rPr>
                <w:sz w:val="22"/>
                <w:szCs w:val="22"/>
              </w:rPr>
            </w:pPr>
          </w:p>
        </w:tc>
        <w:tc>
          <w:tcPr>
            <w:tcW w:w="0" w:type="auto"/>
            <w:gridSpan w:val="2"/>
            <w:tcBorders>
              <w:top w:val="nil"/>
              <w:left w:val="nil"/>
              <w:bottom w:val="single" w:sz="4" w:space="0" w:color="auto"/>
              <w:right w:val="nil"/>
            </w:tcBorders>
          </w:tcPr>
          <w:p w14:paraId="65FBF891"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7B7E1BCE" w14:textId="77777777" w:rsidTr="00C91FF7">
        <w:tc>
          <w:tcPr>
            <w:tcW w:w="0" w:type="auto"/>
            <w:tcBorders>
              <w:top w:val="nil"/>
              <w:left w:val="nil"/>
              <w:bottom w:val="nil"/>
              <w:right w:val="nil"/>
            </w:tcBorders>
          </w:tcPr>
          <w:p w14:paraId="3F41B451"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nil"/>
              <w:right w:val="nil"/>
            </w:tcBorders>
          </w:tcPr>
          <w:p w14:paraId="56AF574C"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1FB4F094"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56CD5D3C" w14:textId="77777777" w:rsidTr="00C91FF7">
        <w:tc>
          <w:tcPr>
            <w:tcW w:w="0" w:type="auto"/>
            <w:tcBorders>
              <w:left w:val="nil"/>
              <w:bottom w:val="nil"/>
              <w:right w:val="nil"/>
            </w:tcBorders>
          </w:tcPr>
          <w:p w14:paraId="2FFD96F6" w14:textId="77777777" w:rsidR="00DE3298" w:rsidRPr="00AD55AA" w:rsidRDefault="00DE3298" w:rsidP="00DE3298">
            <w:pPr>
              <w:widowControl w:val="0"/>
              <w:autoSpaceDE w:val="0"/>
              <w:autoSpaceDN w:val="0"/>
              <w:adjustRightInd w:val="0"/>
              <w:rPr>
                <w:sz w:val="22"/>
                <w:szCs w:val="22"/>
              </w:rPr>
            </w:pPr>
            <w:r w:rsidRPr="00AD55AA">
              <w:rPr>
                <w:sz w:val="22"/>
                <w:szCs w:val="22"/>
              </w:rPr>
              <w:t>Capex</w:t>
            </w:r>
          </w:p>
        </w:tc>
        <w:tc>
          <w:tcPr>
            <w:tcW w:w="0" w:type="auto"/>
            <w:tcBorders>
              <w:left w:val="nil"/>
              <w:bottom w:val="nil"/>
              <w:right w:val="nil"/>
            </w:tcBorders>
          </w:tcPr>
          <w:p w14:paraId="2E952F37" w14:textId="703AB2A3" w:rsidR="00DE3298" w:rsidRPr="00AD55AA" w:rsidRDefault="00DE3298" w:rsidP="00DE3298">
            <w:pPr>
              <w:widowControl w:val="0"/>
              <w:autoSpaceDE w:val="0"/>
              <w:autoSpaceDN w:val="0"/>
              <w:adjustRightInd w:val="0"/>
              <w:jc w:val="both"/>
              <w:rPr>
                <w:sz w:val="22"/>
                <w:szCs w:val="22"/>
              </w:rPr>
            </w:pPr>
            <w:r w:rsidRPr="00AD55AA">
              <w:rPr>
                <w:sz w:val="22"/>
                <w:szCs w:val="22"/>
              </w:rPr>
              <w:t>Capital expenditures (CAPX) scaled by lagged net property, plant and equipment (PPENT).</w:t>
            </w:r>
          </w:p>
        </w:tc>
        <w:tc>
          <w:tcPr>
            <w:tcW w:w="0" w:type="auto"/>
            <w:gridSpan w:val="2"/>
            <w:tcBorders>
              <w:left w:val="nil"/>
              <w:bottom w:val="nil"/>
              <w:right w:val="nil"/>
            </w:tcBorders>
          </w:tcPr>
          <w:p w14:paraId="2C410E46"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5DAD3E10" w14:textId="77777777" w:rsidTr="00C91FF7">
        <w:tc>
          <w:tcPr>
            <w:tcW w:w="0" w:type="auto"/>
            <w:tcBorders>
              <w:left w:val="nil"/>
              <w:bottom w:val="nil"/>
              <w:right w:val="nil"/>
            </w:tcBorders>
          </w:tcPr>
          <w:p w14:paraId="1F7E9D6B" w14:textId="77777777" w:rsidR="00DE3298" w:rsidRPr="00AD55AA" w:rsidRDefault="00DE3298" w:rsidP="00DE3298">
            <w:pPr>
              <w:widowControl w:val="0"/>
              <w:autoSpaceDE w:val="0"/>
              <w:autoSpaceDN w:val="0"/>
              <w:adjustRightInd w:val="0"/>
              <w:rPr>
                <w:sz w:val="22"/>
                <w:szCs w:val="22"/>
              </w:rPr>
            </w:pPr>
          </w:p>
        </w:tc>
        <w:tc>
          <w:tcPr>
            <w:tcW w:w="0" w:type="auto"/>
            <w:tcBorders>
              <w:left w:val="nil"/>
              <w:bottom w:val="nil"/>
              <w:right w:val="nil"/>
            </w:tcBorders>
          </w:tcPr>
          <w:p w14:paraId="5769C472" w14:textId="77777777" w:rsidR="00DE3298" w:rsidRPr="00AD55AA" w:rsidRDefault="00DE3298" w:rsidP="00DE3298">
            <w:pPr>
              <w:widowControl w:val="0"/>
              <w:autoSpaceDE w:val="0"/>
              <w:autoSpaceDN w:val="0"/>
              <w:adjustRightInd w:val="0"/>
              <w:jc w:val="center"/>
              <w:rPr>
                <w:sz w:val="22"/>
                <w:szCs w:val="22"/>
              </w:rPr>
            </w:pPr>
          </w:p>
        </w:tc>
        <w:tc>
          <w:tcPr>
            <w:tcW w:w="0" w:type="auto"/>
            <w:gridSpan w:val="2"/>
            <w:tcBorders>
              <w:left w:val="nil"/>
              <w:bottom w:val="nil"/>
              <w:right w:val="nil"/>
            </w:tcBorders>
          </w:tcPr>
          <w:p w14:paraId="0FA23A8F"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53C39C3C" w14:textId="77777777" w:rsidTr="00C91FF7">
        <w:tc>
          <w:tcPr>
            <w:tcW w:w="0" w:type="auto"/>
            <w:tcBorders>
              <w:left w:val="nil"/>
              <w:bottom w:val="nil"/>
              <w:right w:val="nil"/>
            </w:tcBorders>
          </w:tcPr>
          <w:p w14:paraId="5A32DBE7" w14:textId="77777777" w:rsidR="00DE3298" w:rsidRPr="00AD55AA" w:rsidRDefault="00DE3298" w:rsidP="00DE3298">
            <w:pPr>
              <w:widowControl w:val="0"/>
              <w:autoSpaceDE w:val="0"/>
              <w:autoSpaceDN w:val="0"/>
              <w:adjustRightInd w:val="0"/>
              <w:rPr>
                <w:sz w:val="22"/>
                <w:szCs w:val="22"/>
              </w:rPr>
            </w:pPr>
            <w:r w:rsidRPr="00AD55AA">
              <w:rPr>
                <w:sz w:val="22"/>
                <w:szCs w:val="22"/>
              </w:rPr>
              <w:t>Acquisitions</w:t>
            </w:r>
          </w:p>
        </w:tc>
        <w:tc>
          <w:tcPr>
            <w:tcW w:w="0" w:type="auto"/>
            <w:tcBorders>
              <w:left w:val="nil"/>
              <w:bottom w:val="nil"/>
              <w:right w:val="nil"/>
            </w:tcBorders>
          </w:tcPr>
          <w:p w14:paraId="6C2B22ED"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Acquisition expenditures (AQC) scaled by total assets (AT). Missing values are replaced with zero.</w:t>
            </w:r>
          </w:p>
        </w:tc>
        <w:tc>
          <w:tcPr>
            <w:tcW w:w="0" w:type="auto"/>
            <w:gridSpan w:val="2"/>
            <w:tcBorders>
              <w:left w:val="nil"/>
              <w:bottom w:val="nil"/>
              <w:right w:val="nil"/>
            </w:tcBorders>
          </w:tcPr>
          <w:p w14:paraId="4DE7E185"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200A3A02" w14:textId="77777777" w:rsidTr="00C91FF7">
        <w:tc>
          <w:tcPr>
            <w:tcW w:w="0" w:type="auto"/>
            <w:tcBorders>
              <w:left w:val="nil"/>
              <w:bottom w:val="nil"/>
              <w:right w:val="nil"/>
            </w:tcBorders>
          </w:tcPr>
          <w:p w14:paraId="124D7960" w14:textId="77777777" w:rsidR="00DE3298" w:rsidRPr="00AD55AA" w:rsidRDefault="00DE3298" w:rsidP="00DE3298">
            <w:pPr>
              <w:widowControl w:val="0"/>
              <w:autoSpaceDE w:val="0"/>
              <w:autoSpaceDN w:val="0"/>
              <w:adjustRightInd w:val="0"/>
              <w:rPr>
                <w:sz w:val="22"/>
                <w:szCs w:val="22"/>
              </w:rPr>
            </w:pPr>
          </w:p>
        </w:tc>
        <w:tc>
          <w:tcPr>
            <w:tcW w:w="0" w:type="auto"/>
            <w:tcBorders>
              <w:left w:val="nil"/>
              <w:bottom w:val="nil"/>
              <w:right w:val="nil"/>
            </w:tcBorders>
          </w:tcPr>
          <w:p w14:paraId="4136079B" w14:textId="77777777" w:rsidR="00DE3298" w:rsidRPr="00AD55AA" w:rsidRDefault="00DE3298" w:rsidP="00DE3298">
            <w:pPr>
              <w:widowControl w:val="0"/>
              <w:autoSpaceDE w:val="0"/>
              <w:autoSpaceDN w:val="0"/>
              <w:adjustRightInd w:val="0"/>
              <w:jc w:val="center"/>
              <w:rPr>
                <w:sz w:val="22"/>
                <w:szCs w:val="22"/>
              </w:rPr>
            </w:pPr>
          </w:p>
        </w:tc>
        <w:tc>
          <w:tcPr>
            <w:tcW w:w="0" w:type="auto"/>
            <w:gridSpan w:val="2"/>
            <w:tcBorders>
              <w:left w:val="nil"/>
              <w:bottom w:val="nil"/>
              <w:right w:val="nil"/>
            </w:tcBorders>
          </w:tcPr>
          <w:p w14:paraId="50CE93D5"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0707BC51" w14:textId="77777777" w:rsidTr="00C91FF7">
        <w:tc>
          <w:tcPr>
            <w:tcW w:w="0" w:type="auto"/>
            <w:tcBorders>
              <w:top w:val="nil"/>
              <w:left w:val="nil"/>
              <w:bottom w:val="nil"/>
              <w:right w:val="nil"/>
            </w:tcBorders>
          </w:tcPr>
          <w:p w14:paraId="43601A38" w14:textId="77777777" w:rsidR="00DE3298" w:rsidRPr="00AD55AA" w:rsidRDefault="00DE3298" w:rsidP="00DE3298">
            <w:pPr>
              <w:widowControl w:val="0"/>
              <w:autoSpaceDE w:val="0"/>
              <w:autoSpaceDN w:val="0"/>
              <w:adjustRightInd w:val="0"/>
              <w:rPr>
                <w:sz w:val="22"/>
                <w:szCs w:val="22"/>
              </w:rPr>
            </w:pPr>
            <w:r w:rsidRPr="00AD55AA">
              <w:rPr>
                <w:sz w:val="22"/>
                <w:szCs w:val="22"/>
              </w:rPr>
              <w:t xml:space="preserve">Investments </w:t>
            </w:r>
          </w:p>
        </w:tc>
        <w:tc>
          <w:tcPr>
            <w:tcW w:w="0" w:type="auto"/>
            <w:tcBorders>
              <w:top w:val="nil"/>
              <w:left w:val="nil"/>
              <w:bottom w:val="nil"/>
              <w:right w:val="nil"/>
            </w:tcBorders>
          </w:tcPr>
          <w:p w14:paraId="58DAB8B9"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Research and development expenditures (XRD) + capital expenditures (CAPX) + acquisition expenditures (AQC) – cash receipts from sale of property, plant, and equipment (SPPE), scaled by total assets (AT).</w:t>
            </w:r>
          </w:p>
        </w:tc>
        <w:tc>
          <w:tcPr>
            <w:tcW w:w="0" w:type="auto"/>
            <w:gridSpan w:val="2"/>
            <w:tcBorders>
              <w:top w:val="nil"/>
              <w:left w:val="nil"/>
              <w:bottom w:val="nil"/>
              <w:right w:val="nil"/>
            </w:tcBorders>
          </w:tcPr>
          <w:p w14:paraId="59ED7E00"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53FCFE71" w14:textId="77777777" w:rsidTr="00C91FF7">
        <w:tc>
          <w:tcPr>
            <w:tcW w:w="0" w:type="auto"/>
            <w:tcBorders>
              <w:top w:val="nil"/>
              <w:left w:val="nil"/>
              <w:bottom w:val="nil"/>
              <w:right w:val="nil"/>
            </w:tcBorders>
          </w:tcPr>
          <w:p w14:paraId="4ED01BA2"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nil"/>
              <w:right w:val="nil"/>
            </w:tcBorders>
          </w:tcPr>
          <w:p w14:paraId="20C0F623"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25AF5FDA"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0D57CDD1" w14:textId="77777777" w:rsidTr="00C91FF7">
        <w:tc>
          <w:tcPr>
            <w:tcW w:w="0" w:type="auto"/>
            <w:tcBorders>
              <w:top w:val="nil"/>
              <w:left w:val="nil"/>
              <w:bottom w:val="nil"/>
              <w:right w:val="nil"/>
            </w:tcBorders>
          </w:tcPr>
          <w:p w14:paraId="2BBA237F" w14:textId="77777777" w:rsidR="00DE3298" w:rsidRPr="00AD55AA" w:rsidRDefault="00DE3298" w:rsidP="00DE3298">
            <w:pPr>
              <w:widowControl w:val="0"/>
              <w:autoSpaceDE w:val="0"/>
              <w:autoSpaceDN w:val="0"/>
              <w:adjustRightInd w:val="0"/>
              <w:rPr>
                <w:sz w:val="22"/>
                <w:szCs w:val="22"/>
              </w:rPr>
            </w:pPr>
            <w:r w:rsidRPr="00AD55AA">
              <w:rPr>
                <w:sz w:val="22"/>
                <w:szCs w:val="22"/>
              </w:rPr>
              <w:t>R&amp;D</w:t>
            </w:r>
          </w:p>
        </w:tc>
        <w:tc>
          <w:tcPr>
            <w:tcW w:w="0" w:type="auto"/>
            <w:tcBorders>
              <w:top w:val="nil"/>
              <w:left w:val="nil"/>
              <w:bottom w:val="nil"/>
              <w:right w:val="nil"/>
            </w:tcBorders>
          </w:tcPr>
          <w:p w14:paraId="1EF08EF0"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Research and development expenditures (XRD) scaled by total assets (AT). Missing values are replaced with zero.</w:t>
            </w:r>
          </w:p>
        </w:tc>
        <w:tc>
          <w:tcPr>
            <w:tcW w:w="0" w:type="auto"/>
            <w:gridSpan w:val="2"/>
            <w:tcBorders>
              <w:top w:val="nil"/>
              <w:left w:val="nil"/>
              <w:bottom w:val="nil"/>
              <w:right w:val="nil"/>
            </w:tcBorders>
          </w:tcPr>
          <w:p w14:paraId="0DA851D3"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72A563D5" w14:textId="77777777" w:rsidTr="00C91FF7">
        <w:tc>
          <w:tcPr>
            <w:tcW w:w="0" w:type="auto"/>
            <w:tcBorders>
              <w:top w:val="nil"/>
              <w:left w:val="nil"/>
              <w:bottom w:val="single" w:sz="4" w:space="0" w:color="auto"/>
              <w:right w:val="nil"/>
            </w:tcBorders>
          </w:tcPr>
          <w:p w14:paraId="7C7F8D4F"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single" w:sz="4" w:space="0" w:color="auto"/>
              <w:right w:val="nil"/>
            </w:tcBorders>
          </w:tcPr>
          <w:p w14:paraId="445D0D5B"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single" w:sz="4" w:space="0" w:color="auto"/>
              <w:right w:val="nil"/>
            </w:tcBorders>
          </w:tcPr>
          <w:p w14:paraId="40D62710"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2AC36D5A" w14:textId="77777777" w:rsidTr="00C91FF7">
        <w:tc>
          <w:tcPr>
            <w:tcW w:w="0" w:type="auto"/>
            <w:tcBorders>
              <w:top w:val="single" w:sz="4" w:space="0" w:color="auto"/>
              <w:left w:val="nil"/>
              <w:bottom w:val="nil"/>
              <w:right w:val="nil"/>
            </w:tcBorders>
          </w:tcPr>
          <w:p w14:paraId="4DF3C61C" w14:textId="77777777" w:rsidR="00DE3298" w:rsidRPr="00AD55AA" w:rsidRDefault="00DE3298" w:rsidP="00DE3298">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1C03F106"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single" w:sz="4" w:space="0" w:color="auto"/>
              <w:left w:val="nil"/>
              <w:bottom w:val="nil"/>
              <w:right w:val="nil"/>
            </w:tcBorders>
          </w:tcPr>
          <w:p w14:paraId="5E422647"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392DD001" w14:textId="77777777" w:rsidTr="00C91FF7">
        <w:tc>
          <w:tcPr>
            <w:tcW w:w="0" w:type="auto"/>
            <w:tcBorders>
              <w:top w:val="nil"/>
              <w:left w:val="nil"/>
              <w:bottom w:val="single" w:sz="4" w:space="0" w:color="auto"/>
              <w:right w:val="nil"/>
            </w:tcBorders>
          </w:tcPr>
          <w:p w14:paraId="2646DD54" w14:textId="77777777" w:rsidR="00DE3298" w:rsidRPr="00AD55AA" w:rsidRDefault="00DE3298" w:rsidP="00DE3298">
            <w:pPr>
              <w:widowControl w:val="0"/>
              <w:autoSpaceDE w:val="0"/>
              <w:autoSpaceDN w:val="0"/>
              <w:adjustRightInd w:val="0"/>
              <w:rPr>
                <w:sz w:val="22"/>
                <w:szCs w:val="22"/>
              </w:rPr>
            </w:pPr>
            <w:r w:rsidRPr="00AD55AA">
              <w:rPr>
                <w:b/>
                <w:sz w:val="22"/>
                <w:szCs w:val="22"/>
              </w:rPr>
              <w:t>Control:</w:t>
            </w:r>
          </w:p>
        </w:tc>
        <w:tc>
          <w:tcPr>
            <w:tcW w:w="0" w:type="auto"/>
            <w:tcBorders>
              <w:top w:val="nil"/>
              <w:left w:val="nil"/>
              <w:bottom w:val="single" w:sz="4" w:space="0" w:color="auto"/>
              <w:right w:val="nil"/>
            </w:tcBorders>
          </w:tcPr>
          <w:p w14:paraId="07A5ABDF"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single" w:sz="4" w:space="0" w:color="auto"/>
              <w:right w:val="nil"/>
            </w:tcBorders>
          </w:tcPr>
          <w:p w14:paraId="79BF4102"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5A984688" w14:textId="77777777" w:rsidTr="00C91FF7">
        <w:tc>
          <w:tcPr>
            <w:tcW w:w="0" w:type="auto"/>
            <w:tcBorders>
              <w:top w:val="single" w:sz="4" w:space="0" w:color="auto"/>
              <w:left w:val="nil"/>
              <w:bottom w:val="nil"/>
              <w:right w:val="nil"/>
            </w:tcBorders>
          </w:tcPr>
          <w:p w14:paraId="2D918DF5" w14:textId="77777777" w:rsidR="00DE3298" w:rsidRPr="00AD55AA" w:rsidRDefault="00DE3298" w:rsidP="00DE3298">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43FFB071"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single" w:sz="4" w:space="0" w:color="auto"/>
              <w:left w:val="nil"/>
              <w:bottom w:val="nil"/>
              <w:right w:val="nil"/>
            </w:tcBorders>
          </w:tcPr>
          <w:p w14:paraId="4320C0FB"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248AC9FB" w14:textId="77777777" w:rsidTr="00C91FF7">
        <w:tc>
          <w:tcPr>
            <w:tcW w:w="0" w:type="auto"/>
            <w:tcBorders>
              <w:top w:val="nil"/>
              <w:left w:val="nil"/>
              <w:bottom w:val="nil"/>
              <w:right w:val="nil"/>
            </w:tcBorders>
          </w:tcPr>
          <w:p w14:paraId="1ED6B815" w14:textId="77777777" w:rsidR="00DE3298" w:rsidRPr="00AD55AA" w:rsidRDefault="00DE3298" w:rsidP="00DE3298">
            <w:pPr>
              <w:widowControl w:val="0"/>
              <w:autoSpaceDE w:val="0"/>
              <w:autoSpaceDN w:val="0"/>
              <w:adjustRightInd w:val="0"/>
              <w:rPr>
                <w:sz w:val="22"/>
                <w:szCs w:val="22"/>
              </w:rPr>
            </w:pPr>
            <w:r w:rsidRPr="00AD55AA">
              <w:rPr>
                <w:sz w:val="22"/>
                <w:szCs w:val="22"/>
              </w:rPr>
              <w:t>Cash flow</w:t>
            </w:r>
          </w:p>
        </w:tc>
        <w:tc>
          <w:tcPr>
            <w:tcW w:w="0" w:type="auto"/>
            <w:tcBorders>
              <w:top w:val="nil"/>
              <w:left w:val="nil"/>
              <w:bottom w:val="nil"/>
              <w:right w:val="nil"/>
            </w:tcBorders>
          </w:tcPr>
          <w:p w14:paraId="2E60CDF4"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Operating activity net cash flow (OANCF) scaled by total assets (AT).</w:t>
            </w:r>
          </w:p>
        </w:tc>
        <w:tc>
          <w:tcPr>
            <w:tcW w:w="0" w:type="auto"/>
            <w:gridSpan w:val="2"/>
            <w:tcBorders>
              <w:top w:val="nil"/>
              <w:left w:val="nil"/>
              <w:bottom w:val="nil"/>
              <w:right w:val="nil"/>
            </w:tcBorders>
          </w:tcPr>
          <w:p w14:paraId="52C9D8B0"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64663F59" w14:textId="77777777" w:rsidTr="00C91FF7">
        <w:tc>
          <w:tcPr>
            <w:tcW w:w="0" w:type="auto"/>
            <w:tcBorders>
              <w:top w:val="nil"/>
              <w:left w:val="nil"/>
              <w:bottom w:val="nil"/>
              <w:right w:val="nil"/>
            </w:tcBorders>
          </w:tcPr>
          <w:p w14:paraId="7B736730"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nil"/>
              <w:right w:val="nil"/>
            </w:tcBorders>
          </w:tcPr>
          <w:p w14:paraId="154AA7CF"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6C145DFA"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1A420BAF" w14:textId="77777777" w:rsidTr="00C91FF7">
        <w:tc>
          <w:tcPr>
            <w:tcW w:w="0" w:type="auto"/>
            <w:tcBorders>
              <w:top w:val="nil"/>
              <w:left w:val="nil"/>
              <w:bottom w:val="nil"/>
              <w:right w:val="nil"/>
            </w:tcBorders>
          </w:tcPr>
          <w:p w14:paraId="4199192A" w14:textId="77777777" w:rsidR="00DE3298" w:rsidRPr="00AD55AA" w:rsidRDefault="00DE3298" w:rsidP="00DE3298">
            <w:pPr>
              <w:widowControl w:val="0"/>
              <w:autoSpaceDE w:val="0"/>
              <w:autoSpaceDN w:val="0"/>
              <w:adjustRightInd w:val="0"/>
              <w:rPr>
                <w:sz w:val="22"/>
                <w:szCs w:val="22"/>
              </w:rPr>
            </w:pPr>
            <w:r w:rsidRPr="00AD55AA">
              <w:rPr>
                <w:sz w:val="22"/>
                <w:szCs w:val="22"/>
              </w:rPr>
              <w:t>Leverage</w:t>
            </w:r>
          </w:p>
        </w:tc>
        <w:tc>
          <w:tcPr>
            <w:tcW w:w="0" w:type="auto"/>
            <w:tcBorders>
              <w:top w:val="nil"/>
              <w:left w:val="nil"/>
              <w:bottom w:val="nil"/>
              <w:right w:val="nil"/>
            </w:tcBorders>
          </w:tcPr>
          <w:p w14:paraId="29674650"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Short term debt (DLC) + long term debt (DLTT) scaled by total assets (AT).</w:t>
            </w:r>
          </w:p>
        </w:tc>
        <w:tc>
          <w:tcPr>
            <w:tcW w:w="0" w:type="auto"/>
            <w:gridSpan w:val="2"/>
            <w:tcBorders>
              <w:top w:val="nil"/>
              <w:left w:val="nil"/>
              <w:bottom w:val="nil"/>
              <w:right w:val="nil"/>
            </w:tcBorders>
          </w:tcPr>
          <w:p w14:paraId="7A012DAC"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0F551D9C" w14:textId="77777777" w:rsidTr="00C91FF7">
        <w:tc>
          <w:tcPr>
            <w:tcW w:w="0" w:type="auto"/>
            <w:tcBorders>
              <w:top w:val="nil"/>
              <w:left w:val="nil"/>
              <w:bottom w:val="nil"/>
              <w:right w:val="nil"/>
            </w:tcBorders>
          </w:tcPr>
          <w:p w14:paraId="72C6F723"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nil"/>
              <w:right w:val="nil"/>
            </w:tcBorders>
          </w:tcPr>
          <w:p w14:paraId="5603ED41"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6FB1B40C"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3F0EAC4F" w14:textId="77777777" w:rsidTr="00C91FF7">
        <w:tc>
          <w:tcPr>
            <w:tcW w:w="0" w:type="auto"/>
            <w:tcBorders>
              <w:top w:val="nil"/>
              <w:left w:val="nil"/>
              <w:bottom w:val="nil"/>
              <w:right w:val="nil"/>
            </w:tcBorders>
          </w:tcPr>
          <w:p w14:paraId="4F5D96DA" w14:textId="77777777" w:rsidR="00DE3298" w:rsidRPr="00AD55AA" w:rsidRDefault="00DE3298" w:rsidP="00DE3298">
            <w:pPr>
              <w:widowControl w:val="0"/>
              <w:autoSpaceDE w:val="0"/>
              <w:autoSpaceDN w:val="0"/>
              <w:adjustRightInd w:val="0"/>
              <w:rPr>
                <w:sz w:val="22"/>
                <w:szCs w:val="22"/>
              </w:rPr>
            </w:pPr>
            <w:r w:rsidRPr="00AD55AA">
              <w:rPr>
                <w:sz w:val="22"/>
                <w:szCs w:val="22"/>
              </w:rPr>
              <w:t>Size</w:t>
            </w:r>
          </w:p>
        </w:tc>
        <w:tc>
          <w:tcPr>
            <w:tcW w:w="0" w:type="auto"/>
            <w:tcBorders>
              <w:top w:val="nil"/>
              <w:left w:val="nil"/>
              <w:bottom w:val="nil"/>
              <w:right w:val="nil"/>
            </w:tcBorders>
          </w:tcPr>
          <w:p w14:paraId="54711757"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The natural logarithm of total assets (AT).</w:t>
            </w:r>
          </w:p>
        </w:tc>
        <w:tc>
          <w:tcPr>
            <w:tcW w:w="0" w:type="auto"/>
            <w:gridSpan w:val="2"/>
            <w:tcBorders>
              <w:top w:val="nil"/>
              <w:left w:val="nil"/>
              <w:bottom w:val="nil"/>
              <w:right w:val="nil"/>
            </w:tcBorders>
          </w:tcPr>
          <w:p w14:paraId="11993EE6"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47F80DFB" w14:textId="77777777" w:rsidTr="00C91FF7">
        <w:tc>
          <w:tcPr>
            <w:tcW w:w="0" w:type="auto"/>
            <w:tcBorders>
              <w:top w:val="nil"/>
              <w:left w:val="nil"/>
              <w:bottom w:val="nil"/>
              <w:right w:val="nil"/>
            </w:tcBorders>
          </w:tcPr>
          <w:p w14:paraId="30F539BA"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nil"/>
              <w:right w:val="nil"/>
            </w:tcBorders>
          </w:tcPr>
          <w:p w14:paraId="4AB4650B"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059533FC"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00924D32" w14:textId="77777777" w:rsidTr="00C91FF7">
        <w:tc>
          <w:tcPr>
            <w:tcW w:w="0" w:type="auto"/>
            <w:tcBorders>
              <w:top w:val="nil"/>
              <w:left w:val="nil"/>
              <w:bottom w:val="nil"/>
              <w:right w:val="nil"/>
            </w:tcBorders>
          </w:tcPr>
          <w:p w14:paraId="123D424F" w14:textId="77777777" w:rsidR="00DE3298" w:rsidRPr="00AD55AA" w:rsidRDefault="00DE3298" w:rsidP="00DE3298">
            <w:pPr>
              <w:widowControl w:val="0"/>
              <w:autoSpaceDE w:val="0"/>
              <w:autoSpaceDN w:val="0"/>
              <w:adjustRightInd w:val="0"/>
              <w:rPr>
                <w:sz w:val="22"/>
                <w:szCs w:val="22"/>
              </w:rPr>
            </w:pPr>
            <w:r w:rsidRPr="00AD55AA">
              <w:rPr>
                <w:sz w:val="22"/>
                <w:szCs w:val="22"/>
              </w:rPr>
              <w:t>Tobin’s Q</w:t>
            </w:r>
          </w:p>
        </w:tc>
        <w:tc>
          <w:tcPr>
            <w:tcW w:w="0" w:type="auto"/>
            <w:tcBorders>
              <w:top w:val="nil"/>
              <w:left w:val="nil"/>
              <w:bottom w:val="nil"/>
              <w:right w:val="nil"/>
            </w:tcBorders>
          </w:tcPr>
          <w:p w14:paraId="5325884C"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Market value of equity (PRCC*CSHO) + book value of debt (AT – CEQ) scaled by total assets (AT).</w:t>
            </w:r>
          </w:p>
        </w:tc>
        <w:tc>
          <w:tcPr>
            <w:tcW w:w="0" w:type="auto"/>
            <w:gridSpan w:val="2"/>
            <w:tcBorders>
              <w:top w:val="nil"/>
              <w:left w:val="nil"/>
              <w:bottom w:val="nil"/>
              <w:right w:val="nil"/>
            </w:tcBorders>
          </w:tcPr>
          <w:p w14:paraId="61EA9CE8" w14:textId="77777777" w:rsidR="00DE3298" w:rsidRPr="00AD55AA" w:rsidRDefault="00DE3298" w:rsidP="00DE3298">
            <w:pPr>
              <w:widowControl w:val="0"/>
              <w:autoSpaceDE w:val="0"/>
              <w:autoSpaceDN w:val="0"/>
              <w:adjustRightInd w:val="0"/>
              <w:jc w:val="both"/>
              <w:rPr>
                <w:sz w:val="22"/>
                <w:szCs w:val="22"/>
              </w:rPr>
            </w:pPr>
            <w:r w:rsidRPr="00AD55AA">
              <w:rPr>
                <w:sz w:val="22"/>
                <w:szCs w:val="22"/>
              </w:rPr>
              <w:t>Compustat</w:t>
            </w:r>
          </w:p>
        </w:tc>
      </w:tr>
      <w:tr w:rsidR="00DE3298" w:rsidRPr="00AD55AA" w14:paraId="40710552" w14:textId="77777777" w:rsidTr="00C91FF7">
        <w:tc>
          <w:tcPr>
            <w:tcW w:w="0" w:type="auto"/>
            <w:tcBorders>
              <w:top w:val="nil"/>
              <w:left w:val="nil"/>
              <w:bottom w:val="single" w:sz="4" w:space="0" w:color="auto"/>
              <w:right w:val="nil"/>
            </w:tcBorders>
          </w:tcPr>
          <w:p w14:paraId="07A833A3"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single" w:sz="4" w:space="0" w:color="auto"/>
              <w:right w:val="nil"/>
            </w:tcBorders>
          </w:tcPr>
          <w:p w14:paraId="5AD197BB"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single" w:sz="4" w:space="0" w:color="auto"/>
              <w:right w:val="nil"/>
            </w:tcBorders>
          </w:tcPr>
          <w:p w14:paraId="35B6CA05"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11DEE188" w14:textId="77777777" w:rsidTr="00C91FF7">
        <w:tc>
          <w:tcPr>
            <w:tcW w:w="0" w:type="auto"/>
            <w:tcBorders>
              <w:top w:val="single" w:sz="4" w:space="0" w:color="auto"/>
              <w:left w:val="nil"/>
              <w:bottom w:val="nil"/>
              <w:right w:val="nil"/>
            </w:tcBorders>
          </w:tcPr>
          <w:p w14:paraId="4AE5FD05" w14:textId="77777777" w:rsidR="00DE3298" w:rsidRPr="00AD55AA" w:rsidRDefault="00DE3298" w:rsidP="00DE3298">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742887AC"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single" w:sz="4" w:space="0" w:color="auto"/>
              <w:left w:val="nil"/>
              <w:bottom w:val="nil"/>
              <w:right w:val="nil"/>
            </w:tcBorders>
          </w:tcPr>
          <w:p w14:paraId="51E9D00A"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6C476C5E" w14:textId="77777777" w:rsidTr="00C91FF7">
        <w:tc>
          <w:tcPr>
            <w:tcW w:w="0" w:type="auto"/>
            <w:tcBorders>
              <w:top w:val="nil"/>
              <w:left w:val="nil"/>
              <w:bottom w:val="single" w:sz="4" w:space="0" w:color="auto"/>
              <w:right w:val="nil"/>
            </w:tcBorders>
          </w:tcPr>
          <w:p w14:paraId="2E7EE657" w14:textId="77777777" w:rsidR="00DE3298" w:rsidRPr="00AD55AA" w:rsidRDefault="00DE3298" w:rsidP="00DE3298">
            <w:pPr>
              <w:widowControl w:val="0"/>
              <w:autoSpaceDE w:val="0"/>
              <w:autoSpaceDN w:val="0"/>
              <w:adjustRightInd w:val="0"/>
              <w:rPr>
                <w:sz w:val="22"/>
                <w:szCs w:val="22"/>
              </w:rPr>
            </w:pPr>
            <w:r w:rsidRPr="00AD55AA">
              <w:rPr>
                <w:b/>
                <w:sz w:val="22"/>
                <w:szCs w:val="22"/>
              </w:rPr>
              <w:t>Additional:</w:t>
            </w:r>
          </w:p>
        </w:tc>
        <w:tc>
          <w:tcPr>
            <w:tcW w:w="0" w:type="auto"/>
            <w:tcBorders>
              <w:top w:val="nil"/>
              <w:left w:val="nil"/>
              <w:bottom w:val="single" w:sz="4" w:space="0" w:color="auto"/>
              <w:right w:val="nil"/>
            </w:tcBorders>
          </w:tcPr>
          <w:p w14:paraId="55575977"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single" w:sz="4" w:space="0" w:color="auto"/>
              <w:right w:val="nil"/>
            </w:tcBorders>
          </w:tcPr>
          <w:p w14:paraId="13101D79"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7BD38AF3" w14:textId="77777777" w:rsidTr="00C91FF7">
        <w:tc>
          <w:tcPr>
            <w:tcW w:w="0" w:type="auto"/>
            <w:tcBorders>
              <w:top w:val="single" w:sz="4" w:space="0" w:color="auto"/>
              <w:left w:val="nil"/>
              <w:bottom w:val="nil"/>
              <w:right w:val="nil"/>
            </w:tcBorders>
          </w:tcPr>
          <w:p w14:paraId="0B1541F2" w14:textId="77777777" w:rsidR="00DE3298" w:rsidRPr="00AD55AA" w:rsidRDefault="00DE3298" w:rsidP="00DE3298">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498F94B0"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single" w:sz="4" w:space="0" w:color="auto"/>
              <w:left w:val="nil"/>
              <w:bottom w:val="nil"/>
              <w:right w:val="nil"/>
            </w:tcBorders>
          </w:tcPr>
          <w:p w14:paraId="2448117C" w14:textId="77777777" w:rsidR="00DE3298" w:rsidRPr="00AD55AA" w:rsidRDefault="00DE3298" w:rsidP="00DE3298">
            <w:pPr>
              <w:widowControl w:val="0"/>
              <w:autoSpaceDE w:val="0"/>
              <w:autoSpaceDN w:val="0"/>
              <w:adjustRightInd w:val="0"/>
              <w:jc w:val="both"/>
              <w:rPr>
                <w:sz w:val="22"/>
                <w:szCs w:val="22"/>
              </w:rPr>
            </w:pPr>
          </w:p>
        </w:tc>
      </w:tr>
      <w:tr w:rsidR="00DE3298" w:rsidRPr="00AD55AA" w14:paraId="37B3A680" w14:textId="77777777" w:rsidTr="00C91FF7">
        <w:trPr>
          <w:trHeight w:val="486"/>
        </w:trPr>
        <w:tc>
          <w:tcPr>
            <w:tcW w:w="0" w:type="auto"/>
            <w:tcBorders>
              <w:top w:val="nil"/>
              <w:left w:val="nil"/>
              <w:bottom w:val="nil"/>
              <w:right w:val="nil"/>
            </w:tcBorders>
          </w:tcPr>
          <w:p w14:paraId="7D86825C" w14:textId="77777777" w:rsidR="00DE3298" w:rsidRPr="00AD55AA" w:rsidRDefault="00DE3298" w:rsidP="00DE3298">
            <w:pPr>
              <w:widowControl w:val="0"/>
              <w:autoSpaceDE w:val="0"/>
              <w:autoSpaceDN w:val="0"/>
              <w:adjustRightInd w:val="0"/>
              <w:rPr>
                <w:sz w:val="22"/>
                <w:szCs w:val="22"/>
              </w:rPr>
            </w:pPr>
            <w:r w:rsidRPr="00AD55AA">
              <w:rPr>
                <w:sz w:val="22"/>
                <w:szCs w:val="22"/>
              </w:rPr>
              <w:t>CAR</w:t>
            </w:r>
          </w:p>
        </w:tc>
        <w:tc>
          <w:tcPr>
            <w:tcW w:w="0" w:type="auto"/>
            <w:tcBorders>
              <w:top w:val="nil"/>
              <w:left w:val="nil"/>
              <w:bottom w:val="nil"/>
              <w:right w:val="nil"/>
            </w:tcBorders>
          </w:tcPr>
          <w:p w14:paraId="2C440DD1" w14:textId="50BAA7A8" w:rsidR="00DE3298" w:rsidRPr="00AE1E34" w:rsidRDefault="00DE3298" w:rsidP="00AE1E34">
            <w:pPr>
              <w:widowControl w:val="0"/>
              <w:autoSpaceDE w:val="0"/>
              <w:autoSpaceDN w:val="0"/>
              <w:adjustRightInd w:val="0"/>
              <w:jc w:val="both"/>
              <w:rPr>
                <w:sz w:val="22"/>
                <w:szCs w:val="22"/>
              </w:rPr>
            </w:pPr>
            <w:r w:rsidRPr="00AE1E34">
              <w:rPr>
                <w:sz w:val="22"/>
                <w:szCs w:val="22"/>
              </w:rPr>
              <w:t xml:space="preserve">Fama-French three factor model </w:t>
            </w:r>
            <w:r w:rsidR="00AE1E34" w:rsidRPr="00AE1E34">
              <w:rPr>
                <w:sz w:val="22"/>
                <w:szCs w:val="22"/>
              </w:rPr>
              <w:t xml:space="preserve">and </w:t>
            </w:r>
            <w:r w:rsidR="00AE1E34" w:rsidRPr="00AE1E34">
              <w:rPr>
                <w:rFonts w:eastAsiaTheme="minorHAnsi"/>
                <w:sz w:val="22"/>
                <w:szCs w:val="22"/>
                <w:lang w:eastAsia="en-US"/>
              </w:rPr>
              <w:t xml:space="preserve">the Fama-French plus momentum model </w:t>
            </w:r>
            <w:r w:rsidRPr="00AE1E34">
              <w:rPr>
                <w:sz w:val="22"/>
                <w:szCs w:val="22"/>
              </w:rPr>
              <w:t>cumulative abnormal returns.</w:t>
            </w:r>
          </w:p>
        </w:tc>
        <w:tc>
          <w:tcPr>
            <w:tcW w:w="0" w:type="auto"/>
            <w:gridSpan w:val="2"/>
            <w:tcBorders>
              <w:top w:val="nil"/>
              <w:left w:val="nil"/>
              <w:bottom w:val="nil"/>
              <w:right w:val="nil"/>
            </w:tcBorders>
          </w:tcPr>
          <w:p w14:paraId="49D2D148" w14:textId="5A79DE28" w:rsidR="00DE3298" w:rsidRPr="00AD55AA" w:rsidRDefault="00DE3298" w:rsidP="00DE3298">
            <w:pPr>
              <w:widowControl w:val="0"/>
              <w:autoSpaceDE w:val="0"/>
              <w:autoSpaceDN w:val="0"/>
              <w:adjustRightInd w:val="0"/>
              <w:jc w:val="both"/>
              <w:rPr>
                <w:sz w:val="22"/>
                <w:szCs w:val="22"/>
              </w:rPr>
            </w:pPr>
            <w:r w:rsidRPr="00AD55AA">
              <w:rPr>
                <w:sz w:val="22"/>
                <w:szCs w:val="22"/>
              </w:rPr>
              <w:t xml:space="preserve">WRDS Event Study </w:t>
            </w:r>
          </w:p>
        </w:tc>
      </w:tr>
      <w:tr w:rsidR="00DE3298" w:rsidRPr="00AD55AA" w14:paraId="4EF5D1C9" w14:textId="77777777" w:rsidTr="00C91FF7">
        <w:trPr>
          <w:trHeight w:val="486"/>
        </w:trPr>
        <w:tc>
          <w:tcPr>
            <w:tcW w:w="0" w:type="auto"/>
            <w:tcBorders>
              <w:top w:val="nil"/>
              <w:left w:val="nil"/>
              <w:bottom w:val="nil"/>
              <w:right w:val="nil"/>
            </w:tcBorders>
          </w:tcPr>
          <w:p w14:paraId="02075332" w14:textId="77777777" w:rsidR="00DE3298" w:rsidRPr="00AD55AA" w:rsidRDefault="00DE3298" w:rsidP="00DE3298">
            <w:pPr>
              <w:widowControl w:val="0"/>
              <w:autoSpaceDE w:val="0"/>
              <w:autoSpaceDN w:val="0"/>
              <w:adjustRightInd w:val="0"/>
              <w:rPr>
                <w:sz w:val="22"/>
                <w:szCs w:val="22"/>
              </w:rPr>
            </w:pPr>
          </w:p>
        </w:tc>
        <w:tc>
          <w:tcPr>
            <w:tcW w:w="0" w:type="auto"/>
            <w:tcBorders>
              <w:top w:val="nil"/>
              <w:left w:val="nil"/>
              <w:bottom w:val="nil"/>
              <w:right w:val="nil"/>
            </w:tcBorders>
          </w:tcPr>
          <w:p w14:paraId="6E0F5EB5" w14:textId="77777777" w:rsidR="00DE3298" w:rsidRPr="00AD55AA" w:rsidRDefault="00DE3298" w:rsidP="00DE3298">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5EB132C6" w14:textId="77777777" w:rsidR="00DE3298" w:rsidRPr="00AD55AA" w:rsidRDefault="00DE3298" w:rsidP="00DE3298">
            <w:pPr>
              <w:widowControl w:val="0"/>
              <w:autoSpaceDE w:val="0"/>
              <w:autoSpaceDN w:val="0"/>
              <w:adjustRightInd w:val="0"/>
              <w:jc w:val="both"/>
              <w:rPr>
                <w:sz w:val="22"/>
                <w:szCs w:val="22"/>
              </w:rPr>
            </w:pPr>
          </w:p>
        </w:tc>
      </w:tr>
      <w:tr w:rsidR="00504F46" w:rsidRPr="00AD55AA" w14:paraId="68D90C7C" w14:textId="77777777" w:rsidTr="00C91FF7">
        <w:trPr>
          <w:trHeight w:val="486"/>
        </w:trPr>
        <w:tc>
          <w:tcPr>
            <w:tcW w:w="0" w:type="auto"/>
            <w:tcBorders>
              <w:top w:val="nil"/>
              <w:left w:val="nil"/>
              <w:bottom w:val="nil"/>
              <w:right w:val="nil"/>
            </w:tcBorders>
          </w:tcPr>
          <w:p w14:paraId="722E6C56" w14:textId="5BCF7BF3" w:rsidR="00504F46" w:rsidRPr="00AD55AA" w:rsidRDefault="00504F46" w:rsidP="00504F46">
            <w:pPr>
              <w:widowControl w:val="0"/>
              <w:autoSpaceDE w:val="0"/>
              <w:autoSpaceDN w:val="0"/>
              <w:adjustRightInd w:val="0"/>
              <w:rPr>
                <w:sz w:val="22"/>
                <w:szCs w:val="22"/>
              </w:rPr>
            </w:pPr>
            <w:r w:rsidRPr="00510DD1">
              <w:rPr>
                <w:sz w:val="22"/>
                <w:szCs w:val="22"/>
              </w:rPr>
              <w:t>CFIUS Block one-year before</w:t>
            </w:r>
          </w:p>
        </w:tc>
        <w:tc>
          <w:tcPr>
            <w:tcW w:w="0" w:type="auto"/>
            <w:tcBorders>
              <w:top w:val="nil"/>
              <w:left w:val="nil"/>
              <w:bottom w:val="nil"/>
              <w:right w:val="nil"/>
            </w:tcBorders>
          </w:tcPr>
          <w:p w14:paraId="79FF0F7B" w14:textId="591A4BBD" w:rsidR="00504F46" w:rsidRPr="00AD55AA" w:rsidRDefault="00504F46" w:rsidP="00504F46">
            <w:pPr>
              <w:widowControl w:val="0"/>
              <w:autoSpaceDE w:val="0"/>
              <w:autoSpaceDN w:val="0"/>
              <w:adjustRightInd w:val="0"/>
              <w:jc w:val="both"/>
              <w:rPr>
                <w:sz w:val="22"/>
                <w:szCs w:val="22"/>
              </w:rPr>
            </w:pPr>
            <w:r w:rsidRPr="00AD55AA">
              <w:rPr>
                <w:sz w:val="22"/>
                <w:szCs w:val="22"/>
              </w:rPr>
              <w:t xml:space="preserve">Indicator variable defined as the variable CFIUS Block. It takes the value of one for the year </w:t>
            </w:r>
            <w:r>
              <w:rPr>
                <w:sz w:val="22"/>
                <w:szCs w:val="22"/>
              </w:rPr>
              <w:t>before</w:t>
            </w:r>
            <w:r w:rsidRPr="00AD55AA">
              <w:rPr>
                <w:sz w:val="22"/>
                <w:szCs w:val="22"/>
              </w:rPr>
              <w:t xml:space="preserve"> CFIUS interventions</w:t>
            </w:r>
            <w:r>
              <w:rPr>
                <w:sz w:val="22"/>
                <w:szCs w:val="22"/>
              </w:rPr>
              <w:t>.</w:t>
            </w:r>
          </w:p>
        </w:tc>
        <w:tc>
          <w:tcPr>
            <w:tcW w:w="0" w:type="auto"/>
            <w:gridSpan w:val="2"/>
            <w:tcBorders>
              <w:top w:val="nil"/>
              <w:left w:val="nil"/>
              <w:bottom w:val="nil"/>
              <w:right w:val="nil"/>
            </w:tcBorders>
          </w:tcPr>
          <w:p w14:paraId="4901E5C8" w14:textId="7170F780"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0A59E915" w14:textId="77777777" w:rsidTr="00C91FF7">
        <w:trPr>
          <w:trHeight w:val="486"/>
        </w:trPr>
        <w:tc>
          <w:tcPr>
            <w:tcW w:w="0" w:type="auto"/>
            <w:tcBorders>
              <w:top w:val="nil"/>
              <w:left w:val="nil"/>
              <w:bottom w:val="nil"/>
              <w:right w:val="nil"/>
            </w:tcBorders>
          </w:tcPr>
          <w:p w14:paraId="3F2057AD" w14:textId="77777777" w:rsidR="00504F46" w:rsidRPr="00510DD1"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56D0625C"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135A4D73"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251B84E0" w14:textId="77777777" w:rsidTr="00C91FF7">
        <w:trPr>
          <w:trHeight w:val="486"/>
        </w:trPr>
        <w:tc>
          <w:tcPr>
            <w:tcW w:w="0" w:type="auto"/>
            <w:tcBorders>
              <w:top w:val="nil"/>
              <w:left w:val="nil"/>
              <w:bottom w:val="nil"/>
              <w:right w:val="nil"/>
            </w:tcBorders>
          </w:tcPr>
          <w:p w14:paraId="749E2BBD" w14:textId="5AB18822" w:rsidR="00504F46" w:rsidRPr="00510DD1" w:rsidRDefault="00504F46" w:rsidP="00504F46">
            <w:pPr>
              <w:widowControl w:val="0"/>
              <w:autoSpaceDE w:val="0"/>
              <w:autoSpaceDN w:val="0"/>
              <w:adjustRightInd w:val="0"/>
              <w:rPr>
                <w:sz w:val="22"/>
                <w:szCs w:val="22"/>
              </w:rPr>
            </w:pPr>
            <w:r w:rsidRPr="00510DD1">
              <w:rPr>
                <w:sz w:val="22"/>
                <w:szCs w:val="22"/>
              </w:rPr>
              <w:t>CFIUS Block two-year before</w:t>
            </w:r>
          </w:p>
        </w:tc>
        <w:tc>
          <w:tcPr>
            <w:tcW w:w="0" w:type="auto"/>
            <w:tcBorders>
              <w:top w:val="nil"/>
              <w:left w:val="nil"/>
              <w:bottom w:val="nil"/>
              <w:right w:val="nil"/>
            </w:tcBorders>
          </w:tcPr>
          <w:p w14:paraId="7300E742" w14:textId="6711F77B" w:rsidR="00504F46" w:rsidRPr="00AD55AA" w:rsidRDefault="00504F46" w:rsidP="00504F46">
            <w:pPr>
              <w:widowControl w:val="0"/>
              <w:autoSpaceDE w:val="0"/>
              <w:autoSpaceDN w:val="0"/>
              <w:adjustRightInd w:val="0"/>
              <w:jc w:val="both"/>
              <w:rPr>
                <w:sz w:val="22"/>
                <w:szCs w:val="22"/>
              </w:rPr>
            </w:pPr>
            <w:r w:rsidRPr="00AD55AA">
              <w:rPr>
                <w:sz w:val="22"/>
                <w:szCs w:val="22"/>
              </w:rPr>
              <w:t xml:space="preserve">Indicator variable defined as the variable CFIUS Block. It takes the value of one for the </w:t>
            </w:r>
            <w:r>
              <w:rPr>
                <w:sz w:val="22"/>
                <w:szCs w:val="22"/>
              </w:rPr>
              <w:t>two</w:t>
            </w:r>
            <w:r w:rsidRPr="00AD55AA">
              <w:rPr>
                <w:sz w:val="22"/>
                <w:szCs w:val="22"/>
              </w:rPr>
              <w:t xml:space="preserve"> year</w:t>
            </w:r>
            <w:r>
              <w:rPr>
                <w:sz w:val="22"/>
                <w:szCs w:val="22"/>
              </w:rPr>
              <w:t>s</w:t>
            </w:r>
            <w:r w:rsidRPr="00AD55AA">
              <w:rPr>
                <w:sz w:val="22"/>
                <w:szCs w:val="22"/>
              </w:rPr>
              <w:t xml:space="preserve"> </w:t>
            </w:r>
            <w:r>
              <w:rPr>
                <w:sz w:val="22"/>
                <w:szCs w:val="22"/>
              </w:rPr>
              <w:t>before</w:t>
            </w:r>
            <w:r w:rsidRPr="00AD55AA">
              <w:rPr>
                <w:sz w:val="22"/>
                <w:szCs w:val="22"/>
              </w:rPr>
              <w:t xml:space="preserve"> CFIUS interventions</w:t>
            </w:r>
            <w:r>
              <w:rPr>
                <w:sz w:val="22"/>
                <w:szCs w:val="22"/>
              </w:rPr>
              <w:t>.</w:t>
            </w:r>
          </w:p>
        </w:tc>
        <w:tc>
          <w:tcPr>
            <w:tcW w:w="0" w:type="auto"/>
            <w:gridSpan w:val="2"/>
            <w:tcBorders>
              <w:top w:val="nil"/>
              <w:left w:val="nil"/>
              <w:bottom w:val="nil"/>
              <w:right w:val="nil"/>
            </w:tcBorders>
          </w:tcPr>
          <w:p w14:paraId="04B4BF4C" w14:textId="2B5957FE"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014A2693" w14:textId="77777777" w:rsidTr="00C91FF7">
        <w:trPr>
          <w:trHeight w:val="486"/>
        </w:trPr>
        <w:tc>
          <w:tcPr>
            <w:tcW w:w="0" w:type="auto"/>
            <w:tcBorders>
              <w:top w:val="nil"/>
              <w:left w:val="nil"/>
              <w:bottom w:val="nil"/>
              <w:right w:val="nil"/>
            </w:tcBorders>
          </w:tcPr>
          <w:p w14:paraId="2FCE0963"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0E4AF794"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6D08AFB8"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5F7ACAEF" w14:textId="77777777" w:rsidTr="00C91FF7">
        <w:trPr>
          <w:trHeight w:val="486"/>
        </w:trPr>
        <w:tc>
          <w:tcPr>
            <w:tcW w:w="0" w:type="auto"/>
            <w:tcBorders>
              <w:top w:val="nil"/>
              <w:left w:val="nil"/>
              <w:bottom w:val="nil"/>
              <w:right w:val="nil"/>
            </w:tcBorders>
          </w:tcPr>
          <w:p w14:paraId="08311825" w14:textId="3B5F1800" w:rsidR="00504F46" w:rsidRPr="00AD55AA" w:rsidRDefault="00504F46" w:rsidP="00504F46">
            <w:pPr>
              <w:widowControl w:val="0"/>
              <w:autoSpaceDE w:val="0"/>
              <w:autoSpaceDN w:val="0"/>
              <w:adjustRightInd w:val="0"/>
              <w:rPr>
                <w:sz w:val="22"/>
                <w:szCs w:val="22"/>
              </w:rPr>
            </w:pPr>
            <w:r w:rsidRPr="00AD55AA">
              <w:rPr>
                <w:sz w:val="22"/>
                <w:szCs w:val="22"/>
              </w:rPr>
              <w:t>CFIUS Trump</w:t>
            </w:r>
          </w:p>
        </w:tc>
        <w:tc>
          <w:tcPr>
            <w:tcW w:w="0" w:type="auto"/>
            <w:tcBorders>
              <w:top w:val="nil"/>
              <w:left w:val="nil"/>
              <w:bottom w:val="nil"/>
              <w:right w:val="nil"/>
            </w:tcBorders>
          </w:tcPr>
          <w:p w14:paraId="5E780022" w14:textId="4A289AFB" w:rsidR="00504F46" w:rsidRPr="00AD55AA" w:rsidRDefault="00504F46" w:rsidP="00504F46">
            <w:pPr>
              <w:widowControl w:val="0"/>
              <w:autoSpaceDE w:val="0"/>
              <w:autoSpaceDN w:val="0"/>
              <w:adjustRightInd w:val="0"/>
              <w:jc w:val="both"/>
              <w:rPr>
                <w:sz w:val="22"/>
                <w:szCs w:val="22"/>
              </w:rPr>
            </w:pPr>
            <w:r w:rsidRPr="00AD55AA">
              <w:rPr>
                <w:sz w:val="22"/>
                <w:szCs w:val="22"/>
              </w:rPr>
              <w:t>This variable is the interaction term between the “treatment group” and “post 2016 U</w:t>
            </w:r>
            <w:r>
              <w:rPr>
                <w:sz w:val="22"/>
                <w:szCs w:val="22"/>
              </w:rPr>
              <w:t>.</w:t>
            </w:r>
            <w:r w:rsidRPr="00AD55AA">
              <w:rPr>
                <w:sz w:val="22"/>
                <w:szCs w:val="22"/>
              </w:rPr>
              <w:t>S</w:t>
            </w:r>
            <w:r>
              <w:rPr>
                <w:sz w:val="22"/>
                <w:szCs w:val="22"/>
              </w:rPr>
              <w:t>.</w:t>
            </w:r>
            <w:r w:rsidRPr="00AD55AA">
              <w:rPr>
                <w:sz w:val="22"/>
                <w:szCs w:val="22"/>
              </w:rPr>
              <w:t xml:space="preserve"> presidential election”. It is an indicator variable equal to one for the three firm-year observations after the 2016 U</w:t>
            </w:r>
            <w:r>
              <w:rPr>
                <w:sz w:val="22"/>
                <w:szCs w:val="22"/>
              </w:rPr>
              <w:t>.S.</w:t>
            </w:r>
            <w:r w:rsidRPr="00AD55AA">
              <w:rPr>
                <w:sz w:val="22"/>
                <w:szCs w:val="22"/>
              </w:rPr>
              <w:t xml:space="preserve"> presidential election and zero otherwise. </w:t>
            </w:r>
          </w:p>
        </w:tc>
        <w:tc>
          <w:tcPr>
            <w:tcW w:w="0" w:type="auto"/>
            <w:gridSpan w:val="2"/>
            <w:tcBorders>
              <w:top w:val="nil"/>
              <w:left w:val="nil"/>
              <w:bottom w:val="nil"/>
              <w:right w:val="nil"/>
            </w:tcBorders>
          </w:tcPr>
          <w:p w14:paraId="3CA9F723" w14:textId="12CE6701"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1D17D7D5" w14:textId="77777777" w:rsidTr="00C91FF7">
        <w:trPr>
          <w:trHeight w:val="486"/>
        </w:trPr>
        <w:tc>
          <w:tcPr>
            <w:tcW w:w="0" w:type="auto"/>
            <w:tcBorders>
              <w:top w:val="nil"/>
              <w:left w:val="nil"/>
              <w:bottom w:val="nil"/>
              <w:right w:val="nil"/>
            </w:tcBorders>
          </w:tcPr>
          <w:p w14:paraId="4BA420A0"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72846859"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5CA41072"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6ADA405D" w14:textId="77777777" w:rsidTr="00C91FF7">
        <w:trPr>
          <w:trHeight w:val="486"/>
        </w:trPr>
        <w:tc>
          <w:tcPr>
            <w:tcW w:w="0" w:type="auto"/>
            <w:tcBorders>
              <w:top w:val="nil"/>
              <w:left w:val="nil"/>
              <w:bottom w:val="nil"/>
              <w:right w:val="nil"/>
            </w:tcBorders>
          </w:tcPr>
          <w:p w14:paraId="16F020A1" w14:textId="7DFC0C4F" w:rsidR="00504F46" w:rsidRPr="00AD55AA" w:rsidRDefault="00504F46" w:rsidP="00504F46">
            <w:pPr>
              <w:widowControl w:val="0"/>
              <w:autoSpaceDE w:val="0"/>
              <w:autoSpaceDN w:val="0"/>
              <w:adjustRightInd w:val="0"/>
              <w:rPr>
                <w:sz w:val="22"/>
                <w:szCs w:val="22"/>
              </w:rPr>
            </w:pPr>
            <w:r w:rsidRPr="00AD55AA">
              <w:rPr>
                <w:sz w:val="22"/>
                <w:szCs w:val="22"/>
              </w:rPr>
              <w:t>CFIUS Block pre-Trump</w:t>
            </w:r>
          </w:p>
        </w:tc>
        <w:tc>
          <w:tcPr>
            <w:tcW w:w="0" w:type="auto"/>
            <w:tcBorders>
              <w:top w:val="nil"/>
              <w:left w:val="nil"/>
              <w:bottom w:val="nil"/>
              <w:right w:val="nil"/>
            </w:tcBorders>
          </w:tcPr>
          <w:p w14:paraId="15208B92" w14:textId="21F61085" w:rsidR="00504F46" w:rsidRPr="00AD55AA" w:rsidRDefault="00504F46" w:rsidP="00504F46">
            <w:pPr>
              <w:widowControl w:val="0"/>
              <w:autoSpaceDE w:val="0"/>
              <w:autoSpaceDN w:val="0"/>
              <w:adjustRightInd w:val="0"/>
              <w:jc w:val="both"/>
              <w:rPr>
                <w:sz w:val="22"/>
                <w:szCs w:val="22"/>
              </w:rPr>
            </w:pPr>
            <w:r w:rsidRPr="00AD55AA">
              <w:rPr>
                <w:sz w:val="22"/>
                <w:szCs w:val="22"/>
              </w:rPr>
              <w:t>Indicator variable defined as the variable CFIUS Block. Only CFIUS interventions before the 2016 U</w:t>
            </w:r>
            <w:r>
              <w:rPr>
                <w:sz w:val="22"/>
                <w:szCs w:val="22"/>
              </w:rPr>
              <w:t>.</w:t>
            </w:r>
            <w:r w:rsidRPr="00AD55AA">
              <w:rPr>
                <w:sz w:val="22"/>
                <w:szCs w:val="22"/>
              </w:rPr>
              <w:t>S</w:t>
            </w:r>
            <w:r>
              <w:rPr>
                <w:sz w:val="22"/>
                <w:szCs w:val="22"/>
              </w:rPr>
              <w:t>.</w:t>
            </w:r>
            <w:r w:rsidRPr="00AD55AA">
              <w:rPr>
                <w:sz w:val="22"/>
                <w:szCs w:val="22"/>
              </w:rPr>
              <w:t xml:space="preserve"> presidential election are included.</w:t>
            </w:r>
          </w:p>
        </w:tc>
        <w:tc>
          <w:tcPr>
            <w:tcW w:w="0" w:type="auto"/>
            <w:gridSpan w:val="2"/>
            <w:tcBorders>
              <w:top w:val="nil"/>
              <w:left w:val="nil"/>
              <w:bottom w:val="nil"/>
              <w:right w:val="nil"/>
            </w:tcBorders>
          </w:tcPr>
          <w:p w14:paraId="1C9713AB" w14:textId="135960AB"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11790597" w14:textId="77777777" w:rsidTr="00C91FF7">
        <w:trPr>
          <w:trHeight w:val="486"/>
        </w:trPr>
        <w:tc>
          <w:tcPr>
            <w:tcW w:w="0" w:type="auto"/>
            <w:tcBorders>
              <w:top w:val="nil"/>
              <w:left w:val="nil"/>
              <w:bottom w:val="nil"/>
              <w:right w:val="nil"/>
            </w:tcBorders>
          </w:tcPr>
          <w:p w14:paraId="5631D50F"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50C77C9C"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1004568C"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6B8EE5BC" w14:textId="77777777" w:rsidTr="00C91FF7">
        <w:trPr>
          <w:trHeight w:val="486"/>
        </w:trPr>
        <w:tc>
          <w:tcPr>
            <w:tcW w:w="0" w:type="auto"/>
            <w:tcBorders>
              <w:top w:val="nil"/>
              <w:left w:val="nil"/>
              <w:bottom w:val="nil"/>
              <w:right w:val="nil"/>
            </w:tcBorders>
          </w:tcPr>
          <w:p w14:paraId="45D991C0" w14:textId="66DE4DE5" w:rsidR="00504F46" w:rsidRPr="00AD55AA" w:rsidRDefault="00504F46" w:rsidP="00504F46">
            <w:pPr>
              <w:widowControl w:val="0"/>
              <w:autoSpaceDE w:val="0"/>
              <w:autoSpaceDN w:val="0"/>
              <w:adjustRightInd w:val="0"/>
              <w:rPr>
                <w:sz w:val="22"/>
                <w:szCs w:val="22"/>
              </w:rPr>
            </w:pPr>
            <w:r w:rsidRPr="00AD55AA">
              <w:rPr>
                <w:sz w:val="22"/>
                <w:szCs w:val="22"/>
              </w:rPr>
              <w:t>CFIUS Block post-Trump</w:t>
            </w:r>
          </w:p>
        </w:tc>
        <w:tc>
          <w:tcPr>
            <w:tcW w:w="0" w:type="auto"/>
            <w:tcBorders>
              <w:top w:val="nil"/>
              <w:left w:val="nil"/>
              <w:bottom w:val="nil"/>
              <w:right w:val="nil"/>
            </w:tcBorders>
          </w:tcPr>
          <w:p w14:paraId="46B95967" w14:textId="33F9F283" w:rsidR="00504F46" w:rsidRPr="00AD55AA" w:rsidRDefault="00504F46" w:rsidP="00504F46">
            <w:pPr>
              <w:widowControl w:val="0"/>
              <w:autoSpaceDE w:val="0"/>
              <w:autoSpaceDN w:val="0"/>
              <w:adjustRightInd w:val="0"/>
              <w:jc w:val="both"/>
              <w:rPr>
                <w:sz w:val="22"/>
                <w:szCs w:val="22"/>
              </w:rPr>
            </w:pPr>
            <w:r w:rsidRPr="00AD55AA">
              <w:rPr>
                <w:sz w:val="22"/>
                <w:szCs w:val="22"/>
              </w:rPr>
              <w:t>Indicator variable defined as the variable CFIUS Block. Only CFIUS interventions after the 2016 U</w:t>
            </w:r>
            <w:r>
              <w:rPr>
                <w:sz w:val="22"/>
                <w:szCs w:val="22"/>
              </w:rPr>
              <w:t>.</w:t>
            </w:r>
            <w:r w:rsidRPr="00AD55AA">
              <w:rPr>
                <w:sz w:val="22"/>
                <w:szCs w:val="22"/>
              </w:rPr>
              <w:t>S</w:t>
            </w:r>
            <w:r>
              <w:rPr>
                <w:sz w:val="22"/>
                <w:szCs w:val="22"/>
              </w:rPr>
              <w:t>.</w:t>
            </w:r>
            <w:r w:rsidRPr="00AD55AA">
              <w:rPr>
                <w:sz w:val="22"/>
                <w:szCs w:val="22"/>
              </w:rPr>
              <w:t xml:space="preserve"> presidential election are included.</w:t>
            </w:r>
          </w:p>
        </w:tc>
        <w:tc>
          <w:tcPr>
            <w:tcW w:w="0" w:type="auto"/>
            <w:gridSpan w:val="2"/>
            <w:tcBorders>
              <w:top w:val="nil"/>
              <w:left w:val="nil"/>
              <w:bottom w:val="nil"/>
              <w:right w:val="nil"/>
            </w:tcBorders>
          </w:tcPr>
          <w:p w14:paraId="4FA79869" w14:textId="551534A0"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7AF0A9F7" w14:textId="77777777" w:rsidTr="00C91FF7">
        <w:trPr>
          <w:trHeight w:val="486"/>
        </w:trPr>
        <w:tc>
          <w:tcPr>
            <w:tcW w:w="0" w:type="auto"/>
            <w:tcBorders>
              <w:top w:val="nil"/>
              <w:left w:val="nil"/>
              <w:bottom w:val="nil"/>
              <w:right w:val="nil"/>
            </w:tcBorders>
          </w:tcPr>
          <w:p w14:paraId="16DEC027"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7A7E68CA"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5E86F84E"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04FF030F" w14:textId="77777777" w:rsidTr="00C91FF7">
        <w:trPr>
          <w:trHeight w:val="486"/>
        </w:trPr>
        <w:tc>
          <w:tcPr>
            <w:tcW w:w="0" w:type="auto"/>
            <w:tcBorders>
              <w:top w:val="nil"/>
              <w:left w:val="nil"/>
              <w:bottom w:val="nil"/>
              <w:right w:val="nil"/>
            </w:tcBorders>
          </w:tcPr>
          <w:p w14:paraId="477DEF86" w14:textId="77777777" w:rsidR="00504F46" w:rsidRPr="00AD55AA" w:rsidRDefault="00504F46" w:rsidP="00504F46">
            <w:pPr>
              <w:widowControl w:val="0"/>
              <w:autoSpaceDE w:val="0"/>
              <w:autoSpaceDN w:val="0"/>
              <w:adjustRightInd w:val="0"/>
              <w:rPr>
                <w:sz w:val="22"/>
                <w:szCs w:val="22"/>
              </w:rPr>
            </w:pPr>
            <w:r w:rsidRPr="00AD55AA">
              <w:rPr>
                <w:sz w:val="22"/>
                <w:szCs w:val="22"/>
              </w:rPr>
              <w:t>CFIUS Block one year</w:t>
            </w:r>
          </w:p>
        </w:tc>
        <w:tc>
          <w:tcPr>
            <w:tcW w:w="0" w:type="auto"/>
            <w:tcBorders>
              <w:top w:val="nil"/>
              <w:left w:val="nil"/>
              <w:bottom w:val="nil"/>
              <w:right w:val="nil"/>
            </w:tcBorders>
          </w:tcPr>
          <w:p w14:paraId="455AC9E9" w14:textId="3877F287" w:rsidR="00504F46" w:rsidRPr="00AD55AA" w:rsidRDefault="00504F46" w:rsidP="00504F46">
            <w:pPr>
              <w:widowControl w:val="0"/>
              <w:autoSpaceDE w:val="0"/>
              <w:autoSpaceDN w:val="0"/>
              <w:adjustRightInd w:val="0"/>
              <w:jc w:val="both"/>
              <w:rPr>
                <w:sz w:val="22"/>
                <w:szCs w:val="22"/>
              </w:rPr>
            </w:pPr>
            <w:r w:rsidRPr="00AD55AA">
              <w:rPr>
                <w:sz w:val="22"/>
                <w:szCs w:val="22"/>
              </w:rPr>
              <w:t>Indicator variable defined as the variable CFIUS Block. It takes the value of one for the first year after CFIUS interventions.</w:t>
            </w:r>
          </w:p>
        </w:tc>
        <w:tc>
          <w:tcPr>
            <w:tcW w:w="0" w:type="auto"/>
            <w:gridSpan w:val="2"/>
            <w:tcBorders>
              <w:top w:val="nil"/>
              <w:left w:val="nil"/>
              <w:bottom w:val="nil"/>
              <w:right w:val="nil"/>
            </w:tcBorders>
          </w:tcPr>
          <w:p w14:paraId="4700CE81" w14:textId="24DF60D5"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0E190F89" w14:textId="77777777" w:rsidTr="00C91FF7">
        <w:trPr>
          <w:trHeight w:val="486"/>
        </w:trPr>
        <w:tc>
          <w:tcPr>
            <w:tcW w:w="0" w:type="auto"/>
            <w:tcBorders>
              <w:top w:val="nil"/>
              <w:left w:val="nil"/>
              <w:bottom w:val="nil"/>
              <w:right w:val="nil"/>
            </w:tcBorders>
          </w:tcPr>
          <w:p w14:paraId="462501E8"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14C7089C"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32A20EA8"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14FFB9F3" w14:textId="77777777" w:rsidTr="00C91FF7">
        <w:trPr>
          <w:trHeight w:val="486"/>
        </w:trPr>
        <w:tc>
          <w:tcPr>
            <w:tcW w:w="0" w:type="auto"/>
            <w:tcBorders>
              <w:top w:val="nil"/>
              <w:left w:val="nil"/>
              <w:bottom w:val="nil"/>
              <w:right w:val="nil"/>
            </w:tcBorders>
          </w:tcPr>
          <w:p w14:paraId="7275BFB3" w14:textId="77777777" w:rsidR="00504F46" w:rsidRPr="00AD55AA" w:rsidRDefault="00504F46" w:rsidP="00504F46">
            <w:pPr>
              <w:widowControl w:val="0"/>
              <w:autoSpaceDE w:val="0"/>
              <w:autoSpaceDN w:val="0"/>
              <w:adjustRightInd w:val="0"/>
              <w:rPr>
                <w:sz w:val="22"/>
                <w:szCs w:val="22"/>
              </w:rPr>
            </w:pPr>
            <w:r w:rsidRPr="00AD55AA">
              <w:rPr>
                <w:sz w:val="22"/>
                <w:szCs w:val="22"/>
              </w:rPr>
              <w:t>CFIUS Block two years</w:t>
            </w:r>
          </w:p>
        </w:tc>
        <w:tc>
          <w:tcPr>
            <w:tcW w:w="0" w:type="auto"/>
            <w:tcBorders>
              <w:top w:val="nil"/>
              <w:left w:val="nil"/>
              <w:bottom w:val="nil"/>
              <w:right w:val="nil"/>
            </w:tcBorders>
          </w:tcPr>
          <w:p w14:paraId="2A483A6D" w14:textId="6C9FEB66" w:rsidR="00504F46" w:rsidRPr="00AD55AA" w:rsidRDefault="00504F46" w:rsidP="00504F46">
            <w:pPr>
              <w:widowControl w:val="0"/>
              <w:autoSpaceDE w:val="0"/>
              <w:autoSpaceDN w:val="0"/>
              <w:adjustRightInd w:val="0"/>
              <w:jc w:val="both"/>
              <w:rPr>
                <w:sz w:val="22"/>
                <w:szCs w:val="22"/>
              </w:rPr>
            </w:pPr>
            <w:r w:rsidRPr="00AD55AA">
              <w:rPr>
                <w:sz w:val="22"/>
                <w:szCs w:val="22"/>
              </w:rPr>
              <w:t>Indicator variable defined as the variable CFIUS Block. It takes the value of one for the two years after CFIUS interventions.</w:t>
            </w:r>
          </w:p>
        </w:tc>
        <w:tc>
          <w:tcPr>
            <w:tcW w:w="0" w:type="auto"/>
            <w:gridSpan w:val="2"/>
            <w:tcBorders>
              <w:top w:val="nil"/>
              <w:left w:val="nil"/>
              <w:bottom w:val="nil"/>
              <w:right w:val="nil"/>
            </w:tcBorders>
          </w:tcPr>
          <w:p w14:paraId="2FF63FF0" w14:textId="1BD95287"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5E878F90" w14:textId="77777777" w:rsidTr="00C91FF7">
        <w:trPr>
          <w:trHeight w:val="486"/>
        </w:trPr>
        <w:tc>
          <w:tcPr>
            <w:tcW w:w="0" w:type="auto"/>
            <w:tcBorders>
              <w:top w:val="nil"/>
              <w:left w:val="nil"/>
              <w:bottom w:val="nil"/>
              <w:right w:val="nil"/>
            </w:tcBorders>
          </w:tcPr>
          <w:p w14:paraId="318D5800"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1675BEBC"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3E22F7C1"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56DACEDB" w14:textId="77777777" w:rsidTr="00C91FF7">
        <w:trPr>
          <w:trHeight w:val="486"/>
        </w:trPr>
        <w:tc>
          <w:tcPr>
            <w:tcW w:w="0" w:type="auto"/>
            <w:tcBorders>
              <w:top w:val="nil"/>
              <w:left w:val="nil"/>
              <w:bottom w:val="nil"/>
              <w:right w:val="nil"/>
            </w:tcBorders>
          </w:tcPr>
          <w:p w14:paraId="119B6919" w14:textId="77777777" w:rsidR="00504F46" w:rsidRPr="00AD55AA" w:rsidRDefault="00504F46" w:rsidP="00504F46">
            <w:pPr>
              <w:widowControl w:val="0"/>
              <w:autoSpaceDE w:val="0"/>
              <w:autoSpaceDN w:val="0"/>
              <w:adjustRightInd w:val="0"/>
              <w:rPr>
                <w:sz w:val="22"/>
                <w:szCs w:val="22"/>
              </w:rPr>
            </w:pPr>
            <w:r w:rsidRPr="00AD55AA">
              <w:rPr>
                <w:sz w:val="22"/>
                <w:szCs w:val="22"/>
              </w:rPr>
              <w:t>CFIUS Block four years</w:t>
            </w:r>
          </w:p>
        </w:tc>
        <w:tc>
          <w:tcPr>
            <w:tcW w:w="0" w:type="auto"/>
            <w:tcBorders>
              <w:top w:val="nil"/>
              <w:left w:val="nil"/>
              <w:bottom w:val="nil"/>
              <w:right w:val="nil"/>
            </w:tcBorders>
          </w:tcPr>
          <w:p w14:paraId="121B9922" w14:textId="4E169766" w:rsidR="00504F46" w:rsidRPr="00AD55AA" w:rsidRDefault="00504F46" w:rsidP="00504F46">
            <w:pPr>
              <w:widowControl w:val="0"/>
              <w:autoSpaceDE w:val="0"/>
              <w:autoSpaceDN w:val="0"/>
              <w:adjustRightInd w:val="0"/>
              <w:jc w:val="both"/>
              <w:rPr>
                <w:sz w:val="22"/>
                <w:szCs w:val="22"/>
              </w:rPr>
            </w:pPr>
            <w:r w:rsidRPr="00AD55AA">
              <w:rPr>
                <w:sz w:val="22"/>
                <w:szCs w:val="22"/>
              </w:rPr>
              <w:t>Indicator variable defined as the variable CFIUS Block. It takes the value of one for the four years after CFIUS interventions.</w:t>
            </w:r>
          </w:p>
        </w:tc>
        <w:tc>
          <w:tcPr>
            <w:tcW w:w="0" w:type="auto"/>
            <w:gridSpan w:val="2"/>
            <w:tcBorders>
              <w:top w:val="nil"/>
              <w:left w:val="nil"/>
              <w:bottom w:val="nil"/>
              <w:right w:val="nil"/>
            </w:tcBorders>
          </w:tcPr>
          <w:p w14:paraId="47CE77E8" w14:textId="59BE53A5"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25A7C875" w14:textId="77777777" w:rsidTr="00C91FF7">
        <w:trPr>
          <w:trHeight w:val="486"/>
        </w:trPr>
        <w:tc>
          <w:tcPr>
            <w:tcW w:w="0" w:type="auto"/>
            <w:tcBorders>
              <w:top w:val="nil"/>
              <w:left w:val="nil"/>
              <w:bottom w:val="nil"/>
              <w:right w:val="nil"/>
            </w:tcBorders>
          </w:tcPr>
          <w:p w14:paraId="233E7DA7"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2F673E32"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26C9C56E"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5898B87B" w14:textId="77777777" w:rsidTr="00C91FF7">
        <w:trPr>
          <w:trHeight w:val="486"/>
        </w:trPr>
        <w:tc>
          <w:tcPr>
            <w:tcW w:w="0" w:type="auto"/>
            <w:tcBorders>
              <w:top w:val="nil"/>
              <w:left w:val="nil"/>
              <w:bottom w:val="nil"/>
              <w:right w:val="nil"/>
            </w:tcBorders>
          </w:tcPr>
          <w:p w14:paraId="3351BC74" w14:textId="2F980451" w:rsidR="00504F46" w:rsidRPr="00AD55AA" w:rsidRDefault="00504F46" w:rsidP="00504F46">
            <w:pPr>
              <w:widowControl w:val="0"/>
              <w:autoSpaceDE w:val="0"/>
              <w:autoSpaceDN w:val="0"/>
              <w:adjustRightInd w:val="0"/>
              <w:rPr>
                <w:sz w:val="22"/>
                <w:szCs w:val="22"/>
              </w:rPr>
            </w:pPr>
            <w:r w:rsidRPr="00AD55AA">
              <w:rPr>
                <w:sz w:val="22"/>
                <w:szCs w:val="22"/>
              </w:rPr>
              <w:t>CFIUS Block all deals</w:t>
            </w:r>
          </w:p>
        </w:tc>
        <w:tc>
          <w:tcPr>
            <w:tcW w:w="0" w:type="auto"/>
            <w:tcBorders>
              <w:top w:val="nil"/>
              <w:left w:val="nil"/>
              <w:bottom w:val="nil"/>
              <w:right w:val="nil"/>
            </w:tcBorders>
          </w:tcPr>
          <w:p w14:paraId="61B76AD5" w14:textId="574E0E3C" w:rsidR="00504F46" w:rsidRPr="00AD55AA" w:rsidRDefault="00504F46" w:rsidP="00504F46">
            <w:pPr>
              <w:widowControl w:val="0"/>
              <w:autoSpaceDE w:val="0"/>
              <w:autoSpaceDN w:val="0"/>
              <w:adjustRightInd w:val="0"/>
              <w:jc w:val="both"/>
              <w:rPr>
                <w:sz w:val="22"/>
                <w:szCs w:val="22"/>
              </w:rPr>
            </w:pPr>
            <w:r w:rsidRPr="00AD55AA">
              <w:rPr>
                <w:sz w:val="22"/>
                <w:szCs w:val="22"/>
              </w:rPr>
              <w:t xml:space="preserve">Indicator variable defined as the variable CFIUS Block. We </w:t>
            </w:r>
            <w:r>
              <w:rPr>
                <w:sz w:val="22"/>
                <w:szCs w:val="22"/>
              </w:rPr>
              <w:t>include</w:t>
            </w:r>
            <w:r w:rsidRPr="00AD55AA">
              <w:rPr>
                <w:sz w:val="22"/>
                <w:szCs w:val="22"/>
              </w:rPr>
              <w:t xml:space="preserve"> asset deals, listed and private targets. </w:t>
            </w:r>
            <w:r w:rsidRPr="00AD55AA">
              <w:rPr>
                <w:rFonts w:eastAsiaTheme="minorHAnsi"/>
                <w:sz w:val="22"/>
                <w:szCs w:val="22"/>
                <w:lang w:eastAsia="en-US"/>
              </w:rPr>
              <w:t xml:space="preserve">Using the </w:t>
            </w:r>
            <w:r w:rsidRPr="00AD55AA">
              <w:rPr>
                <w:rFonts w:eastAsiaTheme="minorHAnsi"/>
                <w:color w:val="000000" w:themeColor="text1"/>
                <w:sz w:val="22"/>
                <w:szCs w:val="22"/>
                <w:lang w:eastAsia="en-US"/>
              </w:rPr>
              <w:t>SIC three-digit code classification, the treatment group consists of</w:t>
            </w:r>
            <w:r w:rsidRPr="00AD55AA">
              <w:rPr>
                <w:rFonts w:eastAsiaTheme="minorHAnsi"/>
                <w:sz w:val="22"/>
                <w:szCs w:val="22"/>
                <w:lang w:eastAsia="en-US"/>
              </w:rPr>
              <w:t xml:space="preserve"> the peers belonging to the industry of the target of a blocked acquisition</w:t>
            </w:r>
            <w:r>
              <w:rPr>
                <w:sz w:val="22"/>
                <w:szCs w:val="22"/>
              </w:rPr>
              <w:t>.</w:t>
            </w:r>
          </w:p>
        </w:tc>
        <w:tc>
          <w:tcPr>
            <w:tcW w:w="0" w:type="auto"/>
            <w:gridSpan w:val="2"/>
            <w:tcBorders>
              <w:top w:val="nil"/>
              <w:left w:val="nil"/>
              <w:bottom w:val="nil"/>
              <w:right w:val="nil"/>
            </w:tcBorders>
          </w:tcPr>
          <w:p w14:paraId="548A4C2A" w14:textId="399B8254" w:rsidR="00504F46" w:rsidRPr="00AD55AA" w:rsidRDefault="00504F46" w:rsidP="00504F46">
            <w:pPr>
              <w:widowControl w:val="0"/>
              <w:autoSpaceDE w:val="0"/>
              <w:autoSpaceDN w:val="0"/>
              <w:adjustRightInd w:val="0"/>
              <w:jc w:val="both"/>
              <w:rPr>
                <w:sz w:val="22"/>
                <w:szCs w:val="22"/>
              </w:rPr>
            </w:pPr>
            <w:r w:rsidRPr="00AD55AA">
              <w:rPr>
                <w:sz w:val="22"/>
                <w:szCs w:val="22"/>
              </w:rPr>
              <w:t>Factiva, SEC EDGAR</w:t>
            </w:r>
          </w:p>
        </w:tc>
      </w:tr>
      <w:tr w:rsidR="00504F46" w:rsidRPr="00AD55AA" w14:paraId="7025D322" w14:textId="77777777" w:rsidTr="00C91FF7">
        <w:trPr>
          <w:trHeight w:val="486"/>
        </w:trPr>
        <w:tc>
          <w:tcPr>
            <w:tcW w:w="0" w:type="auto"/>
            <w:tcBorders>
              <w:top w:val="nil"/>
              <w:left w:val="nil"/>
              <w:bottom w:val="nil"/>
              <w:right w:val="nil"/>
            </w:tcBorders>
          </w:tcPr>
          <w:p w14:paraId="34193885"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469A1A16"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20E79AAE"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7343A12C" w14:textId="77777777" w:rsidTr="00C91FF7">
        <w:trPr>
          <w:trHeight w:val="486"/>
        </w:trPr>
        <w:tc>
          <w:tcPr>
            <w:tcW w:w="0" w:type="auto"/>
            <w:tcBorders>
              <w:top w:val="nil"/>
              <w:left w:val="nil"/>
              <w:bottom w:val="nil"/>
              <w:right w:val="nil"/>
            </w:tcBorders>
          </w:tcPr>
          <w:p w14:paraId="3E4DE535" w14:textId="6DF3BD4F" w:rsidR="00504F46" w:rsidRPr="00AD55AA" w:rsidRDefault="00504F46" w:rsidP="00504F46">
            <w:pPr>
              <w:widowControl w:val="0"/>
              <w:autoSpaceDE w:val="0"/>
              <w:autoSpaceDN w:val="0"/>
              <w:adjustRightInd w:val="0"/>
              <w:rPr>
                <w:sz w:val="22"/>
                <w:szCs w:val="22"/>
              </w:rPr>
            </w:pPr>
            <w:r w:rsidRPr="00AD55AA">
              <w:rPr>
                <w:sz w:val="22"/>
                <w:szCs w:val="22"/>
              </w:rPr>
              <w:t>FINSA</w:t>
            </w:r>
          </w:p>
        </w:tc>
        <w:tc>
          <w:tcPr>
            <w:tcW w:w="0" w:type="auto"/>
            <w:tcBorders>
              <w:top w:val="nil"/>
              <w:left w:val="nil"/>
              <w:bottom w:val="nil"/>
              <w:right w:val="nil"/>
            </w:tcBorders>
          </w:tcPr>
          <w:p w14:paraId="4D5EE52A" w14:textId="3AB27AE2" w:rsidR="00504F46" w:rsidRPr="00AD55AA" w:rsidRDefault="00504F46" w:rsidP="00504F46">
            <w:pPr>
              <w:widowControl w:val="0"/>
              <w:autoSpaceDE w:val="0"/>
              <w:autoSpaceDN w:val="0"/>
              <w:adjustRightInd w:val="0"/>
              <w:jc w:val="both"/>
              <w:rPr>
                <w:sz w:val="22"/>
                <w:szCs w:val="22"/>
              </w:rPr>
            </w:pPr>
            <w:r w:rsidRPr="00AD55AA">
              <w:rPr>
                <w:sz w:val="22"/>
                <w:szCs w:val="22"/>
              </w:rPr>
              <w:t>FINSA contains a list of 61 SIC four-digit code (32 SIC three-digit code) critical industries. The treatment group consists of firms belonging to the list</w:t>
            </w:r>
            <w:r>
              <w:rPr>
                <w:sz w:val="22"/>
                <w:szCs w:val="22"/>
              </w:rPr>
              <w:t xml:space="preserve"> of critical industries according to FINSA</w:t>
            </w:r>
            <w:r w:rsidRPr="00AD55AA">
              <w:rPr>
                <w:sz w:val="22"/>
                <w:szCs w:val="22"/>
              </w:rPr>
              <w:t xml:space="preserve">. This variable is the interaction term between the “treatment group” and “post </w:t>
            </w:r>
            <w:r>
              <w:rPr>
                <w:sz w:val="22"/>
                <w:szCs w:val="22"/>
              </w:rPr>
              <w:t xml:space="preserve">FINSA </w:t>
            </w:r>
            <w:r w:rsidRPr="00AD55AA">
              <w:rPr>
                <w:sz w:val="22"/>
                <w:szCs w:val="22"/>
              </w:rPr>
              <w:t>adoption”. It is an indicator variable equal to one for all observations after the adoption and zero otherwise.</w:t>
            </w:r>
          </w:p>
        </w:tc>
        <w:tc>
          <w:tcPr>
            <w:tcW w:w="0" w:type="auto"/>
            <w:gridSpan w:val="2"/>
            <w:tcBorders>
              <w:top w:val="nil"/>
              <w:left w:val="nil"/>
              <w:bottom w:val="nil"/>
              <w:right w:val="nil"/>
            </w:tcBorders>
          </w:tcPr>
          <w:p w14:paraId="4C8A5DF7" w14:textId="6C20FB41" w:rsidR="00504F46" w:rsidRPr="00AD55AA" w:rsidRDefault="00504F46" w:rsidP="00504F46">
            <w:pPr>
              <w:widowControl w:val="0"/>
              <w:autoSpaceDE w:val="0"/>
              <w:autoSpaceDN w:val="0"/>
              <w:adjustRightInd w:val="0"/>
              <w:jc w:val="both"/>
              <w:rPr>
                <w:sz w:val="22"/>
                <w:szCs w:val="22"/>
              </w:rPr>
            </w:pPr>
            <w:r w:rsidRPr="00AD55AA">
              <w:rPr>
                <w:sz w:val="22"/>
                <w:szCs w:val="22"/>
              </w:rPr>
              <w:t>CFIUS annual report</w:t>
            </w:r>
          </w:p>
        </w:tc>
      </w:tr>
      <w:tr w:rsidR="00504F46" w:rsidRPr="00AD55AA" w14:paraId="2B105CFB" w14:textId="77777777" w:rsidTr="00C91FF7">
        <w:trPr>
          <w:trHeight w:val="486"/>
        </w:trPr>
        <w:tc>
          <w:tcPr>
            <w:tcW w:w="0" w:type="auto"/>
            <w:tcBorders>
              <w:top w:val="nil"/>
              <w:left w:val="nil"/>
              <w:bottom w:val="nil"/>
              <w:right w:val="nil"/>
            </w:tcBorders>
          </w:tcPr>
          <w:p w14:paraId="3988C613"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4F23A6F6"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25C8FFF7"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4CF49AF4" w14:textId="77777777" w:rsidTr="00C91FF7">
        <w:trPr>
          <w:trHeight w:val="486"/>
        </w:trPr>
        <w:tc>
          <w:tcPr>
            <w:tcW w:w="0" w:type="auto"/>
            <w:tcBorders>
              <w:top w:val="nil"/>
              <w:left w:val="nil"/>
              <w:bottom w:val="nil"/>
              <w:right w:val="nil"/>
            </w:tcBorders>
          </w:tcPr>
          <w:p w14:paraId="78438389" w14:textId="0240CB3E" w:rsidR="00504F46" w:rsidRPr="00AD55AA" w:rsidRDefault="00504F46" w:rsidP="00504F46">
            <w:pPr>
              <w:widowControl w:val="0"/>
              <w:autoSpaceDE w:val="0"/>
              <w:autoSpaceDN w:val="0"/>
              <w:adjustRightInd w:val="0"/>
              <w:rPr>
                <w:sz w:val="22"/>
                <w:szCs w:val="22"/>
              </w:rPr>
            </w:pPr>
            <w:r w:rsidRPr="00AD55AA">
              <w:rPr>
                <w:sz w:val="22"/>
                <w:szCs w:val="22"/>
              </w:rPr>
              <w:t>Payout</w:t>
            </w:r>
          </w:p>
        </w:tc>
        <w:tc>
          <w:tcPr>
            <w:tcW w:w="0" w:type="auto"/>
            <w:tcBorders>
              <w:top w:val="nil"/>
              <w:left w:val="nil"/>
              <w:bottom w:val="nil"/>
              <w:right w:val="nil"/>
            </w:tcBorders>
          </w:tcPr>
          <w:p w14:paraId="511A1B26" w14:textId="4B29033C" w:rsidR="00504F46" w:rsidRPr="00AD55AA" w:rsidRDefault="00504F46" w:rsidP="00504F46">
            <w:pPr>
              <w:widowControl w:val="0"/>
              <w:autoSpaceDE w:val="0"/>
              <w:autoSpaceDN w:val="0"/>
              <w:adjustRightInd w:val="0"/>
              <w:jc w:val="both"/>
              <w:rPr>
                <w:sz w:val="22"/>
                <w:szCs w:val="22"/>
              </w:rPr>
            </w:pPr>
            <w:r w:rsidRPr="00AD55AA">
              <w:rPr>
                <w:sz w:val="22"/>
                <w:szCs w:val="22"/>
              </w:rPr>
              <w:t>Total dividends (DVT) + share buybacks (</w:t>
            </w:r>
            <w:r w:rsidRPr="00AD55AA">
              <w:rPr>
                <w:rFonts w:eastAsiaTheme="minorHAnsi"/>
                <w:sz w:val="22"/>
                <w:szCs w:val="22"/>
                <w:lang w:eastAsia="en-US"/>
              </w:rPr>
              <w:t xml:space="preserve">PRSTKC). </w:t>
            </w:r>
            <w:r w:rsidRPr="00AD55AA">
              <w:rPr>
                <w:sz w:val="22"/>
                <w:szCs w:val="22"/>
              </w:rPr>
              <w:t>It is an indicator variable equal to one if the firm has positive distributions and zero otherwise.</w:t>
            </w:r>
          </w:p>
        </w:tc>
        <w:tc>
          <w:tcPr>
            <w:tcW w:w="0" w:type="auto"/>
            <w:gridSpan w:val="2"/>
            <w:tcBorders>
              <w:top w:val="nil"/>
              <w:left w:val="nil"/>
              <w:bottom w:val="nil"/>
              <w:right w:val="nil"/>
            </w:tcBorders>
          </w:tcPr>
          <w:p w14:paraId="71906EB9" w14:textId="77777777" w:rsidR="00504F46" w:rsidRPr="00AD55AA" w:rsidRDefault="00504F46" w:rsidP="00504F46">
            <w:pPr>
              <w:widowControl w:val="0"/>
              <w:autoSpaceDE w:val="0"/>
              <w:autoSpaceDN w:val="0"/>
              <w:adjustRightInd w:val="0"/>
              <w:jc w:val="both"/>
              <w:rPr>
                <w:sz w:val="22"/>
                <w:szCs w:val="22"/>
              </w:rPr>
            </w:pPr>
            <w:r w:rsidRPr="00AD55AA">
              <w:rPr>
                <w:sz w:val="22"/>
                <w:szCs w:val="22"/>
              </w:rPr>
              <w:t>Compustat</w:t>
            </w:r>
          </w:p>
        </w:tc>
      </w:tr>
      <w:tr w:rsidR="00504F46" w:rsidRPr="00AD55AA" w14:paraId="555DB717" w14:textId="77777777" w:rsidTr="00C91FF7">
        <w:trPr>
          <w:trHeight w:val="486"/>
        </w:trPr>
        <w:tc>
          <w:tcPr>
            <w:tcW w:w="0" w:type="auto"/>
            <w:tcBorders>
              <w:top w:val="nil"/>
              <w:left w:val="nil"/>
              <w:bottom w:val="nil"/>
              <w:right w:val="nil"/>
            </w:tcBorders>
          </w:tcPr>
          <w:p w14:paraId="5EE96445"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3AB89EE8"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57B4FD13"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0358E1DB" w14:textId="77777777" w:rsidTr="00C91FF7">
        <w:trPr>
          <w:trHeight w:val="486"/>
        </w:trPr>
        <w:tc>
          <w:tcPr>
            <w:tcW w:w="0" w:type="auto"/>
            <w:tcBorders>
              <w:top w:val="nil"/>
              <w:left w:val="nil"/>
              <w:bottom w:val="nil"/>
              <w:right w:val="nil"/>
            </w:tcBorders>
          </w:tcPr>
          <w:p w14:paraId="78A6458A" w14:textId="2AFDA53B" w:rsidR="00504F46" w:rsidRPr="00AD55AA" w:rsidRDefault="00504F46" w:rsidP="00504F46">
            <w:pPr>
              <w:widowControl w:val="0"/>
              <w:autoSpaceDE w:val="0"/>
              <w:autoSpaceDN w:val="0"/>
              <w:adjustRightInd w:val="0"/>
              <w:rPr>
                <w:sz w:val="22"/>
                <w:szCs w:val="22"/>
              </w:rPr>
            </w:pPr>
            <w:r>
              <w:rPr>
                <w:sz w:val="22"/>
                <w:szCs w:val="22"/>
              </w:rPr>
              <w:t>Domestic takeover</w:t>
            </w:r>
          </w:p>
        </w:tc>
        <w:tc>
          <w:tcPr>
            <w:tcW w:w="0" w:type="auto"/>
            <w:tcBorders>
              <w:top w:val="nil"/>
              <w:left w:val="nil"/>
              <w:bottom w:val="nil"/>
              <w:right w:val="nil"/>
            </w:tcBorders>
          </w:tcPr>
          <w:p w14:paraId="1DC6A902" w14:textId="232F3E8F" w:rsidR="00504F46" w:rsidRPr="00AD55AA" w:rsidRDefault="00504F46" w:rsidP="00504F46">
            <w:pPr>
              <w:widowControl w:val="0"/>
              <w:autoSpaceDE w:val="0"/>
              <w:autoSpaceDN w:val="0"/>
              <w:adjustRightInd w:val="0"/>
              <w:jc w:val="both"/>
              <w:rPr>
                <w:sz w:val="22"/>
                <w:szCs w:val="22"/>
              </w:rPr>
            </w:pPr>
            <w:r>
              <w:rPr>
                <w:sz w:val="22"/>
                <w:szCs w:val="22"/>
              </w:rPr>
              <w:t>I</w:t>
            </w:r>
            <w:r w:rsidRPr="00D724F7">
              <w:rPr>
                <w:sz w:val="22"/>
                <w:szCs w:val="22"/>
              </w:rPr>
              <w:t>ndicator variable equal to one if a firm is taken over by a domestic buyer in the next year and zero otherwise</w:t>
            </w:r>
            <w:r>
              <w:rPr>
                <w:sz w:val="22"/>
                <w:szCs w:val="22"/>
              </w:rPr>
              <w:t>.</w:t>
            </w:r>
          </w:p>
        </w:tc>
        <w:tc>
          <w:tcPr>
            <w:tcW w:w="0" w:type="auto"/>
            <w:gridSpan w:val="2"/>
            <w:tcBorders>
              <w:top w:val="nil"/>
              <w:left w:val="nil"/>
              <w:bottom w:val="nil"/>
              <w:right w:val="nil"/>
            </w:tcBorders>
          </w:tcPr>
          <w:p w14:paraId="694E7E87" w14:textId="4E47300E" w:rsidR="00504F46" w:rsidRPr="00AD55AA" w:rsidRDefault="00504F46" w:rsidP="00504F46">
            <w:pPr>
              <w:widowControl w:val="0"/>
              <w:autoSpaceDE w:val="0"/>
              <w:autoSpaceDN w:val="0"/>
              <w:adjustRightInd w:val="0"/>
              <w:jc w:val="both"/>
              <w:rPr>
                <w:sz w:val="22"/>
                <w:szCs w:val="22"/>
              </w:rPr>
            </w:pPr>
            <w:r>
              <w:rPr>
                <w:sz w:val="22"/>
                <w:szCs w:val="22"/>
              </w:rPr>
              <w:t>SDC Platinum</w:t>
            </w:r>
          </w:p>
        </w:tc>
      </w:tr>
      <w:tr w:rsidR="00504F46" w:rsidRPr="00AD55AA" w14:paraId="08D44B2B" w14:textId="77777777" w:rsidTr="00C91FF7">
        <w:trPr>
          <w:trHeight w:val="486"/>
        </w:trPr>
        <w:tc>
          <w:tcPr>
            <w:tcW w:w="0" w:type="auto"/>
            <w:tcBorders>
              <w:top w:val="nil"/>
              <w:left w:val="nil"/>
              <w:bottom w:val="nil"/>
              <w:right w:val="nil"/>
            </w:tcBorders>
          </w:tcPr>
          <w:p w14:paraId="2332C0B6"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6D17D517"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4656BE6E"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0CE6FA47" w14:textId="77777777" w:rsidTr="00C91FF7">
        <w:trPr>
          <w:trHeight w:val="486"/>
        </w:trPr>
        <w:tc>
          <w:tcPr>
            <w:tcW w:w="0" w:type="auto"/>
            <w:tcBorders>
              <w:top w:val="nil"/>
              <w:left w:val="nil"/>
              <w:bottom w:val="nil"/>
              <w:right w:val="nil"/>
            </w:tcBorders>
          </w:tcPr>
          <w:p w14:paraId="0F68504A" w14:textId="7EF26BE3" w:rsidR="00504F46" w:rsidRPr="00AD55AA" w:rsidRDefault="00504F46" w:rsidP="00504F46">
            <w:pPr>
              <w:widowControl w:val="0"/>
              <w:autoSpaceDE w:val="0"/>
              <w:autoSpaceDN w:val="0"/>
              <w:adjustRightInd w:val="0"/>
              <w:rPr>
                <w:sz w:val="22"/>
                <w:szCs w:val="22"/>
              </w:rPr>
            </w:pPr>
            <w:r>
              <w:rPr>
                <w:sz w:val="22"/>
                <w:szCs w:val="22"/>
              </w:rPr>
              <w:t>Foreign takeover</w:t>
            </w:r>
          </w:p>
        </w:tc>
        <w:tc>
          <w:tcPr>
            <w:tcW w:w="0" w:type="auto"/>
            <w:tcBorders>
              <w:top w:val="nil"/>
              <w:left w:val="nil"/>
              <w:bottom w:val="nil"/>
              <w:right w:val="nil"/>
            </w:tcBorders>
          </w:tcPr>
          <w:p w14:paraId="2FDCCE99" w14:textId="1A0DCC69" w:rsidR="00504F46" w:rsidRPr="00AD55AA" w:rsidRDefault="00504F46" w:rsidP="00504F46">
            <w:pPr>
              <w:widowControl w:val="0"/>
              <w:autoSpaceDE w:val="0"/>
              <w:autoSpaceDN w:val="0"/>
              <w:adjustRightInd w:val="0"/>
              <w:jc w:val="both"/>
              <w:rPr>
                <w:sz w:val="22"/>
                <w:szCs w:val="22"/>
              </w:rPr>
            </w:pPr>
            <w:r>
              <w:rPr>
                <w:sz w:val="22"/>
                <w:szCs w:val="22"/>
              </w:rPr>
              <w:t>I</w:t>
            </w:r>
            <w:r w:rsidRPr="00D724F7">
              <w:rPr>
                <w:sz w:val="22"/>
                <w:szCs w:val="22"/>
              </w:rPr>
              <w:t xml:space="preserve">ndicator variable equal to one if a firm is taken over by a </w:t>
            </w:r>
            <w:r>
              <w:rPr>
                <w:sz w:val="22"/>
                <w:szCs w:val="22"/>
              </w:rPr>
              <w:t>foreign</w:t>
            </w:r>
            <w:r w:rsidRPr="00D724F7">
              <w:rPr>
                <w:sz w:val="22"/>
                <w:szCs w:val="22"/>
              </w:rPr>
              <w:t xml:space="preserve"> buyer in the next year and zero otherwise</w:t>
            </w:r>
            <w:r>
              <w:rPr>
                <w:sz w:val="22"/>
                <w:szCs w:val="22"/>
              </w:rPr>
              <w:t>.</w:t>
            </w:r>
          </w:p>
        </w:tc>
        <w:tc>
          <w:tcPr>
            <w:tcW w:w="0" w:type="auto"/>
            <w:gridSpan w:val="2"/>
            <w:tcBorders>
              <w:top w:val="nil"/>
              <w:left w:val="nil"/>
              <w:bottom w:val="nil"/>
              <w:right w:val="nil"/>
            </w:tcBorders>
          </w:tcPr>
          <w:p w14:paraId="44EE8166" w14:textId="379808BA" w:rsidR="00504F46" w:rsidRPr="00AD55AA" w:rsidRDefault="00504F46" w:rsidP="00504F46">
            <w:pPr>
              <w:widowControl w:val="0"/>
              <w:autoSpaceDE w:val="0"/>
              <w:autoSpaceDN w:val="0"/>
              <w:adjustRightInd w:val="0"/>
              <w:jc w:val="both"/>
              <w:rPr>
                <w:sz w:val="22"/>
                <w:szCs w:val="22"/>
              </w:rPr>
            </w:pPr>
            <w:r>
              <w:rPr>
                <w:sz w:val="22"/>
                <w:szCs w:val="22"/>
              </w:rPr>
              <w:t>SDC Platinum</w:t>
            </w:r>
          </w:p>
        </w:tc>
      </w:tr>
      <w:tr w:rsidR="00504F46" w:rsidRPr="00AD55AA" w14:paraId="77EB9E33" w14:textId="77777777" w:rsidTr="00C91FF7">
        <w:trPr>
          <w:trHeight w:val="486"/>
        </w:trPr>
        <w:tc>
          <w:tcPr>
            <w:tcW w:w="0" w:type="auto"/>
            <w:tcBorders>
              <w:top w:val="nil"/>
              <w:left w:val="nil"/>
              <w:bottom w:val="nil"/>
              <w:right w:val="nil"/>
            </w:tcBorders>
          </w:tcPr>
          <w:p w14:paraId="6D105B7D" w14:textId="77777777" w:rsidR="00504F46" w:rsidRPr="00AD55AA" w:rsidRDefault="00504F46" w:rsidP="00504F46">
            <w:pPr>
              <w:widowControl w:val="0"/>
              <w:autoSpaceDE w:val="0"/>
              <w:autoSpaceDN w:val="0"/>
              <w:adjustRightInd w:val="0"/>
              <w:rPr>
                <w:sz w:val="22"/>
                <w:szCs w:val="22"/>
              </w:rPr>
            </w:pPr>
          </w:p>
        </w:tc>
        <w:tc>
          <w:tcPr>
            <w:tcW w:w="0" w:type="auto"/>
            <w:tcBorders>
              <w:top w:val="nil"/>
              <w:left w:val="nil"/>
              <w:bottom w:val="nil"/>
              <w:right w:val="nil"/>
            </w:tcBorders>
          </w:tcPr>
          <w:p w14:paraId="2792CDE9"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nil"/>
              <w:right w:val="nil"/>
            </w:tcBorders>
          </w:tcPr>
          <w:p w14:paraId="45F23517" w14:textId="77777777" w:rsidR="00504F46" w:rsidRPr="00AD55AA" w:rsidRDefault="00504F46" w:rsidP="00504F46">
            <w:pPr>
              <w:widowControl w:val="0"/>
              <w:autoSpaceDE w:val="0"/>
              <w:autoSpaceDN w:val="0"/>
              <w:adjustRightInd w:val="0"/>
              <w:jc w:val="both"/>
              <w:rPr>
                <w:sz w:val="22"/>
                <w:szCs w:val="22"/>
              </w:rPr>
            </w:pPr>
          </w:p>
        </w:tc>
      </w:tr>
      <w:tr w:rsidR="00504F46" w:rsidRPr="00AD55AA" w14:paraId="157CF880" w14:textId="77777777" w:rsidTr="00C91FF7">
        <w:trPr>
          <w:trHeight w:val="486"/>
        </w:trPr>
        <w:tc>
          <w:tcPr>
            <w:tcW w:w="0" w:type="auto"/>
            <w:tcBorders>
              <w:top w:val="nil"/>
              <w:left w:val="nil"/>
              <w:bottom w:val="nil"/>
              <w:right w:val="nil"/>
            </w:tcBorders>
          </w:tcPr>
          <w:p w14:paraId="0745CA7F" w14:textId="2C4E0B4E" w:rsidR="00504F46" w:rsidRPr="00AD55AA" w:rsidRDefault="00504F46" w:rsidP="00504F46">
            <w:pPr>
              <w:widowControl w:val="0"/>
              <w:autoSpaceDE w:val="0"/>
              <w:autoSpaceDN w:val="0"/>
              <w:adjustRightInd w:val="0"/>
              <w:rPr>
                <w:sz w:val="22"/>
                <w:szCs w:val="22"/>
              </w:rPr>
            </w:pPr>
            <w:r w:rsidRPr="00AD55AA">
              <w:rPr>
                <w:sz w:val="22"/>
                <w:szCs w:val="22"/>
              </w:rPr>
              <w:t>Whited-Wu index</w:t>
            </w:r>
          </w:p>
        </w:tc>
        <w:tc>
          <w:tcPr>
            <w:tcW w:w="0" w:type="auto"/>
            <w:tcBorders>
              <w:top w:val="nil"/>
              <w:left w:val="nil"/>
              <w:bottom w:val="nil"/>
              <w:right w:val="nil"/>
            </w:tcBorders>
          </w:tcPr>
          <w:p w14:paraId="1B761526" w14:textId="32FB3815" w:rsidR="00504F46" w:rsidRPr="00AD55AA" w:rsidRDefault="00504F46" w:rsidP="00504F46">
            <w:pPr>
              <w:widowControl w:val="0"/>
              <w:autoSpaceDE w:val="0"/>
              <w:autoSpaceDN w:val="0"/>
              <w:adjustRightInd w:val="0"/>
              <w:jc w:val="both"/>
              <w:rPr>
                <w:sz w:val="22"/>
                <w:szCs w:val="22"/>
              </w:rPr>
            </w:pPr>
            <w:r w:rsidRPr="00AD55AA">
              <w:rPr>
                <w:sz w:val="22"/>
                <w:szCs w:val="22"/>
              </w:rPr>
              <w:t>The Whited-Wu index is equal: -0.091*CF - 0.062*DIVPOS + 0.021*TLTD - 0.044*LNTA + 0.102*ISG - 0.035*SG. CF is the ratio of income before extraordinary items (IB) plus depreciation (DP), scaled by total assets (AT).</w:t>
            </w:r>
            <w:r>
              <w:rPr>
                <w:sz w:val="22"/>
                <w:szCs w:val="22"/>
              </w:rPr>
              <w:t xml:space="preserve"> </w:t>
            </w:r>
            <w:r w:rsidRPr="00AD55AA">
              <w:rPr>
                <w:sz w:val="22"/>
                <w:szCs w:val="22"/>
              </w:rPr>
              <w:t>DIVPOS is an indicator variable equal to one if the firm pays dividends (DVT) in year t and zero otherwise. TLTD is equal to long term debt (DLTT) scaled by total assets (AT). LNTA is the natural logarithm of total assets (AT). SG is the annual sale growth (SALE – L1.SALE/L1.SALE). ISG is industry average of SG calculated at the SIC three-digit code</w:t>
            </w:r>
            <w:r w:rsidRPr="00AD55AA" w:rsidDel="004A61DB">
              <w:rPr>
                <w:sz w:val="22"/>
                <w:szCs w:val="22"/>
              </w:rPr>
              <w:t xml:space="preserve"> </w:t>
            </w:r>
            <w:r w:rsidRPr="00AD55AA">
              <w:rPr>
                <w:sz w:val="22"/>
                <w:szCs w:val="22"/>
              </w:rPr>
              <w:t>level.</w:t>
            </w:r>
          </w:p>
        </w:tc>
        <w:tc>
          <w:tcPr>
            <w:tcW w:w="0" w:type="auto"/>
            <w:gridSpan w:val="2"/>
            <w:tcBorders>
              <w:top w:val="nil"/>
              <w:left w:val="nil"/>
              <w:bottom w:val="nil"/>
              <w:right w:val="nil"/>
            </w:tcBorders>
          </w:tcPr>
          <w:p w14:paraId="1C161053" w14:textId="77777777" w:rsidR="00504F46" w:rsidRPr="00AD55AA" w:rsidRDefault="00504F46" w:rsidP="00504F46">
            <w:pPr>
              <w:widowControl w:val="0"/>
              <w:autoSpaceDE w:val="0"/>
              <w:autoSpaceDN w:val="0"/>
              <w:adjustRightInd w:val="0"/>
              <w:jc w:val="both"/>
              <w:rPr>
                <w:sz w:val="22"/>
                <w:szCs w:val="22"/>
              </w:rPr>
            </w:pPr>
            <w:r w:rsidRPr="00AD55AA">
              <w:rPr>
                <w:sz w:val="22"/>
                <w:szCs w:val="22"/>
              </w:rPr>
              <w:t>Compustat</w:t>
            </w:r>
          </w:p>
        </w:tc>
      </w:tr>
      <w:tr w:rsidR="00504F46" w:rsidRPr="00AD55AA" w14:paraId="7CD96ADD" w14:textId="77777777" w:rsidTr="00C91FF7">
        <w:tc>
          <w:tcPr>
            <w:tcW w:w="0" w:type="auto"/>
            <w:tcBorders>
              <w:top w:val="nil"/>
              <w:left w:val="nil"/>
              <w:bottom w:val="single" w:sz="4" w:space="0" w:color="auto"/>
              <w:right w:val="nil"/>
            </w:tcBorders>
          </w:tcPr>
          <w:p w14:paraId="765610C0" w14:textId="77777777" w:rsidR="00504F46" w:rsidRPr="00AD55AA" w:rsidRDefault="00504F46" w:rsidP="00504F46">
            <w:pPr>
              <w:widowControl w:val="0"/>
              <w:autoSpaceDE w:val="0"/>
              <w:autoSpaceDN w:val="0"/>
              <w:adjustRightInd w:val="0"/>
              <w:jc w:val="both"/>
              <w:rPr>
                <w:sz w:val="22"/>
                <w:szCs w:val="22"/>
              </w:rPr>
            </w:pPr>
          </w:p>
        </w:tc>
        <w:tc>
          <w:tcPr>
            <w:tcW w:w="0" w:type="auto"/>
            <w:tcBorders>
              <w:top w:val="nil"/>
              <w:left w:val="nil"/>
              <w:bottom w:val="single" w:sz="4" w:space="0" w:color="auto"/>
              <w:right w:val="nil"/>
            </w:tcBorders>
          </w:tcPr>
          <w:p w14:paraId="5ECD962D" w14:textId="77777777" w:rsidR="00504F46" w:rsidRPr="00AD55AA" w:rsidRDefault="00504F46" w:rsidP="00504F46">
            <w:pPr>
              <w:widowControl w:val="0"/>
              <w:autoSpaceDE w:val="0"/>
              <w:autoSpaceDN w:val="0"/>
              <w:adjustRightInd w:val="0"/>
              <w:jc w:val="both"/>
              <w:rPr>
                <w:sz w:val="22"/>
                <w:szCs w:val="22"/>
              </w:rPr>
            </w:pPr>
          </w:p>
        </w:tc>
        <w:tc>
          <w:tcPr>
            <w:tcW w:w="0" w:type="auto"/>
            <w:gridSpan w:val="2"/>
            <w:tcBorders>
              <w:top w:val="nil"/>
              <w:left w:val="nil"/>
              <w:bottom w:val="single" w:sz="4" w:space="0" w:color="auto"/>
              <w:right w:val="nil"/>
            </w:tcBorders>
          </w:tcPr>
          <w:p w14:paraId="10072314" w14:textId="77777777" w:rsidR="00504F46" w:rsidRPr="00AD55AA" w:rsidRDefault="00504F46" w:rsidP="00504F46">
            <w:pPr>
              <w:widowControl w:val="0"/>
              <w:autoSpaceDE w:val="0"/>
              <w:autoSpaceDN w:val="0"/>
              <w:adjustRightInd w:val="0"/>
              <w:jc w:val="both"/>
              <w:rPr>
                <w:sz w:val="22"/>
                <w:szCs w:val="22"/>
              </w:rPr>
            </w:pPr>
          </w:p>
        </w:tc>
      </w:tr>
    </w:tbl>
    <w:p w14:paraId="3BE58DC2" w14:textId="77777777" w:rsidR="0076530D" w:rsidRPr="008515D6" w:rsidRDefault="0076530D" w:rsidP="0076530D">
      <w:pPr>
        <w:widowControl w:val="0"/>
        <w:autoSpaceDE w:val="0"/>
        <w:autoSpaceDN w:val="0"/>
        <w:adjustRightInd w:val="0"/>
        <w:spacing w:line="480" w:lineRule="auto"/>
        <w:jc w:val="both"/>
        <w:rPr>
          <w:sz w:val="22"/>
          <w:szCs w:val="22"/>
        </w:rPr>
      </w:pPr>
    </w:p>
    <w:sectPr w:rsidR="0076530D" w:rsidRPr="008515D6" w:rsidSect="00FA5518">
      <w:footerReference w:type="first" r:id="rId16"/>
      <w:pgSz w:w="11901" w:h="16817"/>
      <w:pgMar w:top="1417" w:right="1417" w:bottom="1417"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7B57" w14:textId="77777777" w:rsidR="00574373" w:rsidRPr="00AD55AA" w:rsidRDefault="00574373" w:rsidP="00245A4A">
      <w:r w:rsidRPr="00AD55AA">
        <w:separator/>
      </w:r>
    </w:p>
    <w:p w14:paraId="119DB823" w14:textId="77777777" w:rsidR="00574373" w:rsidRPr="00AD55AA" w:rsidRDefault="00574373"/>
  </w:endnote>
  <w:endnote w:type="continuationSeparator" w:id="0">
    <w:p w14:paraId="2912C163" w14:textId="77777777" w:rsidR="00574373" w:rsidRPr="00AD55AA" w:rsidRDefault="00574373" w:rsidP="00245A4A">
      <w:r w:rsidRPr="00AD55AA">
        <w:continuationSeparator/>
      </w:r>
    </w:p>
    <w:p w14:paraId="4F91BDD1" w14:textId="77777777" w:rsidR="00574373" w:rsidRPr="00AD55AA" w:rsidRDefault="00574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GillSans">
    <w:altName w:val="Calibri"/>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138809"/>
      <w:docPartObj>
        <w:docPartGallery w:val="Page Numbers (Bottom of Page)"/>
        <w:docPartUnique/>
      </w:docPartObj>
    </w:sdtPr>
    <w:sdtContent>
      <w:p w14:paraId="239AE4AC" w14:textId="4D8E65B1" w:rsidR="00830C24" w:rsidRPr="00AD55AA" w:rsidRDefault="00830C24">
        <w:pPr>
          <w:pStyle w:val="Pieddepage"/>
          <w:jc w:val="right"/>
        </w:pPr>
        <w:r w:rsidRPr="00AD55AA">
          <w:fldChar w:fldCharType="begin"/>
        </w:r>
        <w:r w:rsidRPr="00AD55AA">
          <w:instrText xml:space="preserve"> PAGE   \* MERGEFORMAT </w:instrText>
        </w:r>
        <w:r w:rsidRPr="00AD55AA">
          <w:fldChar w:fldCharType="separate"/>
        </w:r>
        <w:r w:rsidR="009740BC">
          <w:rPr>
            <w:noProof/>
          </w:rPr>
          <w:t>50</w:t>
        </w:r>
        <w:r w:rsidRPr="00AD55AA">
          <w:fldChar w:fldCharType="end"/>
        </w:r>
      </w:p>
    </w:sdtContent>
  </w:sdt>
  <w:p w14:paraId="1C4EB531" w14:textId="77777777" w:rsidR="00830C24" w:rsidRPr="00AD55AA" w:rsidRDefault="00830C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11A9" w14:textId="108D99CF" w:rsidR="00830C24" w:rsidRPr="00F46608" w:rsidRDefault="00830C24" w:rsidP="00F46608">
    <w:pPr>
      <w:pStyle w:val="Pieddepage"/>
      <w:jc w:val="right"/>
      <w:rPr>
        <w:lang w:val="fr-FR"/>
      </w:rPr>
    </w:pPr>
    <w:r>
      <w:rPr>
        <w:lang w:val="fr-FR"/>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5A00" w14:textId="34960E03" w:rsidR="00830C24" w:rsidRPr="00F46608" w:rsidRDefault="00830C24" w:rsidP="00F46608">
    <w:pPr>
      <w:pStyle w:val="Pieddepage"/>
      <w:jc w:val="right"/>
      <w:rPr>
        <w:lang w:val="fr-FR"/>
      </w:rPr>
    </w:pPr>
    <w:r>
      <w:rPr>
        <w:lang w:val="fr-FR"/>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11D79" w14:textId="77777777" w:rsidR="00574373" w:rsidRPr="00AD55AA" w:rsidRDefault="00574373" w:rsidP="00245A4A">
      <w:r w:rsidRPr="00AD55AA">
        <w:separator/>
      </w:r>
    </w:p>
    <w:p w14:paraId="1B54907D" w14:textId="77777777" w:rsidR="00574373" w:rsidRPr="00AD55AA" w:rsidRDefault="00574373"/>
  </w:footnote>
  <w:footnote w:type="continuationSeparator" w:id="0">
    <w:p w14:paraId="7457F3FC" w14:textId="77777777" w:rsidR="00574373" w:rsidRPr="00AD55AA" w:rsidRDefault="00574373" w:rsidP="00245A4A">
      <w:r w:rsidRPr="00AD55AA">
        <w:continuationSeparator/>
      </w:r>
    </w:p>
    <w:p w14:paraId="6D381337" w14:textId="77777777" w:rsidR="00574373" w:rsidRPr="00AD55AA" w:rsidRDefault="00574373"/>
  </w:footnote>
  <w:footnote w:id="1">
    <w:p w14:paraId="59E9CB80" w14:textId="0DF4AE79" w:rsidR="00830C24" w:rsidRPr="00AD55AA" w:rsidRDefault="00830C24" w:rsidP="00C058A7">
      <w:pPr>
        <w:jc w:val="both"/>
        <w:rPr>
          <w:sz w:val="20"/>
          <w:szCs w:val="20"/>
        </w:rPr>
      </w:pPr>
      <w:r w:rsidRPr="00AD55AA">
        <w:rPr>
          <w:rStyle w:val="Appelnotedebasdep"/>
          <w:sz w:val="20"/>
          <w:szCs w:val="20"/>
        </w:rPr>
        <w:footnoteRef/>
      </w:r>
      <w:r w:rsidRPr="00AD55AA">
        <w:rPr>
          <w:sz w:val="20"/>
          <w:szCs w:val="20"/>
        </w:rPr>
        <w:t xml:space="preserve"> </w:t>
      </w:r>
      <w:r w:rsidRPr="00C058A7">
        <w:rPr>
          <w:sz w:val="20"/>
          <w:szCs w:val="20"/>
        </w:rPr>
        <w:t xml:space="preserve">The final regulations of </w:t>
      </w:r>
      <w:r>
        <w:rPr>
          <w:sz w:val="20"/>
          <w:szCs w:val="20"/>
        </w:rPr>
        <w:t xml:space="preserve">the </w:t>
      </w:r>
      <w:r w:rsidRPr="00C058A7">
        <w:rPr>
          <w:sz w:val="20"/>
          <w:szCs w:val="20"/>
        </w:rPr>
        <w:t>Foreign Investment and National Security Act (FINSA)</w:t>
      </w:r>
      <w:r>
        <w:rPr>
          <w:sz w:val="20"/>
          <w:szCs w:val="20"/>
        </w:rPr>
        <w:t xml:space="preserve"> </w:t>
      </w:r>
      <w:r w:rsidRPr="00C058A7">
        <w:rPr>
          <w:sz w:val="20"/>
          <w:szCs w:val="20"/>
        </w:rPr>
        <w:t xml:space="preserve">were effective from November 2008 to February 2020. Section 721 of the Defense Production Act of 1950 was revised again through </w:t>
      </w:r>
      <w:r>
        <w:rPr>
          <w:sz w:val="20"/>
          <w:szCs w:val="20"/>
        </w:rPr>
        <w:t xml:space="preserve">the </w:t>
      </w:r>
      <w:r w:rsidRPr="00C058A7">
        <w:rPr>
          <w:sz w:val="20"/>
          <w:szCs w:val="20"/>
        </w:rPr>
        <w:t>Foreign Investment Risk Review Modernization Act of 2018</w:t>
      </w:r>
      <w:r>
        <w:rPr>
          <w:sz w:val="20"/>
          <w:szCs w:val="20"/>
        </w:rPr>
        <w:t xml:space="preserve"> (</w:t>
      </w:r>
      <w:r w:rsidRPr="00C058A7">
        <w:rPr>
          <w:sz w:val="20"/>
          <w:szCs w:val="20"/>
        </w:rPr>
        <w:t>FIRRMA</w:t>
      </w:r>
      <w:r>
        <w:rPr>
          <w:sz w:val="20"/>
          <w:szCs w:val="20"/>
        </w:rPr>
        <w:t>)</w:t>
      </w:r>
      <w:r w:rsidRPr="00C058A7">
        <w:rPr>
          <w:sz w:val="20"/>
          <w:szCs w:val="20"/>
        </w:rPr>
        <w:t>, whose final regulations became effective from February 13, 2020.</w:t>
      </w:r>
      <w:r>
        <w:rPr>
          <w:sz w:val="20"/>
          <w:szCs w:val="20"/>
        </w:rPr>
        <w:t xml:space="preserve"> </w:t>
      </w:r>
      <w:r w:rsidRPr="00AD55AA">
        <w:rPr>
          <w:sz w:val="20"/>
          <w:szCs w:val="20"/>
        </w:rPr>
        <w:t>See</w:t>
      </w:r>
      <w:r>
        <w:rPr>
          <w:sz w:val="20"/>
          <w:szCs w:val="20"/>
        </w:rPr>
        <w:t xml:space="preserve"> also </w:t>
      </w:r>
      <w:hyperlink r:id="rId1" w:history="1">
        <w:r w:rsidRPr="00AD55AA">
          <w:rPr>
            <w:rStyle w:val="Lienhypertexte"/>
            <w:sz w:val="20"/>
            <w:szCs w:val="20"/>
          </w:rPr>
          <w:t>https://home.treasury.gov/policy-issues/international/the-committee-on-foreign-investment-in-the-united-states-cfius</w:t>
        </w:r>
      </w:hyperlink>
      <w:r>
        <w:rPr>
          <w:rStyle w:val="Lienhypertexte"/>
          <w:sz w:val="20"/>
          <w:szCs w:val="20"/>
        </w:rPr>
        <w:t xml:space="preserve">. </w:t>
      </w:r>
      <w:r>
        <w:rPr>
          <w:sz w:val="20"/>
          <w:szCs w:val="20"/>
        </w:rPr>
        <w:t xml:space="preserve">For a review of FIRRMA see Tarbert (2020). </w:t>
      </w:r>
    </w:p>
  </w:footnote>
  <w:footnote w:id="2">
    <w:p w14:paraId="3E605452" w14:textId="0F400BA8" w:rsidR="00830C24" w:rsidRPr="00AD55AA" w:rsidRDefault="00830C24" w:rsidP="00AB6C46">
      <w:pPr>
        <w:jc w:val="both"/>
      </w:pPr>
      <w:r w:rsidRPr="00AD55AA">
        <w:rPr>
          <w:rStyle w:val="Appelnotedebasdep"/>
          <w:sz w:val="20"/>
          <w:szCs w:val="20"/>
        </w:rPr>
        <w:footnoteRef/>
      </w:r>
      <w:r w:rsidRPr="00AD55AA">
        <w:rPr>
          <w:sz w:val="20"/>
          <w:szCs w:val="20"/>
        </w:rPr>
        <w:t xml:space="preserve"> For example, Marvell Technologies reported, in its 10-Q dated May 4, 2019: “We have been subject to regulatory conditions imposed by the Committee on Foreign Investment in the </w:t>
      </w:r>
      <w:r w:rsidRPr="006F36B0">
        <w:rPr>
          <w:sz w:val="20"/>
          <w:szCs w:val="20"/>
        </w:rPr>
        <w:t>United States</w:t>
      </w:r>
      <w:r>
        <w:rPr>
          <w:sz w:val="20"/>
          <w:szCs w:val="20"/>
        </w:rPr>
        <w:t xml:space="preserve"> </w:t>
      </w:r>
      <w:r w:rsidRPr="00AD55AA">
        <w:rPr>
          <w:sz w:val="20"/>
          <w:szCs w:val="20"/>
        </w:rPr>
        <w:t xml:space="preserve">pursuant to a Letter of Assurance </w:t>
      </w:r>
      <w:r>
        <w:rPr>
          <w:sz w:val="20"/>
          <w:szCs w:val="20"/>
        </w:rPr>
        <w:t xml:space="preserve">(LA) </w:t>
      </w:r>
      <w:r w:rsidRPr="00AD55AA">
        <w:rPr>
          <w:sz w:val="20"/>
          <w:szCs w:val="20"/>
        </w:rPr>
        <w:t>where we have agreed to implement certain cyber security, physical security and training measures to protect national security, which may materially and adversely affect our operating results due to the increased costs of compliance with these measures. If we fail to comply with our obligations under the LA, our ability to operate our business may be adversely affected.”</w:t>
      </w:r>
    </w:p>
  </w:footnote>
  <w:footnote w:id="3">
    <w:p w14:paraId="2B3F11A6" w14:textId="77777777" w:rsidR="00830C24" w:rsidRPr="00AD55AA" w:rsidRDefault="00830C24" w:rsidP="002034C1">
      <w:pPr>
        <w:pStyle w:val="Notedebasdepage"/>
        <w:jc w:val="both"/>
      </w:pPr>
      <w:r w:rsidRPr="00AD55AA">
        <w:rPr>
          <w:rStyle w:val="Appelnotedebasdep"/>
        </w:rPr>
        <w:footnoteRef/>
      </w:r>
      <w:r>
        <w:t xml:space="preserve"> </w:t>
      </w:r>
      <w:r w:rsidRPr="00AD55AA">
        <w:t>According to the U</w:t>
      </w:r>
      <w:r>
        <w:t>.</w:t>
      </w:r>
      <w:r w:rsidRPr="00AD55AA">
        <w:t>S</w:t>
      </w:r>
      <w:r>
        <w:t>.</w:t>
      </w:r>
      <w:r w:rsidRPr="00AD55AA">
        <w:t xml:space="preserve"> Treasury, as of </w:t>
      </w:r>
      <w:r>
        <w:t>December</w:t>
      </w:r>
      <w:r w:rsidRPr="00AD55AA">
        <w:t xml:space="preserve"> 2022, foreign holdings of U</w:t>
      </w:r>
      <w:r>
        <w:t>.</w:t>
      </w:r>
      <w:r w:rsidRPr="00AD55AA">
        <w:t>S</w:t>
      </w:r>
      <w:r>
        <w:t>.</w:t>
      </w:r>
      <w:r w:rsidRPr="00AD55AA">
        <w:t xml:space="preserve"> equities stood at $</w:t>
      </w:r>
      <w:r>
        <w:t>10.283</w:t>
      </w:r>
      <w:r w:rsidRPr="00AD55AA">
        <w:t xml:space="preserve"> trillion, making foreign investments </w:t>
      </w:r>
      <w:r>
        <w:t xml:space="preserve">an </w:t>
      </w:r>
      <w:r w:rsidRPr="00AD55AA">
        <w:t xml:space="preserve">important </w:t>
      </w:r>
      <w:r>
        <w:t xml:space="preserve">source of capital </w:t>
      </w:r>
      <w:r w:rsidRPr="00AD55AA">
        <w:t xml:space="preserve">for </w:t>
      </w:r>
      <w:r>
        <w:t xml:space="preserve">the </w:t>
      </w:r>
      <w:r w:rsidRPr="00AD55AA">
        <w:t>U</w:t>
      </w:r>
      <w:r>
        <w:t>.</w:t>
      </w:r>
      <w:r w:rsidRPr="00AD55AA">
        <w:t>S</w:t>
      </w:r>
      <w:r>
        <w:t>.</w:t>
      </w:r>
      <w:r w:rsidRPr="00AD55AA">
        <w:t xml:space="preserve"> economy (</w:t>
      </w:r>
      <w:r>
        <w:t xml:space="preserve">see </w:t>
      </w:r>
      <w:hyperlink r:id="rId2" w:history="1">
        <w:r w:rsidRPr="008842AC">
          <w:rPr>
            <w:rStyle w:val="Lienhypertexte"/>
          </w:rPr>
          <w:t>https://home.treasury.gov/news/press-releases/jy1451</w:t>
        </w:r>
      </w:hyperlink>
      <w:r w:rsidRPr="00AD55AA">
        <w:t xml:space="preserve">) that would be difficult to replace from domestic </w:t>
      </w:r>
      <w:r>
        <w:t>sources</w:t>
      </w:r>
      <w:r w:rsidRPr="00AD55AA">
        <w:t xml:space="preserve">. </w:t>
      </w:r>
      <w:r w:rsidRPr="00F81D2C">
        <w:t xml:space="preserve">Frattaroli (2020) and Godsell et al. (2023) fail to find that a decrease in foreign takeovers is compensated by domestic M&amp;A following the enactment of national security policies. </w:t>
      </w:r>
    </w:p>
  </w:footnote>
  <w:footnote w:id="4">
    <w:p w14:paraId="24C35BEA" w14:textId="6ADE8196" w:rsidR="00830C24" w:rsidRDefault="00830C24" w:rsidP="00727554">
      <w:pPr>
        <w:pStyle w:val="Notedebasdepage"/>
        <w:jc w:val="both"/>
      </w:pPr>
      <w:r>
        <w:rPr>
          <w:rStyle w:val="Appelnotedebasdep"/>
        </w:rPr>
        <w:footnoteRef/>
      </w:r>
      <w:r>
        <w:t xml:space="preserve"> It is difficult to know which industries FINSA has an impact on. For example, FINSA provides a list of critical industries, which could be potentially used as a treatment group, but our analysis shows that 50% of CFIUS denials occurred in industries outside of such list (see Section 3 for details).</w:t>
      </w:r>
    </w:p>
  </w:footnote>
  <w:footnote w:id="5">
    <w:p w14:paraId="3FCCB3F7" w14:textId="14682169" w:rsidR="00830C24" w:rsidRDefault="00830C24" w:rsidP="00D47BCE">
      <w:pPr>
        <w:jc w:val="both"/>
      </w:pPr>
      <w:r w:rsidRPr="00701093">
        <w:rPr>
          <w:rStyle w:val="Appelnotedebasdep"/>
          <w:sz w:val="20"/>
          <w:szCs w:val="20"/>
        </w:rPr>
        <w:footnoteRef/>
      </w:r>
      <w:r w:rsidRPr="00701093">
        <w:rPr>
          <w:sz w:val="20"/>
          <w:szCs w:val="20"/>
        </w:rPr>
        <w:t xml:space="preserve"> </w:t>
      </w:r>
      <w:r w:rsidRPr="00D47BCE">
        <w:rPr>
          <w:rFonts w:eastAsiaTheme="minorHAnsi"/>
          <w:sz w:val="20"/>
          <w:szCs w:val="20"/>
          <w:lang w:eastAsia="en-US"/>
        </w:rPr>
        <w:t>Using the SIC classification yields similar results. Restricting the sample to firms with a unique business segment also yields similar results.</w:t>
      </w:r>
    </w:p>
  </w:footnote>
  <w:footnote w:id="6">
    <w:p w14:paraId="1105B6F2" w14:textId="389B131F" w:rsidR="00830C24" w:rsidRPr="00AD55AA" w:rsidRDefault="00830C24" w:rsidP="000A1632">
      <w:pPr>
        <w:pStyle w:val="Notedebasdepage"/>
        <w:jc w:val="both"/>
      </w:pPr>
      <w:r w:rsidRPr="00AD55AA">
        <w:rPr>
          <w:rStyle w:val="Appelnotedebasdep"/>
        </w:rPr>
        <w:footnoteRef/>
      </w:r>
      <w:r w:rsidRPr="00AD55AA">
        <w:t xml:space="preserve"> Campbell </w:t>
      </w:r>
      <w:r w:rsidRPr="006B417E">
        <w:t>et al.</w:t>
      </w:r>
      <w:r w:rsidRPr="00AD55AA">
        <w:t xml:space="preserve"> (2012) document the moderating role of financial constraints in the relationship between cost of capital and corporate investment.</w:t>
      </w:r>
    </w:p>
  </w:footnote>
  <w:footnote w:id="7">
    <w:p w14:paraId="61709E7D" w14:textId="77777777" w:rsidR="00830C24" w:rsidRPr="00AD55AA" w:rsidRDefault="00830C24" w:rsidP="00245A4A">
      <w:pPr>
        <w:jc w:val="both"/>
        <w:rPr>
          <w:sz w:val="20"/>
          <w:szCs w:val="20"/>
        </w:rPr>
      </w:pPr>
      <w:r w:rsidRPr="00AD55AA">
        <w:rPr>
          <w:rStyle w:val="Appelnotedebasdep"/>
          <w:sz w:val="20"/>
          <w:szCs w:val="20"/>
        </w:rPr>
        <w:footnoteRef/>
      </w:r>
      <w:r w:rsidRPr="00AD55AA">
        <w:rPr>
          <w:sz w:val="20"/>
          <w:szCs w:val="20"/>
        </w:rPr>
        <w:t xml:space="preserve"> See Executive Order 11858 (as amended by Executive Order 13456) and </w:t>
      </w:r>
      <w:hyperlink r:id="rId3" w:history="1">
        <w:r w:rsidRPr="00AD55AA">
          <w:rPr>
            <w:rStyle w:val="Lienhypertexte"/>
            <w:sz w:val="20"/>
            <w:szCs w:val="20"/>
          </w:rPr>
          <w:t>https://home.treasury.gov/policy-issues/international/the-committee-on-foreign-investment-in-the-united-states-cfius</w:t>
        </w:r>
      </w:hyperlink>
      <w:r w:rsidRPr="00AD55AA">
        <w:rPr>
          <w:rStyle w:val="Lienhypertexte"/>
          <w:sz w:val="20"/>
          <w:szCs w:val="20"/>
        </w:rPr>
        <w:t>.</w:t>
      </w:r>
    </w:p>
  </w:footnote>
  <w:footnote w:id="8">
    <w:p w14:paraId="4B1F5A91" w14:textId="443A4627" w:rsidR="00830C24" w:rsidRPr="00DF015C" w:rsidRDefault="00830C24" w:rsidP="00026176">
      <w:pPr>
        <w:jc w:val="both"/>
        <w:rPr>
          <w:sz w:val="20"/>
          <w:szCs w:val="20"/>
        </w:rPr>
      </w:pPr>
      <w:r w:rsidRPr="00AD55AA">
        <w:rPr>
          <w:rStyle w:val="Appelnotedebasdep"/>
          <w:sz w:val="20"/>
          <w:szCs w:val="20"/>
        </w:rPr>
        <w:footnoteRef/>
      </w:r>
      <w:r w:rsidRPr="00AD55AA">
        <w:rPr>
          <w:sz w:val="20"/>
          <w:szCs w:val="20"/>
        </w:rPr>
        <w:t xml:space="preserve"> </w:t>
      </w:r>
      <w:r>
        <w:rPr>
          <w:sz w:val="20"/>
          <w:szCs w:val="20"/>
        </w:rPr>
        <w:t>This is another reason for our decision to focus on CFIUS interventions involving listed targets</w:t>
      </w:r>
      <w:r w:rsidRPr="00DF015C">
        <w:rPr>
          <w:sz w:val="20"/>
          <w:szCs w:val="20"/>
        </w:rPr>
        <w:t>.</w:t>
      </w:r>
    </w:p>
  </w:footnote>
  <w:footnote w:id="9">
    <w:p w14:paraId="032A3C1C" w14:textId="412C509B" w:rsidR="00830C24" w:rsidRPr="00DF015C" w:rsidRDefault="00830C24" w:rsidP="004B29A8">
      <w:pPr>
        <w:jc w:val="both"/>
        <w:rPr>
          <w:sz w:val="20"/>
          <w:szCs w:val="20"/>
        </w:rPr>
      </w:pPr>
      <w:r w:rsidRPr="00AD55AA">
        <w:rPr>
          <w:rStyle w:val="Appelnotedebasdep"/>
          <w:sz w:val="20"/>
          <w:szCs w:val="20"/>
        </w:rPr>
        <w:footnoteRef/>
      </w:r>
      <w:r w:rsidRPr="00AD55AA">
        <w:rPr>
          <w:sz w:val="20"/>
          <w:szCs w:val="20"/>
        </w:rPr>
        <w:t xml:space="preserve"> </w:t>
      </w:r>
      <w:r w:rsidRPr="004B29A8">
        <w:rPr>
          <w:sz w:val="20"/>
          <w:szCs w:val="20"/>
        </w:rPr>
        <w:t>CFIUS reviewed 1,794 transactions, of which 17% were withdrawals, over the 2008-2019 period. Parties involved often resubmit a new notice after previously withdrawing an old one before a full review is completed. This is a common practice to gain time duri</w:t>
      </w:r>
      <w:r>
        <w:rPr>
          <w:sz w:val="20"/>
          <w:szCs w:val="20"/>
        </w:rPr>
        <w:t>ng CFIUS review (Jackson, 2020)</w:t>
      </w:r>
      <w:r w:rsidRPr="00DF015C">
        <w:rPr>
          <w:sz w:val="20"/>
          <w:szCs w:val="20"/>
        </w:rPr>
        <w:t>.</w:t>
      </w:r>
    </w:p>
  </w:footnote>
  <w:footnote w:id="10">
    <w:p w14:paraId="7C205258" w14:textId="501B1B20" w:rsidR="00830C24" w:rsidRPr="00AD55AA" w:rsidRDefault="00830C24" w:rsidP="00804B00">
      <w:pPr>
        <w:pStyle w:val="Notedebasdepage"/>
        <w:jc w:val="both"/>
      </w:pPr>
      <w:r w:rsidRPr="00AD55AA">
        <w:rPr>
          <w:rStyle w:val="Appelnotedebasdep"/>
        </w:rPr>
        <w:footnoteRef/>
      </w:r>
      <w:r w:rsidRPr="00AD55AA">
        <w:t xml:space="preserve"> </w:t>
      </w:r>
      <w:r>
        <w:t xml:space="preserve">The information content of </w:t>
      </w:r>
      <w:r w:rsidRPr="00804B00">
        <w:t xml:space="preserve">presidential decisions and withdrawals for denial of regulatory approval </w:t>
      </w:r>
      <w:r>
        <w:t>is likely higher</w:t>
      </w:r>
      <w:r w:rsidRPr="00804B00">
        <w:t xml:space="preserve"> </w:t>
      </w:r>
      <w:r>
        <w:t xml:space="preserve">because they represent less than 8% of the number of notices </w:t>
      </w:r>
      <w:r w:rsidRPr="009F0814">
        <w:t>in the 20</w:t>
      </w:r>
      <w:r>
        <w:t>15</w:t>
      </w:r>
      <w:r w:rsidRPr="009F0814">
        <w:t>-2019 period</w:t>
      </w:r>
      <w:r>
        <w:t xml:space="preserve"> (68/869). As a result, we focus on CFIUS interventions instead of non-denial CFIUS activities.</w:t>
      </w:r>
    </w:p>
  </w:footnote>
  <w:footnote w:id="11">
    <w:p w14:paraId="22C6354B" w14:textId="62C16291" w:rsidR="00830C24" w:rsidRPr="00DF015C" w:rsidRDefault="00830C24" w:rsidP="00026176">
      <w:pPr>
        <w:jc w:val="both"/>
        <w:rPr>
          <w:sz w:val="20"/>
          <w:szCs w:val="20"/>
        </w:rPr>
      </w:pPr>
      <w:r w:rsidRPr="00AD55AA">
        <w:rPr>
          <w:rStyle w:val="Appelnotedebasdep"/>
          <w:sz w:val="20"/>
          <w:szCs w:val="20"/>
        </w:rPr>
        <w:footnoteRef/>
      </w:r>
      <w:r w:rsidRPr="00AD55AA">
        <w:rPr>
          <w:sz w:val="20"/>
          <w:szCs w:val="20"/>
        </w:rPr>
        <w:t xml:space="preserve"> </w:t>
      </w:r>
      <w:r>
        <w:rPr>
          <w:sz w:val="20"/>
          <w:szCs w:val="20"/>
        </w:rPr>
        <w:t>Moreover, W</w:t>
      </w:r>
      <w:r w:rsidRPr="00026176">
        <w:rPr>
          <w:sz w:val="20"/>
          <w:szCs w:val="20"/>
        </w:rPr>
        <w:t xml:space="preserve">an and Wong (2009) document </w:t>
      </w:r>
      <w:r>
        <w:rPr>
          <w:sz w:val="20"/>
          <w:szCs w:val="20"/>
        </w:rPr>
        <w:t xml:space="preserve">a </w:t>
      </w:r>
      <w:r w:rsidRPr="00026176">
        <w:rPr>
          <w:sz w:val="20"/>
          <w:szCs w:val="20"/>
        </w:rPr>
        <w:t xml:space="preserve">negative </w:t>
      </w:r>
      <w:r>
        <w:rPr>
          <w:sz w:val="20"/>
          <w:szCs w:val="20"/>
        </w:rPr>
        <w:t>industry market reaction to</w:t>
      </w:r>
      <w:r w:rsidRPr="00026176">
        <w:rPr>
          <w:sz w:val="20"/>
          <w:szCs w:val="20"/>
        </w:rPr>
        <w:t xml:space="preserve"> CNOOC’s unsuccessful takeover of Unocal. CNOOC withdrew its bid for Unocal citing “unprecedented political opposition” before CFIUS reviewed the transaction (p. 3). </w:t>
      </w:r>
      <w:r>
        <w:rPr>
          <w:sz w:val="20"/>
          <w:szCs w:val="20"/>
        </w:rPr>
        <w:t>Finally</w:t>
      </w:r>
      <w:r w:rsidRPr="00026176">
        <w:rPr>
          <w:sz w:val="20"/>
          <w:szCs w:val="20"/>
        </w:rPr>
        <w:t>, Connell and Huang (2014) find a positive industry market reaction to CFIUS interventions. Yet, their analysis is centered on five CFIUS interventi</w:t>
      </w:r>
      <w:r>
        <w:rPr>
          <w:sz w:val="20"/>
          <w:szCs w:val="20"/>
        </w:rPr>
        <w:t>ons, with only one during FINSA</w:t>
      </w:r>
      <w:r w:rsidRPr="00DF015C">
        <w:rPr>
          <w:sz w:val="20"/>
          <w:szCs w:val="20"/>
        </w:rPr>
        <w:t>.</w:t>
      </w:r>
    </w:p>
  </w:footnote>
  <w:footnote w:id="12">
    <w:p w14:paraId="636D19AE" w14:textId="279C7A30" w:rsidR="00830C24" w:rsidRPr="00AD55AA" w:rsidRDefault="00830C24" w:rsidP="00741276">
      <w:pPr>
        <w:pStyle w:val="Notedebasdepage"/>
        <w:jc w:val="both"/>
      </w:pPr>
      <w:r w:rsidRPr="00AD55AA">
        <w:rPr>
          <w:rStyle w:val="Appelnotedebasdep"/>
        </w:rPr>
        <w:footnoteRef/>
      </w:r>
      <w:r w:rsidRPr="00AD55AA">
        <w:t xml:space="preserve"> </w:t>
      </w:r>
      <w:r>
        <w:t>Targets are included in the treatment group. Excluding them (24 firms) from the sample yields similar results.</w:t>
      </w:r>
    </w:p>
  </w:footnote>
  <w:footnote w:id="13">
    <w:p w14:paraId="7C7EAA69" w14:textId="16C25B62" w:rsidR="00830C24" w:rsidRPr="00AD55AA" w:rsidRDefault="00830C24" w:rsidP="00313E00">
      <w:pPr>
        <w:jc w:val="both"/>
        <w:rPr>
          <w:sz w:val="20"/>
          <w:szCs w:val="20"/>
        </w:rPr>
      </w:pPr>
      <w:r w:rsidRPr="00AD55AA">
        <w:rPr>
          <w:rStyle w:val="Appelnotedebasdep"/>
          <w:sz w:val="20"/>
          <w:szCs w:val="20"/>
        </w:rPr>
        <w:footnoteRef/>
      </w:r>
      <w:r w:rsidRPr="00AD55AA">
        <w:rPr>
          <w:sz w:val="20"/>
          <w:szCs w:val="20"/>
        </w:rPr>
        <w:t xml:space="preserve"> </w:t>
      </w:r>
      <w:r w:rsidRPr="00313E00">
        <w:rPr>
          <w:sz w:val="20"/>
          <w:szCs w:val="20"/>
        </w:rPr>
        <w:t xml:space="preserve">In an untabulated analysis, we also control for Loss, Profit, Sales growth, Slack, and Tangibility. Loss is an indicator variable equal to one if the net income (NI) is lower than zero and zero otherwise. Profit is the income before extraordinary items (IB) scaled by total assets (AT). Sales growth is the annual growth rate of sales ((SALE –L.SALE)/L.SALE). Slack is the ratio of cash and cash equivalents (CHE) to net property, plant, and equipment (PPENT). Tangibility is the net property, plant, and equipment (PPENT) scaled by total assets (AT). Including these control variables reduces the sample by 3,031 firm-year observations (almost </w:t>
      </w:r>
      <w:r>
        <w:rPr>
          <w:sz w:val="20"/>
          <w:szCs w:val="20"/>
        </w:rPr>
        <w:t>10%) and yields similar results.</w:t>
      </w:r>
    </w:p>
  </w:footnote>
  <w:footnote w:id="14">
    <w:p w14:paraId="1B95A9E2" w14:textId="4AF76427" w:rsidR="00830C24" w:rsidRPr="00AD55AA" w:rsidRDefault="00830C24" w:rsidP="006470CC">
      <w:pPr>
        <w:pStyle w:val="Notedebasdepage"/>
        <w:jc w:val="both"/>
      </w:pPr>
      <w:r w:rsidRPr="009A2CD2">
        <w:rPr>
          <w:rStyle w:val="Appelnotedebasdep"/>
        </w:rPr>
        <w:footnoteRef/>
      </w:r>
      <w:r w:rsidRPr="009A2CD2">
        <w:t xml:space="preserve"> Capital expenditures decrease by 7.6% of net property, plant, and equipment which, compared to its mean of 37%, represents a reduction of 20%.</w:t>
      </w:r>
    </w:p>
  </w:footnote>
  <w:footnote w:id="15">
    <w:p w14:paraId="2713852C" w14:textId="75C40489" w:rsidR="00830C24" w:rsidRPr="00421ADA" w:rsidRDefault="00830C24" w:rsidP="00421ADA">
      <w:pPr>
        <w:pStyle w:val="Notedebasdepage"/>
        <w:jc w:val="both"/>
      </w:pPr>
      <w:r w:rsidRPr="009A2CD2">
        <w:rPr>
          <w:rStyle w:val="Appelnotedebasdep"/>
        </w:rPr>
        <w:footnoteRef/>
      </w:r>
      <w:r w:rsidRPr="009A2CD2">
        <w:t xml:space="preserve"> </w:t>
      </w:r>
      <w:r>
        <w:t xml:space="preserve">The treatment group remains the same in this endogeneity test. In other words, instead of staggered CFIUS interventions </w:t>
      </w:r>
      <w:r w:rsidRPr="009F0814">
        <w:t>in the 2008-2019 period</w:t>
      </w:r>
      <w:r>
        <w:t xml:space="preserve">, we use the 2016 U.S. presidential election as a unique shock. </w:t>
      </w:r>
      <w:r w:rsidRPr="00224445">
        <w:t>Notably, the Trump administration adopted other protectionist policies such as trade tariffs during its term. This is not a concern because there is only a limited overlap between these policies and our treatment group based on CFIUS interventions. These policies, in fact, targeted a different set of industries.</w:t>
      </w:r>
    </w:p>
  </w:footnote>
  <w:footnote w:id="16">
    <w:p w14:paraId="5FE93007" w14:textId="24D5929D" w:rsidR="00830C24" w:rsidRPr="00AD55AA" w:rsidRDefault="00830C24" w:rsidP="00410AE9">
      <w:pPr>
        <w:pStyle w:val="Notedebasdepage"/>
        <w:jc w:val="both"/>
      </w:pPr>
      <w:r w:rsidRPr="00AD55AA">
        <w:rPr>
          <w:rStyle w:val="Appelnotedebasdep"/>
        </w:rPr>
        <w:footnoteRef/>
      </w:r>
      <w:r>
        <w:t xml:space="preserve"> </w:t>
      </w:r>
      <w:r w:rsidRPr="00410AE9">
        <w:t>Capital expenditures decrease by 22.7% of net property, plant, and equipment which, compared to its mean of 53%, represents a reduction of 42% in the constrained subsample (Panel A of Table 9)</w:t>
      </w:r>
      <w:r w:rsidRPr="00AD55AA">
        <w:t>.</w:t>
      </w:r>
      <w:r>
        <w:t xml:space="preserve"> Such</w:t>
      </w:r>
      <w:r w:rsidRPr="00F21C7A">
        <w:t xml:space="preserve"> magnitude is similar in Panels B and C.</w:t>
      </w:r>
    </w:p>
  </w:footnote>
  <w:footnote w:id="17">
    <w:p w14:paraId="3F55A491" w14:textId="76520FE1" w:rsidR="00830C24" w:rsidRPr="00AD55AA" w:rsidRDefault="00830C24" w:rsidP="00464A36">
      <w:pPr>
        <w:pStyle w:val="Notedebasdepage"/>
        <w:jc w:val="both"/>
      </w:pPr>
      <w:r w:rsidRPr="00AD55AA">
        <w:rPr>
          <w:rStyle w:val="Appelnotedebasdep"/>
        </w:rPr>
        <w:footnoteRef/>
      </w:r>
      <w:r w:rsidRPr="00AD55AA">
        <w:t xml:space="preserve"> </w:t>
      </w:r>
      <w:r w:rsidRPr="00464A36">
        <w:t xml:space="preserve">Our analysis does not address other potential externalities of CFIUS activities. As such, given the embryonic literature on </w:t>
      </w:r>
      <w:r w:rsidRPr="00B50716">
        <w:t xml:space="preserve">the economic facets of </w:t>
      </w:r>
      <w:r w:rsidRPr="00464A36">
        <w:t xml:space="preserve">national security policies, we acknowledge that </w:t>
      </w:r>
      <w:r>
        <w:t>this is one of the potential</w:t>
      </w:r>
      <w:r w:rsidRPr="00464A36">
        <w:t xml:space="preserve"> channels through which CFIUS </w:t>
      </w:r>
      <w:r>
        <w:t xml:space="preserve">activities </w:t>
      </w:r>
      <w:r w:rsidRPr="00464A36">
        <w:t>could affect corporate investment.</w:t>
      </w:r>
    </w:p>
  </w:footnote>
  <w:footnote w:id="18">
    <w:p w14:paraId="7D40FF77" w14:textId="3AB0BC04" w:rsidR="00830C24" w:rsidRPr="00AD55AA" w:rsidRDefault="00830C24" w:rsidP="007C1F6F">
      <w:pPr>
        <w:pStyle w:val="Notedebasdepage"/>
        <w:jc w:val="both"/>
      </w:pPr>
      <w:r w:rsidRPr="00AD55AA">
        <w:rPr>
          <w:rStyle w:val="Appelnotedebasdep"/>
        </w:rPr>
        <w:footnoteRef/>
      </w:r>
      <w:r w:rsidRPr="00AD55AA">
        <w:t xml:space="preserve"> In an untabulated analysis, we document a reduction in inward foreign investments</w:t>
      </w:r>
      <w:r>
        <w:t xml:space="preserve"> toward affected industries</w:t>
      </w:r>
      <w:r w:rsidRPr="00AD55AA">
        <w:t xml:space="preserve"> following CFIUS interventions.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179"/>
    <w:multiLevelType w:val="hybridMultilevel"/>
    <w:tmpl w:val="584019AC"/>
    <w:lvl w:ilvl="0" w:tplc="13AE3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A06E7"/>
    <w:multiLevelType w:val="hybridMultilevel"/>
    <w:tmpl w:val="B2587F42"/>
    <w:lvl w:ilvl="0" w:tplc="BF0262B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7058"/>
    <w:multiLevelType w:val="hybridMultilevel"/>
    <w:tmpl w:val="FD0C5996"/>
    <w:lvl w:ilvl="0" w:tplc="CEBCB6E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D282F"/>
    <w:multiLevelType w:val="hybridMultilevel"/>
    <w:tmpl w:val="B302CFDC"/>
    <w:lvl w:ilvl="0" w:tplc="D884D7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0E4847"/>
    <w:multiLevelType w:val="hybridMultilevel"/>
    <w:tmpl w:val="40FC8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C843ED"/>
    <w:multiLevelType w:val="hybridMultilevel"/>
    <w:tmpl w:val="438CC042"/>
    <w:lvl w:ilvl="0" w:tplc="D012BF52">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66AD"/>
    <w:multiLevelType w:val="multilevel"/>
    <w:tmpl w:val="82A2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D778C"/>
    <w:multiLevelType w:val="hybridMultilevel"/>
    <w:tmpl w:val="0174F78A"/>
    <w:lvl w:ilvl="0" w:tplc="146A8596">
      <w:start w:val="1"/>
      <w:numFmt w:val="decimal"/>
      <w:lvlText w:val="%1."/>
      <w:lvlJc w:val="left"/>
      <w:pPr>
        <w:ind w:left="479"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5A60AC6A">
      <w:start w:val="1"/>
      <w:numFmt w:val="lowerLetter"/>
      <w:lvlText w:val="%2."/>
      <w:lvlJc w:val="left"/>
      <w:pPr>
        <w:ind w:left="905"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FB06E084">
      <w:numFmt w:val="bullet"/>
      <w:lvlText w:val="•"/>
      <w:lvlJc w:val="left"/>
      <w:pPr>
        <w:ind w:left="1906" w:hanging="360"/>
      </w:pPr>
      <w:rPr>
        <w:rFonts w:hint="default"/>
        <w:lang w:val="en-US" w:eastAsia="en-US" w:bidi="ar-SA"/>
      </w:rPr>
    </w:lvl>
    <w:lvl w:ilvl="3" w:tplc="AF3AB96C">
      <w:numFmt w:val="bullet"/>
      <w:lvlText w:val="•"/>
      <w:lvlJc w:val="left"/>
      <w:pPr>
        <w:ind w:left="2913" w:hanging="360"/>
      </w:pPr>
      <w:rPr>
        <w:rFonts w:hint="default"/>
        <w:lang w:val="en-US" w:eastAsia="en-US" w:bidi="ar-SA"/>
      </w:rPr>
    </w:lvl>
    <w:lvl w:ilvl="4" w:tplc="1500E616">
      <w:numFmt w:val="bullet"/>
      <w:lvlText w:val="•"/>
      <w:lvlJc w:val="left"/>
      <w:pPr>
        <w:ind w:left="3920" w:hanging="360"/>
      </w:pPr>
      <w:rPr>
        <w:rFonts w:hint="default"/>
        <w:lang w:val="en-US" w:eastAsia="en-US" w:bidi="ar-SA"/>
      </w:rPr>
    </w:lvl>
    <w:lvl w:ilvl="5" w:tplc="6082E550">
      <w:numFmt w:val="bullet"/>
      <w:lvlText w:val="•"/>
      <w:lvlJc w:val="left"/>
      <w:pPr>
        <w:ind w:left="4926" w:hanging="360"/>
      </w:pPr>
      <w:rPr>
        <w:rFonts w:hint="default"/>
        <w:lang w:val="en-US" w:eastAsia="en-US" w:bidi="ar-SA"/>
      </w:rPr>
    </w:lvl>
    <w:lvl w:ilvl="6" w:tplc="D1C4DE2C">
      <w:numFmt w:val="bullet"/>
      <w:lvlText w:val="•"/>
      <w:lvlJc w:val="left"/>
      <w:pPr>
        <w:ind w:left="5933" w:hanging="360"/>
      </w:pPr>
      <w:rPr>
        <w:rFonts w:hint="default"/>
        <w:lang w:val="en-US" w:eastAsia="en-US" w:bidi="ar-SA"/>
      </w:rPr>
    </w:lvl>
    <w:lvl w:ilvl="7" w:tplc="F53A6CCC">
      <w:numFmt w:val="bullet"/>
      <w:lvlText w:val="•"/>
      <w:lvlJc w:val="left"/>
      <w:pPr>
        <w:ind w:left="6940" w:hanging="360"/>
      </w:pPr>
      <w:rPr>
        <w:rFonts w:hint="default"/>
        <w:lang w:val="en-US" w:eastAsia="en-US" w:bidi="ar-SA"/>
      </w:rPr>
    </w:lvl>
    <w:lvl w:ilvl="8" w:tplc="2E96997C">
      <w:numFmt w:val="bullet"/>
      <w:lvlText w:val="•"/>
      <w:lvlJc w:val="left"/>
      <w:pPr>
        <w:ind w:left="7946" w:hanging="360"/>
      </w:pPr>
      <w:rPr>
        <w:rFonts w:hint="default"/>
        <w:lang w:val="en-US" w:eastAsia="en-US" w:bidi="ar-SA"/>
      </w:rPr>
    </w:lvl>
  </w:abstractNum>
  <w:abstractNum w:abstractNumId="8" w15:restartNumberingAfterBreak="0">
    <w:nsid w:val="33BA26F5"/>
    <w:multiLevelType w:val="hybridMultilevel"/>
    <w:tmpl w:val="222C771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C5FB3"/>
    <w:multiLevelType w:val="hybridMultilevel"/>
    <w:tmpl w:val="5F7CA12E"/>
    <w:lvl w:ilvl="0" w:tplc="7ADA9DFC">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80AED"/>
    <w:multiLevelType w:val="hybridMultilevel"/>
    <w:tmpl w:val="D1485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EF2E35"/>
    <w:multiLevelType w:val="hybridMultilevel"/>
    <w:tmpl w:val="A69C6020"/>
    <w:lvl w:ilvl="0" w:tplc="7B1C4A50">
      <w:start w:val="1"/>
      <w:numFmt w:val="upperRoman"/>
      <w:pStyle w:val="TitreIA"/>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B753298"/>
    <w:multiLevelType w:val="multilevel"/>
    <w:tmpl w:val="3CE811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015881"/>
    <w:multiLevelType w:val="hybridMultilevel"/>
    <w:tmpl w:val="21E6F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CE6D21"/>
    <w:multiLevelType w:val="multilevel"/>
    <w:tmpl w:val="B2EA46E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FD27EC1"/>
    <w:multiLevelType w:val="multilevel"/>
    <w:tmpl w:val="FE9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E519D"/>
    <w:multiLevelType w:val="hybridMultilevel"/>
    <w:tmpl w:val="2CFC2594"/>
    <w:lvl w:ilvl="0" w:tplc="829AD3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E30100"/>
    <w:multiLevelType w:val="hybridMultilevel"/>
    <w:tmpl w:val="625CF744"/>
    <w:lvl w:ilvl="0" w:tplc="EE62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51F8C"/>
    <w:multiLevelType w:val="hybridMultilevel"/>
    <w:tmpl w:val="162AB6D4"/>
    <w:lvl w:ilvl="0" w:tplc="72B2801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1A51D3"/>
    <w:multiLevelType w:val="multilevel"/>
    <w:tmpl w:val="95321BE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F978AC"/>
    <w:multiLevelType w:val="multilevel"/>
    <w:tmpl w:val="7EF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B76B9"/>
    <w:multiLevelType w:val="hybridMultilevel"/>
    <w:tmpl w:val="4F1679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F36455"/>
    <w:multiLevelType w:val="hybridMultilevel"/>
    <w:tmpl w:val="557CD450"/>
    <w:lvl w:ilvl="0" w:tplc="96E2F1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AD123D"/>
    <w:multiLevelType w:val="hybridMultilevel"/>
    <w:tmpl w:val="7536F6F2"/>
    <w:lvl w:ilvl="0" w:tplc="D7209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C7C16"/>
    <w:multiLevelType w:val="hybridMultilevel"/>
    <w:tmpl w:val="610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655AF"/>
    <w:multiLevelType w:val="multilevel"/>
    <w:tmpl w:val="9EC6B8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F356A0"/>
    <w:multiLevelType w:val="hybridMultilevel"/>
    <w:tmpl w:val="93581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867C9A"/>
    <w:multiLevelType w:val="hybridMultilevel"/>
    <w:tmpl w:val="98580BE6"/>
    <w:lvl w:ilvl="0" w:tplc="0B38E2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15767061">
    <w:abstractNumId w:val="15"/>
  </w:num>
  <w:num w:numId="2" w16cid:durableId="1219171480">
    <w:abstractNumId w:val="20"/>
  </w:num>
  <w:num w:numId="3" w16cid:durableId="1859267406">
    <w:abstractNumId w:val="6"/>
  </w:num>
  <w:num w:numId="4" w16cid:durableId="220026234">
    <w:abstractNumId w:val="26"/>
  </w:num>
  <w:num w:numId="5" w16cid:durableId="764615078">
    <w:abstractNumId w:val="14"/>
  </w:num>
  <w:num w:numId="6" w16cid:durableId="1874152866">
    <w:abstractNumId w:val="24"/>
  </w:num>
  <w:num w:numId="7" w16cid:durableId="1099981597">
    <w:abstractNumId w:val="8"/>
  </w:num>
  <w:num w:numId="8" w16cid:durableId="1747070249">
    <w:abstractNumId w:val="0"/>
  </w:num>
  <w:num w:numId="9" w16cid:durableId="722871944">
    <w:abstractNumId w:val="22"/>
  </w:num>
  <w:num w:numId="10" w16cid:durableId="22361496">
    <w:abstractNumId w:val="17"/>
  </w:num>
  <w:num w:numId="11" w16cid:durableId="271516404">
    <w:abstractNumId w:val="23"/>
  </w:num>
  <w:num w:numId="12" w16cid:durableId="2133163991">
    <w:abstractNumId w:val="4"/>
  </w:num>
  <w:num w:numId="13" w16cid:durableId="1539201420">
    <w:abstractNumId w:val="10"/>
  </w:num>
  <w:num w:numId="14" w16cid:durableId="115947506">
    <w:abstractNumId w:val="19"/>
  </w:num>
  <w:num w:numId="15" w16cid:durableId="823743217">
    <w:abstractNumId w:val="13"/>
  </w:num>
  <w:num w:numId="16" w16cid:durableId="1719208232">
    <w:abstractNumId w:val="21"/>
  </w:num>
  <w:num w:numId="17" w16cid:durableId="1879005337">
    <w:abstractNumId w:val="25"/>
  </w:num>
  <w:num w:numId="18" w16cid:durableId="620961623">
    <w:abstractNumId w:val="12"/>
  </w:num>
  <w:num w:numId="19" w16cid:durableId="2117672064">
    <w:abstractNumId w:val="18"/>
  </w:num>
  <w:num w:numId="20" w16cid:durableId="592280651">
    <w:abstractNumId w:val="11"/>
  </w:num>
  <w:num w:numId="21" w16cid:durableId="1336569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0901361">
    <w:abstractNumId w:val="9"/>
  </w:num>
  <w:num w:numId="23" w16cid:durableId="1898590506">
    <w:abstractNumId w:val="2"/>
  </w:num>
  <w:num w:numId="24" w16cid:durableId="2062746379">
    <w:abstractNumId w:val="1"/>
  </w:num>
  <w:num w:numId="25" w16cid:durableId="169104407">
    <w:abstractNumId w:val="5"/>
  </w:num>
  <w:num w:numId="26" w16cid:durableId="314724291">
    <w:abstractNumId w:val="7"/>
  </w:num>
  <w:num w:numId="27" w16cid:durableId="364336066">
    <w:abstractNumId w:val="3"/>
  </w:num>
  <w:num w:numId="28" w16cid:durableId="571428106">
    <w:abstractNumId w:val="16"/>
  </w:num>
  <w:num w:numId="29" w16cid:durableId="19356254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4A"/>
    <w:rsid w:val="00000275"/>
    <w:rsid w:val="000010D8"/>
    <w:rsid w:val="000036F4"/>
    <w:rsid w:val="00004D25"/>
    <w:rsid w:val="00004EB0"/>
    <w:rsid w:val="00005BBA"/>
    <w:rsid w:val="0000676D"/>
    <w:rsid w:val="000079C4"/>
    <w:rsid w:val="00007BD6"/>
    <w:rsid w:val="0001086A"/>
    <w:rsid w:val="000108CA"/>
    <w:rsid w:val="00010C92"/>
    <w:rsid w:val="0001197E"/>
    <w:rsid w:val="000137AC"/>
    <w:rsid w:val="00013F94"/>
    <w:rsid w:val="000141AA"/>
    <w:rsid w:val="00014C03"/>
    <w:rsid w:val="00014FCF"/>
    <w:rsid w:val="00015209"/>
    <w:rsid w:val="0001592E"/>
    <w:rsid w:val="0001659D"/>
    <w:rsid w:val="000170B9"/>
    <w:rsid w:val="00017658"/>
    <w:rsid w:val="0002040A"/>
    <w:rsid w:val="00020C7D"/>
    <w:rsid w:val="00020D0E"/>
    <w:rsid w:val="00023461"/>
    <w:rsid w:val="0002396B"/>
    <w:rsid w:val="00023D42"/>
    <w:rsid w:val="00024B17"/>
    <w:rsid w:val="00024F56"/>
    <w:rsid w:val="00025029"/>
    <w:rsid w:val="000254CC"/>
    <w:rsid w:val="0002597C"/>
    <w:rsid w:val="00025CAB"/>
    <w:rsid w:val="00026176"/>
    <w:rsid w:val="00026D4F"/>
    <w:rsid w:val="0002727A"/>
    <w:rsid w:val="00027D27"/>
    <w:rsid w:val="00030082"/>
    <w:rsid w:val="000319C7"/>
    <w:rsid w:val="00032252"/>
    <w:rsid w:val="00032CBC"/>
    <w:rsid w:val="0003537C"/>
    <w:rsid w:val="000360CC"/>
    <w:rsid w:val="0004056B"/>
    <w:rsid w:val="000409BF"/>
    <w:rsid w:val="00040DDF"/>
    <w:rsid w:val="00042057"/>
    <w:rsid w:val="00042121"/>
    <w:rsid w:val="00042AC4"/>
    <w:rsid w:val="00042D82"/>
    <w:rsid w:val="00043EBB"/>
    <w:rsid w:val="00044FF4"/>
    <w:rsid w:val="0004551E"/>
    <w:rsid w:val="000457E4"/>
    <w:rsid w:val="00045BB5"/>
    <w:rsid w:val="00047EF8"/>
    <w:rsid w:val="00050272"/>
    <w:rsid w:val="00050364"/>
    <w:rsid w:val="00050DA5"/>
    <w:rsid w:val="00051B5F"/>
    <w:rsid w:val="00051FA1"/>
    <w:rsid w:val="00052B62"/>
    <w:rsid w:val="00053912"/>
    <w:rsid w:val="00056016"/>
    <w:rsid w:val="00057257"/>
    <w:rsid w:val="00057761"/>
    <w:rsid w:val="00057CC0"/>
    <w:rsid w:val="0006090C"/>
    <w:rsid w:val="0006142A"/>
    <w:rsid w:val="000614D9"/>
    <w:rsid w:val="00061FA7"/>
    <w:rsid w:val="00063318"/>
    <w:rsid w:val="00063D09"/>
    <w:rsid w:val="00064C66"/>
    <w:rsid w:val="00065903"/>
    <w:rsid w:val="00065C12"/>
    <w:rsid w:val="00067420"/>
    <w:rsid w:val="00067C09"/>
    <w:rsid w:val="000702B1"/>
    <w:rsid w:val="0007147D"/>
    <w:rsid w:val="000715AB"/>
    <w:rsid w:val="00071B63"/>
    <w:rsid w:val="00072A42"/>
    <w:rsid w:val="00072D9F"/>
    <w:rsid w:val="00074CF1"/>
    <w:rsid w:val="00077697"/>
    <w:rsid w:val="0008045E"/>
    <w:rsid w:val="000814B0"/>
    <w:rsid w:val="00082EFB"/>
    <w:rsid w:val="00083B9A"/>
    <w:rsid w:val="0008526B"/>
    <w:rsid w:val="00085332"/>
    <w:rsid w:val="000854E9"/>
    <w:rsid w:val="00085DCA"/>
    <w:rsid w:val="00086552"/>
    <w:rsid w:val="0008688D"/>
    <w:rsid w:val="00086B79"/>
    <w:rsid w:val="00086EBB"/>
    <w:rsid w:val="00087279"/>
    <w:rsid w:val="0009293C"/>
    <w:rsid w:val="0009315B"/>
    <w:rsid w:val="00093F7D"/>
    <w:rsid w:val="00094A11"/>
    <w:rsid w:val="0009536D"/>
    <w:rsid w:val="00095859"/>
    <w:rsid w:val="00095EFE"/>
    <w:rsid w:val="00097F1D"/>
    <w:rsid w:val="000A059A"/>
    <w:rsid w:val="000A0FA1"/>
    <w:rsid w:val="000A1632"/>
    <w:rsid w:val="000A1750"/>
    <w:rsid w:val="000A2704"/>
    <w:rsid w:val="000A28DD"/>
    <w:rsid w:val="000A2BC9"/>
    <w:rsid w:val="000A3086"/>
    <w:rsid w:val="000A49F7"/>
    <w:rsid w:val="000A5557"/>
    <w:rsid w:val="000A5923"/>
    <w:rsid w:val="000A6045"/>
    <w:rsid w:val="000A60D9"/>
    <w:rsid w:val="000A648B"/>
    <w:rsid w:val="000A6B2F"/>
    <w:rsid w:val="000A6F4C"/>
    <w:rsid w:val="000B01BB"/>
    <w:rsid w:val="000B0BCC"/>
    <w:rsid w:val="000B1550"/>
    <w:rsid w:val="000B17B0"/>
    <w:rsid w:val="000B1A33"/>
    <w:rsid w:val="000B322C"/>
    <w:rsid w:val="000B4A51"/>
    <w:rsid w:val="000B52A5"/>
    <w:rsid w:val="000B5BC4"/>
    <w:rsid w:val="000B6DC3"/>
    <w:rsid w:val="000B7433"/>
    <w:rsid w:val="000B79F3"/>
    <w:rsid w:val="000C0A20"/>
    <w:rsid w:val="000C2232"/>
    <w:rsid w:val="000C3690"/>
    <w:rsid w:val="000C3F4B"/>
    <w:rsid w:val="000C4DA1"/>
    <w:rsid w:val="000C520A"/>
    <w:rsid w:val="000C59B7"/>
    <w:rsid w:val="000C5B67"/>
    <w:rsid w:val="000C6E00"/>
    <w:rsid w:val="000D05C6"/>
    <w:rsid w:val="000D0820"/>
    <w:rsid w:val="000D0BBB"/>
    <w:rsid w:val="000D117A"/>
    <w:rsid w:val="000D1271"/>
    <w:rsid w:val="000D1432"/>
    <w:rsid w:val="000D1C99"/>
    <w:rsid w:val="000D240F"/>
    <w:rsid w:val="000D2BFF"/>
    <w:rsid w:val="000D2D3C"/>
    <w:rsid w:val="000D6928"/>
    <w:rsid w:val="000D790B"/>
    <w:rsid w:val="000E0957"/>
    <w:rsid w:val="000E0B78"/>
    <w:rsid w:val="000E1484"/>
    <w:rsid w:val="000E4850"/>
    <w:rsid w:val="000E49FC"/>
    <w:rsid w:val="000E4D26"/>
    <w:rsid w:val="000E4DDE"/>
    <w:rsid w:val="000E531C"/>
    <w:rsid w:val="000E5C90"/>
    <w:rsid w:val="000E6CBB"/>
    <w:rsid w:val="000E6F61"/>
    <w:rsid w:val="000F002D"/>
    <w:rsid w:val="000F13CA"/>
    <w:rsid w:val="000F1A02"/>
    <w:rsid w:val="000F2A78"/>
    <w:rsid w:val="000F2ED2"/>
    <w:rsid w:val="000F45AF"/>
    <w:rsid w:val="000F5741"/>
    <w:rsid w:val="000F5D56"/>
    <w:rsid w:val="000F6921"/>
    <w:rsid w:val="000F71CF"/>
    <w:rsid w:val="001001C3"/>
    <w:rsid w:val="001003E6"/>
    <w:rsid w:val="001008BC"/>
    <w:rsid w:val="00101171"/>
    <w:rsid w:val="0010117B"/>
    <w:rsid w:val="00101CD2"/>
    <w:rsid w:val="00101F16"/>
    <w:rsid w:val="00101F52"/>
    <w:rsid w:val="0010249B"/>
    <w:rsid w:val="00102B90"/>
    <w:rsid w:val="00102C6A"/>
    <w:rsid w:val="001031D6"/>
    <w:rsid w:val="00103410"/>
    <w:rsid w:val="00104267"/>
    <w:rsid w:val="00104DDF"/>
    <w:rsid w:val="001052D7"/>
    <w:rsid w:val="001068C3"/>
    <w:rsid w:val="001068C9"/>
    <w:rsid w:val="0010736A"/>
    <w:rsid w:val="00107BD0"/>
    <w:rsid w:val="00110865"/>
    <w:rsid w:val="00110BA6"/>
    <w:rsid w:val="001111E4"/>
    <w:rsid w:val="0011165E"/>
    <w:rsid w:val="0011198A"/>
    <w:rsid w:val="0011219C"/>
    <w:rsid w:val="00112AEE"/>
    <w:rsid w:val="00112CD9"/>
    <w:rsid w:val="00113660"/>
    <w:rsid w:val="00114E3E"/>
    <w:rsid w:val="00115127"/>
    <w:rsid w:val="0011517A"/>
    <w:rsid w:val="001162F2"/>
    <w:rsid w:val="00116520"/>
    <w:rsid w:val="00116EE9"/>
    <w:rsid w:val="0012030C"/>
    <w:rsid w:val="001220A0"/>
    <w:rsid w:val="0012213D"/>
    <w:rsid w:val="0012331F"/>
    <w:rsid w:val="001238BF"/>
    <w:rsid w:val="00123E8A"/>
    <w:rsid w:val="00123EA3"/>
    <w:rsid w:val="00124304"/>
    <w:rsid w:val="00124B7A"/>
    <w:rsid w:val="00125277"/>
    <w:rsid w:val="0012555B"/>
    <w:rsid w:val="001263AF"/>
    <w:rsid w:val="00126C83"/>
    <w:rsid w:val="001272CB"/>
    <w:rsid w:val="00127F6B"/>
    <w:rsid w:val="00131EEC"/>
    <w:rsid w:val="001320CB"/>
    <w:rsid w:val="001324F1"/>
    <w:rsid w:val="00132B93"/>
    <w:rsid w:val="00133663"/>
    <w:rsid w:val="00134E2B"/>
    <w:rsid w:val="00134E50"/>
    <w:rsid w:val="00135093"/>
    <w:rsid w:val="001351CE"/>
    <w:rsid w:val="00135F40"/>
    <w:rsid w:val="00136011"/>
    <w:rsid w:val="00140254"/>
    <w:rsid w:val="001408BE"/>
    <w:rsid w:val="00140B57"/>
    <w:rsid w:val="001412A9"/>
    <w:rsid w:val="001412E7"/>
    <w:rsid w:val="0014184E"/>
    <w:rsid w:val="00141D79"/>
    <w:rsid w:val="001426AC"/>
    <w:rsid w:val="00142FA1"/>
    <w:rsid w:val="00143CDD"/>
    <w:rsid w:val="00143E32"/>
    <w:rsid w:val="0014587C"/>
    <w:rsid w:val="001466CC"/>
    <w:rsid w:val="00147229"/>
    <w:rsid w:val="001472EF"/>
    <w:rsid w:val="00147A1F"/>
    <w:rsid w:val="0015014C"/>
    <w:rsid w:val="00150F08"/>
    <w:rsid w:val="001519EA"/>
    <w:rsid w:val="00154B9B"/>
    <w:rsid w:val="001557E5"/>
    <w:rsid w:val="0015646D"/>
    <w:rsid w:val="001600DC"/>
    <w:rsid w:val="00160104"/>
    <w:rsid w:val="00160D3E"/>
    <w:rsid w:val="0016188F"/>
    <w:rsid w:val="0016233E"/>
    <w:rsid w:val="00162FA9"/>
    <w:rsid w:val="0016465A"/>
    <w:rsid w:val="00165583"/>
    <w:rsid w:val="00165BAC"/>
    <w:rsid w:val="00166ED6"/>
    <w:rsid w:val="00167473"/>
    <w:rsid w:val="00170A9E"/>
    <w:rsid w:val="001712B1"/>
    <w:rsid w:val="00172816"/>
    <w:rsid w:val="00172E24"/>
    <w:rsid w:val="00173005"/>
    <w:rsid w:val="001740AB"/>
    <w:rsid w:val="001745CE"/>
    <w:rsid w:val="0017500B"/>
    <w:rsid w:val="001753E5"/>
    <w:rsid w:val="00175CD4"/>
    <w:rsid w:val="00176EBC"/>
    <w:rsid w:val="00180AD3"/>
    <w:rsid w:val="00181282"/>
    <w:rsid w:val="0018174E"/>
    <w:rsid w:val="00182187"/>
    <w:rsid w:val="00182D6D"/>
    <w:rsid w:val="0018348F"/>
    <w:rsid w:val="00184691"/>
    <w:rsid w:val="001853A1"/>
    <w:rsid w:val="001859CB"/>
    <w:rsid w:val="00185AB8"/>
    <w:rsid w:val="001870D7"/>
    <w:rsid w:val="001872BE"/>
    <w:rsid w:val="001876BB"/>
    <w:rsid w:val="001900A2"/>
    <w:rsid w:val="001916FA"/>
    <w:rsid w:val="00192AFA"/>
    <w:rsid w:val="00192C0F"/>
    <w:rsid w:val="00194BCC"/>
    <w:rsid w:val="00195629"/>
    <w:rsid w:val="00195B6C"/>
    <w:rsid w:val="001965BD"/>
    <w:rsid w:val="00196BB3"/>
    <w:rsid w:val="00196EC9"/>
    <w:rsid w:val="00196F53"/>
    <w:rsid w:val="0019759E"/>
    <w:rsid w:val="001975D7"/>
    <w:rsid w:val="001A0F5F"/>
    <w:rsid w:val="001A1614"/>
    <w:rsid w:val="001A1BC5"/>
    <w:rsid w:val="001A259D"/>
    <w:rsid w:val="001A2C31"/>
    <w:rsid w:val="001A2DA1"/>
    <w:rsid w:val="001A2EB3"/>
    <w:rsid w:val="001A2EEC"/>
    <w:rsid w:val="001A44D2"/>
    <w:rsid w:val="001A45DF"/>
    <w:rsid w:val="001A4D2C"/>
    <w:rsid w:val="001A508C"/>
    <w:rsid w:val="001A5213"/>
    <w:rsid w:val="001A521E"/>
    <w:rsid w:val="001A5242"/>
    <w:rsid w:val="001A620B"/>
    <w:rsid w:val="001A64D6"/>
    <w:rsid w:val="001A67D4"/>
    <w:rsid w:val="001A6CA5"/>
    <w:rsid w:val="001A6D87"/>
    <w:rsid w:val="001A7B41"/>
    <w:rsid w:val="001B1B10"/>
    <w:rsid w:val="001B1B2B"/>
    <w:rsid w:val="001B4310"/>
    <w:rsid w:val="001B5AF3"/>
    <w:rsid w:val="001B5BFA"/>
    <w:rsid w:val="001B5CD6"/>
    <w:rsid w:val="001B62B5"/>
    <w:rsid w:val="001B6331"/>
    <w:rsid w:val="001B795A"/>
    <w:rsid w:val="001B7A1B"/>
    <w:rsid w:val="001C0440"/>
    <w:rsid w:val="001C0C47"/>
    <w:rsid w:val="001C15D7"/>
    <w:rsid w:val="001C263F"/>
    <w:rsid w:val="001C2A81"/>
    <w:rsid w:val="001C2C73"/>
    <w:rsid w:val="001C2FB4"/>
    <w:rsid w:val="001C35E9"/>
    <w:rsid w:val="001C41CE"/>
    <w:rsid w:val="001C5DBA"/>
    <w:rsid w:val="001C6246"/>
    <w:rsid w:val="001C6D64"/>
    <w:rsid w:val="001D016B"/>
    <w:rsid w:val="001D0E1E"/>
    <w:rsid w:val="001D0FFF"/>
    <w:rsid w:val="001D15AF"/>
    <w:rsid w:val="001D174C"/>
    <w:rsid w:val="001D1D9A"/>
    <w:rsid w:val="001D1FC7"/>
    <w:rsid w:val="001D27F6"/>
    <w:rsid w:val="001D374B"/>
    <w:rsid w:val="001D4983"/>
    <w:rsid w:val="001D63F5"/>
    <w:rsid w:val="001D68F9"/>
    <w:rsid w:val="001D6948"/>
    <w:rsid w:val="001D6CAC"/>
    <w:rsid w:val="001D748C"/>
    <w:rsid w:val="001D7BA5"/>
    <w:rsid w:val="001D7BED"/>
    <w:rsid w:val="001E14D4"/>
    <w:rsid w:val="001E36C3"/>
    <w:rsid w:val="001E395F"/>
    <w:rsid w:val="001E3F4A"/>
    <w:rsid w:val="001E4623"/>
    <w:rsid w:val="001E4E06"/>
    <w:rsid w:val="001E4E09"/>
    <w:rsid w:val="001E4EBB"/>
    <w:rsid w:val="001E5B07"/>
    <w:rsid w:val="001E7742"/>
    <w:rsid w:val="001E7D03"/>
    <w:rsid w:val="001E7F28"/>
    <w:rsid w:val="001F073A"/>
    <w:rsid w:val="001F139A"/>
    <w:rsid w:val="001F211E"/>
    <w:rsid w:val="001F229F"/>
    <w:rsid w:val="001F2587"/>
    <w:rsid w:val="001F29A3"/>
    <w:rsid w:val="001F45AD"/>
    <w:rsid w:val="001F46CB"/>
    <w:rsid w:val="001F48A6"/>
    <w:rsid w:val="001F4ED8"/>
    <w:rsid w:val="001F529E"/>
    <w:rsid w:val="001F63B5"/>
    <w:rsid w:val="001F6793"/>
    <w:rsid w:val="001F73A5"/>
    <w:rsid w:val="0020179E"/>
    <w:rsid w:val="0020264D"/>
    <w:rsid w:val="00202C38"/>
    <w:rsid w:val="00202D72"/>
    <w:rsid w:val="002034C1"/>
    <w:rsid w:val="00204FB8"/>
    <w:rsid w:val="0020531C"/>
    <w:rsid w:val="00205418"/>
    <w:rsid w:val="0020556B"/>
    <w:rsid w:val="00205B65"/>
    <w:rsid w:val="0020681D"/>
    <w:rsid w:val="00207CC7"/>
    <w:rsid w:val="002106E3"/>
    <w:rsid w:val="00210E63"/>
    <w:rsid w:val="00210FDE"/>
    <w:rsid w:val="002113C8"/>
    <w:rsid w:val="00211616"/>
    <w:rsid w:val="0021161A"/>
    <w:rsid w:val="0021193F"/>
    <w:rsid w:val="00213385"/>
    <w:rsid w:val="00214042"/>
    <w:rsid w:val="00214A95"/>
    <w:rsid w:val="00216B0C"/>
    <w:rsid w:val="00216EB1"/>
    <w:rsid w:val="002174D0"/>
    <w:rsid w:val="00217856"/>
    <w:rsid w:val="0021787A"/>
    <w:rsid w:val="0022037D"/>
    <w:rsid w:val="00221583"/>
    <w:rsid w:val="002220DB"/>
    <w:rsid w:val="002221B0"/>
    <w:rsid w:val="00222216"/>
    <w:rsid w:val="00222601"/>
    <w:rsid w:val="00224445"/>
    <w:rsid w:val="00225541"/>
    <w:rsid w:val="00225EE0"/>
    <w:rsid w:val="00225FB4"/>
    <w:rsid w:val="00226540"/>
    <w:rsid w:val="00227422"/>
    <w:rsid w:val="00227A9C"/>
    <w:rsid w:val="00230BA4"/>
    <w:rsid w:val="002315FF"/>
    <w:rsid w:val="0023221A"/>
    <w:rsid w:val="00232632"/>
    <w:rsid w:val="00233992"/>
    <w:rsid w:val="002345EF"/>
    <w:rsid w:val="00234E76"/>
    <w:rsid w:val="00235755"/>
    <w:rsid w:val="00235B51"/>
    <w:rsid w:val="00235F0F"/>
    <w:rsid w:val="00236492"/>
    <w:rsid w:val="002367C6"/>
    <w:rsid w:val="00236B96"/>
    <w:rsid w:val="0024218E"/>
    <w:rsid w:val="00242775"/>
    <w:rsid w:val="00243686"/>
    <w:rsid w:val="00243975"/>
    <w:rsid w:val="00243EA1"/>
    <w:rsid w:val="00244471"/>
    <w:rsid w:val="00244D72"/>
    <w:rsid w:val="00245A4A"/>
    <w:rsid w:val="002466C3"/>
    <w:rsid w:val="00250D41"/>
    <w:rsid w:val="0025127B"/>
    <w:rsid w:val="00251AD6"/>
    <w:rsid w:val="00251D9E"/>
    <w:rsid w:val="002554E4"/>
    <w:rsid w:val="0025555A"/>
    <w:rsid w:val="002555F1"/>
    <w:rsid w:val="002561DE"/>
    <w:rsid w:val="00257AD0"/>
    <w:rsid w:val="00260AE8"/>
    <w:rsid w:val="00260B91"/>
    <w:rsid w:val="00263732"/>
    <w:rsid w:val="002643DC"/>
    <w:rsid w:val="00265283"/>
    <w:rsid w:val="002658D1"/>
    <w:rsid w:val="002660EB"/>
    <w:rsid w:val="0026637D"/>
    <w:rsid w:val="002668EB"/>
    <w:rsid w:val="00266C67"/>
    <w:rsid w:val="00267C98"/>
    <w:rsid w:val="00270975"/>
    <w:rsid w:val="0027198E"/>
    <w:rsid w:val="002733CA"/>
    <w:rsid w:val="00275175"/>
    <w:rsid w:val="002757BF"/>
    <w:rsid w:val="00275A7E"/>
    <w:rsid w:val="002762AA"/>
    <w:rsid w:val="00276EA8"/>
    <w:rsid w:val="0027794E"/>
    <w:rsid w:val="00280C04"/>
    <w:rsid w:val="0028115C"/>
    <w:rsid w:val="00281706"/>
    <w:rsid w:val="002820D8"/>
    <w:rsid w:val="0028216C"/>
    <w:rsid w:val="00283DDA"/>
    <w:rsid w:val="00284555"/>
    <w:rsid w:val="00285639"/>
    <w:rsid w:val="00286C73"/>
    <w:rsid w:val="002900DB"/>
    <w:rsid w:val="00290ED4"/>
    <w:rsid w:val="002914F1"/>
    <w:rsid w:val="00291770"/>
    <w:rsid w:val="00292B75"/>
    <w:rsid w:val="002934B1"/>
    <w:rsid w:val="00293B6B"/>
    <w:rsid w:val="00293BA8"/>
    <w:rsid w:val="002954BA"/>
    <w:rsid w:val="00295F43"/>
    <w:rsid w:val="00297098"/>
    <w:rsid w:val="00297E8B"/>
    <w:rsid w:val="002A16E2"/>
    <w:rsid w:val="002A3162"/>
    <w:rsid w:val="002A53D8"/>
    <w:rsid w:val="002A562E"/>
    <w:rsid w:val="002A6734"/>
    <w:rsid w:val="002A7658"/>
    <w:rsid w:val="002B0089"/>
    <w:rsid w:val="002B1931"/>
    <w:rsid w:val="002B1C57"/>
    <w:rsid w:val="002B2103"/>
    <w:rsid w:val="002B2BE7"/>
    <w:rsid w:val="002B2C30"/>
    <w:rsid w:val="002B31D4"/>
    <w:rsid w:val="002B3423"/>
    <w:rsid w:val="002B3553"/>
    <w:rsid w:val="002B49E5"/>
    <w:rsid w:val="002B4A2D"/>
    <w:rsid w:val="002B4BC6"/>
    <w:rsid w:val="002B4FD1"/>
    <w:rsid w:val="002B5042"/>
    <w:rsid w:val="002B651E"/>
    <w:rsid w:val="002C1423"/>
    <w:rsid w:val="002C1765"/>
    <w:rsid w:val="002C29AD"/>
    <w:rsid w:val="002C2B52"/>
    <w:rsid w:val="002C2E71"/>
    <w:rsid w:val="002C30F5"/>
    <w:rsid w:val="002C3CF4"/>
    <w:rsid w:val="002C479E"/>
    <w:rsid w:val="002C4FA9"/>
    <w:rsid w:val="002C5CC6"/>
    <w:rsid w:val="002C5DA0"/>
    <w:rsid w:val="002C5E42"/>
    <w:rsid w:val="002C6892"/>
    <w:rsid w:val="002D1E6D"/>
    <w:rsid w:val="002D2BCA"/>
    <w:rsid w:val="002D3F66"/>
    <w:rsid w:val="002D47DE"/>
    <w:rsid w:val="002D5311"/>
    <w:rsid w:val="002D5B96"/>
    <w:rsid w:val="002D5F02"/>
    <w:rsid w:val="002E11AB"/>
    <w:rsid w:val="002E1B72"/>
    <w:rsid w:val="002E1C21"/>
    <w:rsid w:val="002E27A2"/>
    <w:rsid w:val="002E2A75"/>
    <w:rsid w:val="002E2C0C"/>
    <w:rsid w:val="002E447A"/>
    <w:rsid w:val="002E4E21"/>
    <w:rsid w:val="002E4F2D"/>
    <w:rsid w:val="002E5ABD"/>
    <w:rsid w:val="002E6ACD"/>
    <w:rsid w:val="002E6DFA"/>
    <w:rsid w:val="002F239F"/>
    <w:rsid w:val="002F244D"/>
    <w:rsid w:val="002F2841"/>
    <w:rsid w:val="002F2989"/>
    <w:rsid w:val="002F298B"/>
    <w:rsid w:val="002F2DAE"/>
    <w:rsid w:val="002F2EC3"/>
    <w:rsid w:val="002F2FF4"/>
    <w:rsid w:val="002F33FA"/>
    <w:rsid w:val="002F3A0B"/>
    <w:rsid w:val="002F402E"/>
    <w:rsid w:val="002F4233"/>
    <w:rsid w:val="002F44F3"/>
    <w:rsid w:val="002F5E3C"/>
    <w:rsid w:val="002F6863"/>
    <w:rsid w:val="002F6D9F"/>
    <w:rsid w:val="002F7BCE"/>
    <w:rsid w:val="00300568"/>
    <w:rsid w:val="00300EBC"/>
    <w:rsid w:val="00301570"/>
    <w:rsid w:val="00301B85"/>
    <w:rsid w:val="00302A0A"/>
    <w:rsid w:val="00302B92"/>
    <w:rsid w:val="003031A4"/>
    <w:rsid w:val="00304092"/>
    <w:rsid w:val="003046B8"/>
    <w:rsid w:val="00304E22"/>
    <w:rsid w:val="003055E4"/>
    <w:rsid w:val="00305B04"/>
    <w:rsid w:val="00306724"/>
    <w:rsid w:val="00306C2B"/>
    <w:rsid w:val="0031002A"/>
    <w:rsid w:val="003101F9"/>
    <w:rsid w:val="003110F1"/>
    <w:rsid w:val="0031161A"/>
    <w:rsid w:val="00312605"/>
    <w:rsid w:val="00312D93"/>
    <w:rsid w:val="00312F34"/>
    <w:rsid w:val="00313533"/>
    <w:rsid w:val="00313CA0"/>
    <w:rsid w:val="00313E00"/>
    <w:rsid w:val="00313F7D"/>
    <w:rsid w:val="003144FD"/>
    <w:rsid w:val="00314E6D"/>
    <w:rsid w:val="0031513B"/>
    <w:rsid w:val="00315152"/>
    <w:rsid w:val="00315197"/>
    <w:rsid w:val="00315501"/>
    <w:rsid w:val="00316F75"/>
    <w:rsid w:val="003171AC"/>
    <w:rsid w:val="00317536"/>
    <w:rsid w:val="00320C8E"/>
    <w:rsid w:val="00321269"/>
    <w:rsid w:val="00324287"/>
    <w:rsid w:val="0032491D"/>
    <w:rsid w:val="00324F35"/>
    <w:rsid w:val="00325633"/>
    <w:rsid w:val="00325936"/>
    <w:rsid w:val="003265AE"/>
    <w:rsid w:val="00326CC3"/>
    <w:rsid w:val="00326F02"/>
    <w:rsid w:val="0033080F"/>
    <w:rsid w:val="0033429C"/>
    <w:rsid w:val="0033579D"/>
    <w:rsid w:val="003367D3"/>
    <w:rsid w:val="00336A62"/>
    <w:rsid w:val="00337CB2"/>
    <w:rsid w:val="003403CD"/>
    <w:rsid w:val="00340CFC"/>
    <w:rsid w:val="0034145D"/>
    <w:rsid w:val="00341734"/>
    <w:rsid w:val="00341FBE"/>
    <w:rsid w:val="003420B8"/>
    <w:rsid w:val="00342CB0"/>
    <w:rsid w:val="003437FE"/>
    <w:rsid w:val="00343FD4"/>
    <w:rsid w:val="003450EE"/>
    <w:rsid w:val="003453FF"/>
    <w:rsid w:val="00346185"/>
    <w:rsid w:val="00346D4F"/>
    <w:rsid w:val="00347994"/>
    <w:rsid w:val="00350894"/>
    <w:rsid w:val="0035111B"/>
    <w:rsid w:val="003512F0"/>
    <w:rsid w:val="00351DBC"/>
    <w:rsid w:val="00353743"/>
    <w:rsid w:val="00353C7E"/>
    <w:rsid w:val="00353EB0"/>
    <w:rsid w:val="003541B1"/>
    <w:rsid w:val="00355232"/>
    <w:rsid w:val="00355318"/>
    <w:rsid w:val="0035561B"/>
    <w:rsid w:val="00355AA6"/>
    <w:rsid w:val="00356242"/>
    <w:rsid w:val="00356AF7"/>
    <w:rsid w:val="00356DF6"/>
    <w:rsid w:val="00356EAD"/>
    <w:rsid w:val="00357B0D"/>
    <w:rsid w:val="00357E17"/>
    <w:rsid w:val="00360417"/>
    <w:rsid w:val="003618B1"/>
    <w:rsid w:val="00362B20"/>
    <w:rsid w:val="003632CA"/>
    <w:rsid w:val="00364405"/>
    <w:rsid w:val="00364E62"/>
    <w:rsid w:val="00365779"/>
    <w:rsid w:val="00366276"/>
    <w:rsid w:val="00366724"/>
    <w:rsid w:val="0036683C"/>
    <w:rsid w:val="00367DDD"/>
    <w:rsid w:val="00367E2A"/>
    <w:rsid w:val="00371208"/>
    <w:rsid w:val="00371493"/>
    <w:rsid w:val="00371A69"/>
    <w:rsid w:val="00371CCC"/>
    <w:rsid w:val="003744EC"/>
    <w:rsid w:val="00375BDD"/>
    <w:rsid w:val="00376427"/>
    <w:rsid w:val="003773CF"/>
    <w:rsid w:val="00377641"/>
    <w:rsid w:val="00377D86"/>
    <w:rsid w:val="00380964"/>
    <w:rsid w:val="00380CFC"/>
    <w:rsid w:val="00382912"/>
    <w:rsid w:val="00382E32"/>
    <w:rsid w:val="00383687"/>
    <w:rsid w:val="003838A3"/>
    <w:rsid w:val="00383A33"/>
    <w:rsid w:val="00383AFE"/>
    <w:rsid w:val="00384B78"/>
    <w:rsid w:val="00384C81"/>
    <w:rsid w:val="003850C5"/>
    <w:rsid w:val="00386469"/>
    <w:rsid w:val="003873BE"/>
    <w:rsid w:val="00390555"/>
    <w:rsid w:val="00390641"/>
    <w:rsid w:val="00390A0B"/>
    <w:rsid w:val="00390A56"/>
    <w:rsid w:val="00391E6D"/>
    <w:rsid w:val="00392791"/>
    <w:rsid w:val="0039412A"/>
    <w:rsid w:val="0039443D"/>
    <w:rsid w:val="00394510"/>
    <w:rsid w:val="00394F5D"/>
    <w:rsid w:val="00394F65"/>
    <w:rsid w:val="003950A8"/>
    <w:rsid w:val="003A1FEE"/>
    <w:rsid w:val="003A24FF"/>
    <w:rsid w:val="003A3153"/>
    <w:rsid w:val="003A42E0"/>
    <w:rsid w:val="003A538A"/>
    <w:rsid w:val="003A5434"/>
    <w:rsid w:val="003A5BBD"/>
    <w:rsid w:val="003A736C"/>
    <w:rsid w:val="003B05F4"/>
    <w:rsid w:val="003B0B5E"/>
    <w:rsid w:val="003B13CB"/>
    <w:rsid w:val="003B16F2"/>
    <w:rsid w:val="003B1CEB"/>
    <w:rsid w:val="003B26A1"/>
    <w:rsid w:val="003B304B"/>
    <w:rsid w:val="003B4A78"/>
    <w:rsid w:val="003B4C1B"/>
    <w:rsid w:val="003B4C4D"/>
    <w:rsid w:val="003B5E7C"/>
    <w:rsid w:val="003B6E8C"/>
    <w:rsid w:val="003B6FA7"/>
    <w:rsid w:val="003B7787"/>
    <w:rsid w:val="003B77E3"/>
    <w:rsid w:val="003B7B92"/>
    <w:rsid w:val="003C07CA"/>
    <w:rsid w:val="003C130D"/>
    <w:rsid w:val="003C251B"/>
    <w:rsid w:val="003C2E89"/>
    <w:rsid w:val="003C386F"/>
    <w:rsid w:val="003C3FD7"/>
    <w:rsid w:val="003C4A15"/>
    <w:rsid w:val="003C4B17"/>
    <w:rsid w:val="003C5107"/>
    <w:rsid w:val="003C54C6"/>
    <w:rsid w:val="003C5688"/>
    <w:rsid w:val="003C571D"/>
    <w:rsid w:val="003C57DB"/>
    <w:rsid w:val="003C6CAF"/>
    <w:rsid w:val="003C6EE8"/>
    <w:rsid w:val="003C6FF0"/>
    <w:rsid w:val="003C7337"/>
    <w:rsid w:val="003C7695"/>
    <w:rsid w:val="003C7E35"/>
    <w:rsid w:val="003C7E60"/>
    <w:rsid w:val="003C7FAE"/>
    <w:rsid w:val="003D118A"/>
    <w:rsid w:val="003D1457"/>
    <w:rsid w:val="003D1652"/>
    <w:rsid w:val="003D26CD"/>
    <w:rsid w:val="003D26D6"/>
    <w:rsid w:val="003D2A2F"/>
    <w:rsid w:val="003D2B5C"/>
    <w:rsid w:val="003D3471"/>
    <w:rsid w:val="003D3537"/>
    <w:rsid w:val="003D376A"/>
    <w:rsid w:val="003D411D"/>
    <w:rsid w:val="003D41AE"/>
    <w:rsid w:val="003D4A21"/>
    <w:rsid w:val="003D4E73"/>
    <w:rsid w:val="003D50A8"/>
    <w:rsid w:val="003D55B7"/>
    <w:rsid w:val="003D5AE4"/>
    <w:rsid w:val="003D62B2"/>
    <w:rsid w:val="003D67BC"/>
    <w:rsid w:val="003E057B"/>
    <w:rsid w:val="003E0DF5"/>
    <w:rsid w:val="003E1766"/>
    <w:rsid w:val="003E2CBC"/>
    <w:rsid w:val="003E2D0C"/>
    <w:rsid w:val="003E3E42"/>
    <w:rsid w:val="003E403A"/>
    <w:rsid w:val="003E4908"/>
    <w:rsid w:val="003E4B0F"/>
    <w:rsid w:val="003E4B42"/>
    <w:rsid w:val="003E561D"/>
    <w:rsid w:val="003E5DD0"/>
    <w:rsid w:val="003E61E5"/>
    <w:rsid w:val="003E7419"/>
    <w:rsid w:val="003E7449"/>
    <w:rsid w:val="003E79FB"/>
    <w:rsid w:val="003F01E6"/>
    <w:rsid w:val="003F1963"/>
    <w:rsid w:val="003F4E6D"/>
    <w:rsid w:val="003F5C03"/>
    <w:rsid w:val="003F5E35"/>
    <w:rsid w:val="003F639A"/>
    <w:rsid w:val="003F7F47"/>
    <w:rsid w:val="004002D0"/>
    <w:rsid w:val="004007CD"/>
    <w:rsid w:val="00400D9D"/>
    <w:rsid w:val="00400E6A"/>
    <w:rsid w:val="00400F51"/>
    <w:rsid w:val="00401F02"/>
    <w:rsid w:val="004020B2"/>
    <w:rsid w:val="00402518"/>
    <w:rsid w:val="0040314D"/>
    <w:rsid w:val="004037B7"/>
    <w:rsid w:val="00403A2F"/>
    <w:rsid w:val="00403F51"/>
    <w:rsid w:val="00405561"/>
    <w:rsid w:val="00405774"/>
    <w:rsid w:val="00405BC6"/>
    <w:rsid w:val="00405ECF"/>
    <w:rsid w:val="0040759E"/>
    <w:rsid w:val="00407B10"/>
    <w:rsid w:val="004101A1"/>
    <w:rsid w:val="0041030A"/>
    <w:rsid w:val="00410AE9"/>
    <w:rsid w:val="00410AF5"/>
    <w:rsid w:val="00411037"/>
    <w:rsid w:val="004113A4"/>
    <w:rsid w:val="00413314"/>
    <w:rsid w:val="004139C5"/>
    <w:rsid w:val="00414654"/>
    <w:rsid w:val="0041482D"/>
    <w:rsid w:val="004151FA"/>
    <w:rsid w:val="0041540C"/>
    <w:rsid w:val="00415E92"/>
    <w:rsid w:val="004160BD"/>
    <w:rsid w:val="00416260"/>
    <w:rsid w:val="004162EF"/>
    <w:rsid w:val="004177F2"/>
    <w:rsid w:val="00421ADA"/>
    <w:rsid w:val="004227D3"/>
    <w:rsid w:val="00422998"/>
    <w:rsid w:val="00422CA3"/>
    <w:rsid w:val="0042322E"/>
    <w:rsid w:val="0042493F"/>
    <w:rsid w:val="004255FA"/>
    <w:rsid w:val="00425C61"/>
    <w:rsid w:val="00425F90"/>
    <w:rsid w:val="004260A9"/>
    <w:rsid w:val="00427CB5"/>
    <w:rsid w:val="00430929"/>
    <w:rsid w:val="004310BF"/>
    <w:rsid w:val="00431AB7"/>
    <w:rsid w:val="00431D3D"/>
    <w:rsid w:val="00432F85"/>
    <w:rsid w:val="0043361C"/>
    <w:rsid w:val="00434C65"/>
    <w:rsid w:val="00434DC7"/>
    <w:rsid w:val="00435677"/>
    <w:rsid w:val="004357FC"/>
    <w:rsid w:val="004366A6"/>
    <w:rsid w:val="004368CB"/>
    <w:rsid w:val="0043699D"/>
    <w:rsid w:val="004376A5"/>
    <w:rsid w:val="00437988"/>
    <w:rsid w:val="00437C39"/>
    <w:rsid w:val="00437FB5"/>
    <w:rsid w:val="00443369"/>
    <w:rsid w:val="0044359F"/>
    <w:rsid w:val="00444633"/>
    <w:rsid w:val="0044577C"/>
    <w:rsid w:val="00447553"/>
    <w:rsid w:val="00447C5E"/>
    <w:rsid w:val="004504B0"/>
    <w:rsid w:val="00450876"/>
    <w:rsid w:val="00450A6B"/>
    <w:rsid w:val="00451495"/>
    <w:rsid w:val="00452A66"/>
    <w:rsid w:val="00452B16"/>
    <w:rsid w:val="00453664"/>
    <w:rsid w:val="00454F7B"/>
    <w:rsid w:val="004552AC"/>
    <w:rsid w:val="00455B08"/>
    <w:rsid w:val="004564D5"/>
    <w:rsid w:val="00456D06"/>
    <w:rsid w:val="00456E91"/>
    <w:rsid w:val="00460619"/>
    <w:rsid w:val="00460780"/>
    <w:rsid w:val="004608FB"/>
    <w:rsid w:val="004620CE"/>
    <w:rsid w:val="00462E01"/>
    <w:rsid w:val="00464305"/>
    <w:rsid w:val="0046440B"/>
    <w:rsid w:val="004648F7"/>
    <w:rsid w:val="00464A36"/>
    <w:rsid w:val="00464D24"/>
    <w:rsid w:val="00465395"/>
    <w:rsid w:val="00465AA3"/>
    <w:rsid w:val="00465E15"/>
    <w:rsid w:val="00465F50"/>
    <w:rsid w:val="0046694B"/>
    <w:rsid w:val="00466D1B"/>
    <w:rsid w:val="00470C7C"/>
    <w:rsid w:val="00471693"/>
    <w:rsid w:val="00472182"/>
    <w:rsid w:val="00472AAA"/>
    <w:rsid w:val="00473CC1"/>
    <w:rsid w:val="004741F5"/>
    <w:rsid w:val="004742EA"/>
    <w:rsid w:val="0047446D"/>
    <w:rsid w:val="00474FFB"/>
    <w:rsid w:val="004754FA"/>
    <w:rsid w:val="004761BE"/>
    <w:rsid w:val="004768B6"/>
    <w:rsid w:val="00476FE7"/>
    <w:rsid w:val="00477213"/>
    <w:rsid w:val="00477259"/>
    <w:rsid w:val="004773C8"/>
    <w:rsid w:val="00477BBB"/>
    <w:rsid w:val="00477C0A"/>
    <w:rsid w:val="0048031F"/>
    <w:rsid w:val="00481399"/>
    <w:rsid w:val="00481563"/>
    <w:rsid w:val="004817BB"/>
    <w:rsid w:val="00481A68"/>
    <w:rsid w:val="004824FE"/>
    <w:rsid w:val="00484727"/>
    <w:rsid w:val="00484EF3"/>
    <w:rsid w:val="00485612"/>
    <w:rsid w:val="00486306"/>
    <w:rsid w:val="00486657"/>
    <w:rsid w:val="004874BA"/>
    <w:rsid w:val="00490AD5"/>
    <w:rsid w:val="004913F1"/>
    <w:rsid w:val="00491656"/>
    <w:rsid w:val="004922B0"/>
    <w:rsid w:val="004924F2"/>
    <w:rsid w:val="004938B9"/>
    <w:rsid w:val="004950C1"/>
    <w:rsid w:val="004962E0"/>
    <w:rsid w:val="004A0187"/>
    <w:rsid w:val="004A0343"/>
    <w:rsid w:val="004A046B"/>
    <w:rsid w:val="004A28AC"/>
    <w:rsid w:val="004A299F"/>
    <w:rsid w:val="004A3002"/>
    <w:rsid w:val="004A3431"/>
    <w:rsid w:val="004A3764"/>
    <w:rsid w:val="004A3E20"/>
    <w:rsid w:val="004A4743"/>
    <w:rsid w:val="004A514D"/>
    <w:rsid w:val="004A59E8"/>
    <w:rsid w:val="004A61DB"/>
    <w:rsid w:val="004A7BAA"/>
    <w:rsid w:val="004B0014"/>
    <w:rsid w:val="004B1327"/>
    <w:rsid w:val="004B1671"/>
    <w:rsid w:val="004B29A8"/>
    <w:rsid w:val="004B2FF4"/>
    <w:rsid w:val="004B3360"/>
    <w:rsid w:val="004B3CEF"/>
    <w:rsid w:val="004B49C3"/>
    <w:rsid w:val="004B4BBB"/>
    <w:rsid w:val="004B5738"/>
    <w:rsid w:val="004B5D0F"/>
    <w:rsid w:val="004B5E2D"/>
    <w:rsid w:val="004B60F2"/>
    <w:rsid w:val="004B6506"/>
    <w:rsid w:val="004B7325"/>
    <w:rsid w:val="004B7D88"/>
    <w:rsid w:val="004B7DA8"/>
    <w:rsid w:val="004B7E7B"/>
    <w:rsid w:val="004C019D"/>
    <w:rsid w:val="004C0706"/>
    <w:rsid w:val="004C077F"/>
    <w:rsid w:val="004C0E00"/>
    <w:rsid w:val="004C250B"/>
    <w:rsid w:val="004C2573"/>
    <w:rsid w:val="004C34EE"/>
    <w:rsid w:val="004C3736"/>
    <w:rsid w:val="004C4402"/>
    <w:rsid w:val="004C4AA3"/>
    <w:rsid w:val="004C58B9"/>
    <w:rsid w:val="004C5EB5"/>
    <w:rsid w:val="004C63F2"/>
    <w:rsid w:val="004D05D8"/>
    <w:rsid w:val="004D1C6C"/>
    <w:rsid w:val="004D20BC"/>
    <w:rsid w:val="004D2C6B"/>
    <w:rsid w:val="004D3816"/>
    <w:rsid w:val="004D3CD2"/>
    <w:rsid w:val="004D5947"/>
    <w:rsid w:val="004D5D09"/>
    <w:rsid w:val="004D5EE8"/>
    <w:rsid w:val="004D61BD"/>
    <w:rsid w:val="004D637C"/>
    <w:rsid w:val="004D66FB"/>
    <w:rsid w:val="004D78B2"/>
    <w:rsid w:val="004E01B9"/>
    <w:rsid w:val="004E0B61"/>
    <w:rsid w:val="004E0E7B"/>
    <w:rsid w:val="004E1743"/>
    <w:rsid w:val="004E19C6"/>
    <w:rsid w:val="004E2B2A"/>
    <w:rsid w:val="004E4321"/>
    <w:rsid w:val="004E4803"/>
    <w:rsid w:val="004E4AE0"/>
    <w:rsid w:val="004E5215"/>
    <w:rsid w:val="004E5385"/>
    <w:rsid w:val="004E5EFF"/>
    <w:rsid w:val="004E62A7"/>
    <w:rsid w:val="004E72C7"/>
    <w:rsid w:val="004E7350"/>
    <w:rsid w:val="004E767B"/>
    <w:rsid w:val="004E77FC"/>
    <w:rsid w:val="004E7A66"/>
    <w:rsid w:val="004E7E75"/>
    <w:rsid w:val="004F0507"/>
    <w:rsid w:val="004F1396"/>
    <w:rsid w:val="004F2E1B"/>
    <w:rsid w:val="004F33CD"/>
    <w:rsid w:val="004F342A"/>
    <w:rsid w:val="004F4759"/>
    <w:rsid w:val="004F5D1D"/>
    <w:rsid w:val="004F5ECC"/>
    <w:rsid w:val="004F66F2"/>
    <w:rsid w:val="004F68AE"/>
    <w:rsid w:val="004F7322"/>
    <w:rsid w:val="00500736"/>
    <w:rsid w:val="0050120A"/>
    <w:rsid w:val="0050192B"/>
    <w:rsid w:val="00502402"/>
    <w:rsid w:val="005027A8"/>
    <w:rsid w:val="00502C5E"/>
    <w:rsid w:val="00504F46"/>
    <w:rsid w:val="005063DA"/>
    <w:rsid w:val="005078D3"/>
    <w:rsid w:val="0051041D"/>
    <w:rsid w:val="0051071C"/>
    <w:rsid w:val="00510DD1"/>
    <w:rsid w:val="00511590"/>
    <w:rsid w:val="00511730"/>
    <w:rsid w:val="00512176"/>
    <w:rsid w:val="00512F26"/>
    <w:rsid w:val="0051303C"/>
    <w:rsid w:val="00517A6C"/>
    <w:rsid w:val="005203FD"/>
    <w:rsid w:val="00520B36"/>
    <w:rsid w:val="00521023"/>
    <w:rsid w:val="00521055"/>
    <w:rsid w:val="00521142"/>
    <w:rsid w:val="005215CE"/>
    <w:rsid w:val="0052166A"/>
    <w:rsid w:val="00522A4A"/>
    <w:rsid w:val="00522D9C"/>
    <w:rsid w:val="00522E87"/>
    <w:rsid w:val="00522FDB"/>
    <w:rsid w:val="00523943"/>
    <w:rsid w:val="00524E0B"/>
    <w:rsid w:val="005255E7"/>
    <w:rsid w:val="005273C3"/>
    <w:rsid w:val="0052758A"/>
    <w:rsid w:val="0052766A"/>
    <w:rsid w:val="00527E9B"/>
    <w:rsid w:val="00527FE4"/>
    <w:rsid w:val="0053045F"/>
    <w:rsid w:val="00530C1B"/>
    <w:rsid w:val="00531395"/>
    <w:rsid w:val="00532E23"/>
    <w:rsid w:val="00533BBB"/>
    <w:rsid w:val="0053509A"/>
    <w:rsid w:val="00537361"/>
    <w:rsid w:val="00537547"/>
    <w:rsid w:val="00540091"/>
    <w:rsid w:val="005409EF"/>
    <w:rsid w:val="00540CAD"/>
    <w:rsid w:val="0054271E"/>
    <w:rsid w:val="005428F4"/>
    <w:rsid w:val="00544129"/>
    <w:rsid w:val="0054483C"/>
    <w:rsid w:val="00545E53"/>
    <w:rsid w:val="0054674B"/>
    <w:rsid w:val="0054675C"/>
    <w:rsid w:val="005477A8"/>
    <w:rsid w:val="00547AFB"/>
    <w:rsid w:val="00547C07"/>
    <w:rsid w:val="00547FB0"/>
    <w:rsid w:val="005501AC"/>
    <w:rsid w:val="00550952"/>
    <w:rsid w:val="00550E22"/>
    <w:rsid w:val="0055127F"/>
    <w:rsid w:val="00551786"/>
    <w:rsid w:val="00551A1F"/>
    <w:rsid w:val="00551AAC"/>
    <w:rsid w:val="00552833"/>
    <w:rsid w:val="00552A70"/>
    <w:rsid w:val="00552C0C"/>
    <w:rsid w:val="005536C6"/>
    <w:rsid w:val="005538F2"/>
    <w:rsid w:val="00554FD0"/>
    <w:rsid w:val="00554FF7"/>
    <w:rsid w:val="005552A2"/>
    <w:rsid w:val="005559B5"/>
    <w:rsid w:val="00555DEB"/>
    <w:rsid w:val="00556B8D"/>
    <w:rsid w:val="00557E3C"/>
    <w:rsid w:val="00560529"/>
    <w:rsid w:val="00560C10"/>
    <w:rsid w:val="005617BC"/>
    <w:rsid w:val="00562175"/>
    <w:rsid w:val="0056221E"/>
    <w:rsid w:val="00562944"/>
    <w:rsid w:val="00563414"/>
    <w:rsid w:val="0056528A"/>
    <w:rsid w:val="00565307"/>
    <w:rsid w:val="00565491"/>
    <w:rsid w:val="00565B61"/>
    <w:rsid w:val="00565C35"/>
    <w:rsid w:val="00565E43"/>
    <w:rsid w:val="0056614F"/>
    <w:rsid w:val="0056717C"/>
    <w:rsid w:val="005675BA"/>
    <w:rsid w:val="00567861"/>
    <w:rsid w:val="00570A3C"/>
    <w:rsid w:val="00571381"/>
    <w:rsid w:val="0057225E"/>
    <w:rsid w:val="00572B14"/>
    <w:rsid w:val="00573A8C"/>
    <w:rsid w:val="005740B4"/>
    <w:rsid w:val="00574373"/>
    <w:rsid w:val="0057491F"/>
    <w:rsid w:val="00574A7C"/>
    <w:rsid w:val="005758ED"/>
    <w:rsid w:val="005761DA"/>
    <w:rsid w:val="00576BE0"/>
    <w:rsid w:val="00580B65"/>
    <w:rsid w:val="00583CEA"/>
    <w:rsid w:val="00584800"/>
    <w:rsid w:val="00584F78"/>
    <w:rsid w:val="0058578D"/>
    <w:rsid w:val="0058692E"/>
    <w:rsid w:val="00586C90"/>
    <w:rsid w:val="005873B7"/>
    <w:rsid w:val="005873BF"/>
    <w:rsid w:val="00587691"/>
    <w:rsid w:val="0058782F"/>
    <w:rsid w:val="00587F5E"/>
    <w:rsid w:val="005901C3"/>
    <w:rsid w:val="00591486"/>
    <w:rsid w:val="0059156D"/>
    <w:rsid w:val="00591AB2"/>
    <w:rsid w:val="00591DEE"/>
    <w:rsid w:val="00592610"/>
    <w:rsid w:val="00592F94"/>
    <w:rsid w:val="005934FA"/>
    <w:rsid w:val="00593E4A"/>
    <w:rsid w:val="0059423D"/>
    <w:rsid w:val="0059541E"/>
    <w:rsid w:val="00595E4B"/>
    <w:rsid w:val="00596116"/>
    <w:rsid w:val="0059671E"/>
    <w:rsid w:val="0059691C"/>
    <w:rsid w:val="00596FA8"/>
    <w:rsid w:val="005979F2"/>
    <w:rsid w:val="005A02EA"/>
    <w:rsid w:val="005A0564"/>
    <w:rsid w:val="005A076C"/>
    <w:rsid w:val="005A099B"/>
    <w:rsid w:val="005A29A8"/>
    <w:rsid w:val="005A2BEB"/>
    <w:rsid w:val="005A2C85"/>
    <w:rsid w:val="005A2E8E"/>
    <w:rsid w:val="005A396B"/>
    <w:rsid w:val="005A43D6"/>
    <w:rsid w:val="005A4E3A"/>
    <w:rsid w:val="005A4F15"/>
    <w:rsid w:val="005A5B4F"/>
    <w:rsid w:val="005A6DCA"/>
    <w:rsid w:val="005A6E5D"/>
    <w:rsid w:val="005B05F8"/>
    <w:rsid w:val="005B0730"/>
    <w:rsid w:val="005B076C"/>
    <w:rsid w:val="005B0FE9"/>
    <w:rsid w:val="005B1143"/>
    <w:rsid w:val="005B1336"/>
    <w:rsid w:val="005B15DF"/>
    <w:rsid w:val="005B191E"/>
    <w:rsid w:val="005B210C"/>
    <w:rsid w:val="005B2617"/>
    <w:rsid w:val="005B2EA3"/>
    <w:rsid w:val="005B3ADB"/>
    <w:rsid w:val="005B4CF2"/>
    <w:rsid w:val="005B649A"/>
    <w:rsid w:val="005B6BC6"/>
    <w:rsid w:val="005B7D0E"/>
    <w:rsid w:val="005B7F1D"/>
    <w:rsid w:val="005C1C17"/>
    <w:rsid w:val="005C1C5C"/>
    <w:rsid w:val="005C354A"/>
    <w:rsid w:val="005C47CF"/>
    <w:rsid w:val="005C5C1B"/>
    <w:rsid w:val="005C603A"/>
    <w:rsid w:val="005C60EE"/>
    <w:rsid w:val="005C6DA7"/>
    <w:rsid w:val="005C72F5"/>
    <w:rsid w:val="005D06CA"/>
    <w:rsid w:val="005D0A16"/>
    <w:rsid w:val="005D157E"/>
    <w:rsid w:val="005D1692"/>
    <w:rsid w:val="005D295F"/>
    <w:rsid w:val="005D2E80"/>
    <w:rsid w:val="005D31FF"/>
    <w:rsid w:val="005D4A30"/>
    <w:rsid w:val="005D5B6C"/>
    <w:rsid w:val="005D650B"/>
    <w:rsid w:val="005D679D"/>
    <w:rsid w:val="005D768A"/>
    <w:rsid w:val="005D7FBA"/>
    <w:rsid w:val="005E34A6"/>
    <w:rsid w:val="005E3774"/>
    <w:rsid w:val="005E4478"/>
    <w:rsid w:val="005E58FE"/>
    <w:rsid w:val="005E5EE7"/>
    <w:rsid w:val="005E6C5E"/>
    <w:rsid w:val="005E73CF"/>
    <w:rsid w:val="005E7D81"/>
    <w:rsid w:val="005F12A0"/>
    <w:rsid w:val="005F13B2"/>
    <w:rsid w:val="005F2222"/>
    <w:rsid w:val="005F382C"/>
    <w:rsid w:val="005F49EA"/>
    <w:rsid w:val="005F569C"/>
    <w:rsid w:val="005F5D34"/>
    <w:rsid w:val="005F649E"/>
    <w:rsid w:val="00601290"/>
    <w:rsid w:val="00601336"/>
    <w:rsid w:val="00601B0D"/>
    <w:rsid w:val="006043E8"/>
    <w:rsid w:val="006049EA"/>
    <w:rsid w:val="00605BFA"/>
    <w:rsid w:val="006074CE"/>
    <w:rsid w:val="006077E1"/>
    <w:rsid w:val="006105C7"/>
    <w:rsid w:val="00610B7F"/>
    <w:rsid w:val="0061161F"/>
    <w:rsid w:val="00611941"/>
    <w:rsid w:val="00611FA4"/>
    <w:rsid w:val="00613347"/>
    <w:rsid w:val="006135BD"/>
    <w:rsid w:val="00613B86"/>
    <w:rsid w:val="006145CB"/>
    <w:rsid w:val="00614F65"/>
    <w:rsid w:val="0061543D"/>
    <w:rsid w:val="006173A7"/>
    <w:rsid w:val="00620B43"/>
    <w:rsid w:val="00620FF2"/>
    <w:rsid w:val="0062126E"/>
    <w:rsid w:val="0062189B"/>
    <w:rsid w:val="0062190E"/>
    <w:rsid w:val="00621A69"/>
    <w:rsid w:val="00622CD8"/>
    <w:rsid w:val="00623AE9"/>
    <w:rsid w:val="00624B8D"/>
    <w:rsid w:val="006251E7"/>
    <w:rsid w:val="006259AB"/>
    <w:rsid w:val="00626717"/>
    <w:rsid w:val="00627D79"/>
    <w:rsid w:val="00627EB6"/>
    <w:rsid w:val="0063001C"/>
    <w:rsid w:val="00631553"/>
    <w:rsid w:val="006319B4"/>
    <w:rsid w:val="00631F5C"/>
    <w:rsid w:val="00631F5D"/>
    <w:rsid w:val="00632CE9"/>
    <w:rsid w:val="006344F7"/>
    <w:rsid w:val="0063454C"/>
    <w:rsid w:val="00634C8A"/>
    <w:rsid w:val="0063538A"/>
    <w:rsid w:val="006365BA"/>
    <w:rsid w:val="00636F2B"/>
    <w:rsid w:val="006376AB"/>
    <w:rsid w:val="00640D1F"/>
    <w:rsid w:val="0064118A"/>
    <w:rsid w:val="00641D6D"/>
    <w:rsid w:val="00642D41"/>
    <w:rsid w:val="00642ED8"/>
    <w:rsid w:val="00643042"/>
    <w:rsid w:val="00643AA9"/>
    <w:rsid w:val="00643E5D"/>
    <w:rsid w:val="0064421E"/>
    <w:rsid w:val="00644897"/>
    <w:rsid w:val="00644CFD"/>
    <w:rsid w:val="00646442"/>
    <w:rsid w:val="006465E2"/>
    <w:rsid w:val="0064696E"/>
    <w:rsid w:val="006470CC"/>
    <w:rsid w:val="006474CE"/>
    <w:rsid w:val="0064755F"/>
    <w:rsid w:val="006475CB"/>
    <w:rsid w:val="006505BF"/>
    <w:rsid w:val="00650E35"/>
    <w:rsid w:val="0065128C"/>
    <w:rsid w:val="00652953"/>
    <w:rsid w:val="0065324F"/>
    <w:rsid w:val="006533B9"/>
    <w:rsid w:val="00653410"/>
    <w:rsid w:val="00654F24"/>
    <w:rsid w:val="006553F7"/>
    <w:rsid w:val="00655B77"/>
    <w:rsid w:val="00655E96"/>
    <w:rsid w:val="00656F2C"/>
    <w:rsid w:val="00657213"/>
    <w:rsid w:val="00657669"/>
    <w:rsid w:val="00657A08"/>
    <w:rsid w:val="00660528"/>
    <w:rsid w:val="00661E71"/>
    <w:rsid w:val="0066229E"/>
    <w:rsid w:val="00664043"/>
    <w:rsid w:val="00664BAB"/>
    <w:rsid w:val="006656AD"/>
    <w:rsid w:val="00665715"/>
    <w:rsid w:val="00666003"/>
    <w:rsid w:val="00666B7B"/>
    <w:rsid w:val="00666E33"/>
    <w:rsid w:val="006672A0"/>
    <w:rsid w:val="00667378"/>
    <w:rsid w:val="006674A8"/>
    <w:rsid w:val="00667BD6"/>
    <w:rsid w:val="00667FC0"/>
    <w:rsid w:val="00670B1E"/>
    <w:rsid w:val="0067117A"/>
    <w:rsid w:val="00671F69"/>
    <w:rsid w:val="00672F37"/>
    <w:rsid w:val="006730D9"/>
    <w:rsid w:val="00673251"/>
    <w:rsid w:val="0067340F"/>
    <w:rsid w:val="006736E1"/>
    <w:rsid w:val="00673E3C"/>
    <w:rsid w:val="006750FA"/>
    <w:rsid w:val="006758F5"/>
    <w:rsid w:val="006760F6"/>
    <w:rsid w:val="006777F4"/>
    <w:rsid w:val="006778F2"/>
    <w:rsid w:val="00677E25"/>
    <w:rsid w:val="006807C0"/>
    <w:rsid w:val="00680AA5"/>
    <w:rsid w:val="00680FE5"/>
    <w:rsid w:val="00681A7B"/>
    <w:rsid w:val="0068350A"/>
    <w:rsid w:val="00683BA3"/>
    <w:rsid w:val="00683EC2"/>
    <w:rsid w:val="00683F28"/>
    <w:rsid w:val="006841A4"/>
    <w:rsid w:val="0068425C"/>
    <w:rsid w:val="006847A3"/>
    <w:rsid w:val="00684DC5"/>
    <w:rsid w:val="006864C9"/>
    <w:rsid w:val="00687168"/>
    <w:rsid w:val="006874DF"/>
    <w:rsid w:val="00687977"/>
    <w:rsid w:val="006901B3"/>
    <w:rsid w:val="00690480"/>
    <w:rsid w:val="006918A1"/>
    <w:rsid w:val="006919E9"/>
    <w:rsid w:val="00691A47"/>
    <w:rsid w:val="00691F05"/>
    <w:rsid w:val="00692229"/>
    <w:rsid w:val="006929D9"/>
    <w:rsid w:val="006945C2"/>
    <w:rsid w:val="00694983"/>
    <w:rsid w:val="006961B1"/>
    <w:rsid w:val="00697FAB"/>
    <w:rsid w:val="006A0018"/>
    <w:rsid w:val="006A06DC"/>
    <w:rsid w:val="006A0918"/>
    <w:rsid w:val="006A1012"/>
    <w:rsid w:val="006A1B89"/>
    <w:rsid w:val="006A1DE9"/>
    <w:rsid w:val="006A23EB"/>
    <w:rsid w:val="006A3234"/>
    <w:rsid w:val="006A40E1"/>
    <w:rsid w:val="006A45D3"/>
    <w:rsid w:val="006A4B33"/>
    <w:rsid w:val="006A4C2A"/>
    <w:rsid w:val="006A4D94"/>
    <w:rsid w:val="006A4F1B"/>
    <w:rsid w:val="006A5BB0"/>
    <w:rsid w:val="006A5C59"/>
    <w:rsid w:val="006B1B80"/>
    <w:rsid w:val="006B2138"/>
    <w:rsid w:val="006B2300"/>
    <w:rsid w:val="006B39A2"/>
    <w:rsid w:val="006B3E3D"/>
    <w:rsid w:val="006B417E"/>
    <w:rsid w:val="006B5483"/>
    <w:rsid w:val="006B5817"/>
    <w:rsid w:val="006B6810"/>
    <w:rsid w:val="006B6E02"/>
    <w:rsid w:val="006B78CC"/>
    <w:rsid w:val="006B7D8D"/>
    <w:rsid w:val="006B7E72"/>
    <w:rsid w:val="006B7FC5"/>
    <w:rsid w:val="006C071B"/>
    <w:rsid w:val="006C08E8"/>
    <w:rsid w:val="006C1582"/>
    <w:rsid w:val="006C1AB5"/>
    <w:rsid w:val="006C1FBD"/>
    <w:rsid w:val="006C2250"/>
    <w:rsid w:val="006C3859"/>
    <w:rsid w:val="006C3C44"/>
    <w:rsid w:val="006C3DD7"/>
    <w:rsid w:val="006C3E27"/>
    <w:rsid w:val="006C3F98"/>
    <w:rsid w:val="006C43E6"/>
    <w:rsid w:val="006C4972"/>
    <w:rsid w:val="006C4EEF"/>
    <w:rsid w:val="006C505A"/>
    <w:rsid w:val="006C5A6A"/>
    <w:rsid w:val="006C6B83"/>
    <w:rsid w:val="006D0242"/>
    <w:rsid w:val="006D04E2"/>
    <w:rsid w:val="006D0557"/>
    <w:rsid w:val="006D0F11"/>
    <w:rsid w:val="006D12AF"/>
    <w:rsid w:val="006D1BCF"/>
    <w:rsid w:val="006D1C4D"/>
    <w:rsid w:val="006D22B7"/>
    <w:rsid w:val="006D2694"/>
    <w:rsid w:val="006D2D6C"/>
    <w:rsid w:val="006D30CB"/>
    <w:rsid w:val="006D448C"/>
    <w:rsid w:val="006D4675"/>
    <w:rsid w:val="006D4A23"/>
    <w:rsid w:val="006D4D2F"/>
    <w:rsid w:val="006D50AF"/>
    <w:rsid w:val="006D5259"/>
    <w:rsid w:val="006D59B6"/>
    <w:rsid w:val="006D5B2F"/>
    <w:rsid w:val="006D7499"/>
    <w:rsid w:val="006D7EBD"/>
    <w:rsid w:val="006E0269"/>
    <w:rsid w:val="006E0972"/>
    <w:rsid w:val="006E0CC7"/>
    <w:rsid w:val="006E226B"/>
    <w:rsid w:val="006E5CA5"/>
    <w:rsid w:val="006E62D6"/>
    <w:rsid w:val="006E64E3"/>
    <w:rsid w:val="006E6BEE"/>
    <w:rsid w:val="006E7B75"/>
    <w:rsid w:val="006F023A"/>
    <w:rsid w:val="006F064E"/>
    <w:rsid w:val="006F12BF"/>
    <w:rsid w:val="006F21EE"/>
    <w:rsid w:val="006F270E"/>
    <w:rsid w:val="006F2812"/>
    <w:rsid w:val="006F299A"/>
    <w:rsid w:val="006F35E1"/>
    <w:rsid w:val="006F36B0"/>
    <w:rsid w:val="006F3931"/>
    <w:rsid w:val="006F3BCB"/>
    <w:rsid w:val="006F3F63"/>
    <w:rsid w:val="006F49F9"/>
    <w:rsid w:val="006F5375"/>
    <w:rsid w:val="006F558E"/>
    <w:rsid w:val="006F5A88"/>
    <w:rsid w:val="006F5CDB"/>
    <w:rsid w:val="006F5DF9"/>
    <w:rsid w:val="006F71B5"/>
    <w:rsid w:val="00700A5B"/>
    <w:rsid w:val="00701093"/>
    <w:rsid w:val="00701937"/>
    <w:rsid w:val="00701EA6"/>
    <w:rsid w:val="00702136"/>
    <w:rsid w:val="00702E7B"/>
    <w:rsid w:val="007030EE"/>
    <w:rsid w:val="00703960"/>
    <w:rsid w:val="00704829"/>
    <w:rsid w:val="00704F2C"/>
    <w:rsid w:val="007058D8"/>
    <w:rsid w:val="0070669B"/>
    <w:rsid w:val="00706737"/>
    <w:rsid w:val="00706C52"/>
    <w:rsid w:val="00707BF8"/>
    <w:rsid w:val="00710C96"/>
    <w:rsid w:val="007129F1"/>
    <w:rsid w:val="0071348D"/>
    <w:rsid w:val="00713958"/>
    <w:rsid w:val="00713D5E"/>
    <w:rsid w:val="00714784"/>
    <w:rsid w:val="00715E6E"/>
    <w:rsid w:val="00716335"/>
    <w:rsid w:val="00716962"/>
    <w:rsid w:val="00716F7B"/>
    <w:rsid w:val="007170BE"/>
    <w:rsid w:val="00717A1B"/>
    <w:rsid w:val="00717C9F"/>
    <w:rsid w:val="00720CE4"/>
    <w:rsid w:val="00721085"/>
    <w:rsid w:val="00721163"/>
    <w:rsid w:val="007221B3"/>
    <w:rsid w:val="00722906"/>
    <w:rsid w:val="00723806"/>
    <w:rsid w:val="00723A21"/>
    <w:rsid w:val="00723B7C"/>
    <w:rsid w:val="00723FA8"/>
    <w:rsid w:val="00724261"/>
    <w:rsid w:val="00724DC9"/>
    <w:rsid w:val="007259D9"/>
    <w:rsid w:val="00726DB6"/>
    <w:rsid w:val="00727034"/>
    <w:rsid w:val="0072719F"/>
    <w:rsid w:val="00727554"/>
    <w:rsid w:val="00727964"/>
    <w:rsid w:val="007300E2"/>
    <w:rsid w:val="007308DA"/>
    <w:rsid w:val="00733B66"/>
    <w:rsid w:val="007349BC"/>
    <w:rsid w:val="00740397"/>
    <w:rsid w:val="00740448"/>
    <w:rsid w:val="00741276"/>
    <w:rsid w:val="00741870"/>
    <w:rsid w:val="00741D4A"/>
    <w:rsid w:val="0074208C"/>
    <w:rsid w:val="007450FF"/>
    <w:rsid w:val="00746E77"/>
    <w:rsid w:val="00747265"/>
    <w:rsid w:val="00747D93"/>
    <w:rsid w:val="00750D7B"/>
    <w:rsid w:val="007518F8"/>
    <w:rsid w:val="00751A72"/>
    <w:rsid w:val="00752655"/>
    <w:rsid w:val="007539CF"/>
    <w:rsid w:val="007560F0"/>
    <w:rsid w:val="00756679"/>
    <w:rsid w:val="00760C46"/>
    <w:rsid w:val="00760EB2"/>
    <w:rsid w:val="007614F6"/>
    <w:rsid w:val="0076159F"/>
    <w:rsid w:val="00761EBA"/>
    <w:rsid w:val="007622A8"/>
    <w:rsid w:val="00762348"/>
    <w:rsid w:val="00764D22"/>
    <w:rsid w:val="0076530D"/>
    <w:rsid w:val="00766483"/>
    <w:rsid w:val="00767901"/>
    <w:rsid w:val="007700AB"/>
    <w:rsid w:val="007733BE"/>
    <w:rsid w:val="00773BFE"/>
    <w:rsid w:val="00774A9B"/>
    <w:rsid w:val="00774CD1"/>
    <w:rsid w:val="00775250"/>
    <w:rsid w:val="007755A0"/>
    <w:rsid w:val="00776548"/>
    <w:rsid w:val="00777B85"/>
    <w:rsid w:val="00781599"/>
    <w:rsid w:val="0078252B"/>
    <w:rsid w:val="00782BA1"/>
    <w:rsid w:val="007838DA"/>
    <w:rsid w:val="00783C43"/>
    <w:rsid w:val="00783CB8"/>
    <w:rsid w:val="00785DF2"/>
    <w:rsid w:val="00787A57"/>
    <w:rsid w:val="00790DB5"/>
    <w:rsid w:val="00791358"/>
    <w:rsid w:val="00791B54"/>
    <w:rsid w:val="00792405"/>
    <w:rsid w:val="00792E0C"/>
    <w:rsid w:val="007951BC"/>
    <w:rsid w:val="007953CF"/>
    <w:rsid w:val="00795428"/>
    <w:rsid w:val="00796EFC"/>
    <w:rsid w:val="0079762E"/>
    <w:rsid w:val="00797636"/>
    <w:rsid w:val="00797812"/>
    <w:rsid w:val="00797CDD"/>
    <w:rsid w:val="007A1087"/>
    <w:rsid w:val="007A1C1F"/>
    <w:rsid w:val="007A1C26"/>
    <w:rsid w:val="007A224A"/>
    <w:rsid w:val="007A2A9F"/>
    <w:rsid w:val="007A3779"/>
    <w:rsid w:val="007A3A79"/>
    <w:rsid w:val="007A4F47"/>
    <w:rsid w:val="007A60CF"/>
    <w:rsid w:val="007A6646"/>
    <w:rsid w:val="007A6A44"/>
    <w:rsid w:val="007A6D99"/>
    <w:rsid w:val="007A718B"/>
    <w:rsid w:val="007A7853"/>
    <w:rsid w:val="007B02B5"/>
    <w:rsid w:val="007B07EC"/>
    <w:rsid w:val="007B2BF5"/>
    <w:rsid w:val="007B3B5A"/>
    <w:rsid w:val="007B46EA"/>
    <w:rsid w:val="007B4864"/>
    <w:rsid w:val="007B4A15"/>
    <w:rsid w:val="007B5928"/>
    <w:rsid w:val="007B5962"/>
    <w:rsid w:val="007B6916"/>
    <w:rsid w:val="007B771E"/>
    <w:rsid w:val="007C0748"/>
    <w:rsid w:val="007C1F6F"/>
    <w:rsid w:val="007C202F"/>
    <w:rsid w:val="007C21DA"/>
    <w:rsid w:val="007C2A11"/>
    <w:rsid w:val="007C2A34"/>
    <w:rsid w:val="007C349D"/>
    <w:rsid w:val="007C4836"/>
    <w:rsid w:val="007C624F"/>
    <w:rsid w:val="007C6D2D"/>
    <w:rsid w:val="007C71FC"/>
    <w:rsid w:val="007C7221"/>
    <w:rsid w:val="007C7855"/>
    <w:rsid w:val="007C7BF6"/>
    <w:rsid w:val="007D0461"/>
    <w:rsid w:val="007D0C8B"/>
    <w:rsid w:val="007D1E2E"/>
    <w:rsid w:val="007D1F85"/>
    <w:rsid w:val="007D2920"/>
    <w:rsid w:val="007D2C3A"/>
    <w:rsid w:val="007D38A2"/>
    <w:rsid w:val="007D5424"/>
    <w:rsid w:val="007D59C3"/>
    <w:rsid w:val="007D6096"/>
    <w:rsid w:val="007D76B9"/>
    <w:rsid w:val="007D7C55"/>
    <w:rsid w:val="007E03B5"/>
    <w:rsid w:val="007E0560"/>
    <w:rsid w:val="007E073E"/>
    <w:rsid w:val="007E18F8"/>
    <w:rsid w:val="007E43E1"/>
    <w:rsid w:val="007E53B0"/>
    <w:rsid w:val="007E74B7"/>
    <w:rsid w:val="007E794B"/>
    <w:rsid w:val="007E7B76"/>
    <w:rsid w:val="007F03B9"/>
    <w:rsid w:val="007F0724"/>
    <w:rsid w:val="007F0988"/>
    <w:rsid w:val="007F2082"/>
    <w:rsid w:val="007F3287"/>
    <w:rsid w:val="007F659F"/>
    <w:rsid w:val="007F66E3"/>
    <w:rsid w:val="00800183"/>
    <w:rsid w:val="00800456"/>
    <w:rsid w:val="00800A0F"/>
    <w:rsid w:val="008012A0"/>
    <w:rsid w:val="008015F9"/>
    <w:rsid w:val="00801757"/>
    <w:rsid w:val="00802336"/>
    <w:rsid w:val="0080445F"/>
    <w:rsid w:val="0080455B"/>
    <w:rsid w:val="00804832"/>
    <w:rsid w:val="00804B00"/>
    <w:rsid w:val="00804D09"/>
    <w:rsid w:val="00805A41"/>
    <w:rsid w:val="00805E3B"/>
    <w:rsid w:val="00806BFF"/>
    <w:rsid w:val="00807218"/>
    <w:rsid w:val="00807D96"/>
    <w:rsid w:val="00807FED"/>
    <w:rsid w:val="008107B5"/>
    <w:rsid w:val="0081197C"/>
    <w:rsid w:val="00814D20"/>
    <w:rsid w:val="008150B9"/>
    <w:rsid w:val="00815540"/>
    <w:rsid w:val="008167F0"/>
    <w:rsid w:val="008169E2"/>
    <w:rsid w:val="00820626"/>
    <w:rsid w:val="008207B2"/>
    <w:rsid w:val="00820C1F"/>
    <w:rsid w:val="008216F5"/>
    <w:rsid w:val="00821D41"/>
    <w:rsid w:val="0082207E"/>
    <w:rsid w:val="008234CD"/>
    <w:rsid w:val="00823F1F"/>
    <w:rsid w:val="0082408E"/>
    <w:rsid w:val="00824A24"/>
    <w:rsid w:val="00824B2F"/>
    <w:rsid w:val="00825EEB"/>
    <w:rsid w:val="00826BAC"/>
    <w:rsid w:val="00830142"/>
    <w:rsid w:val="00830671"/>
    <w:rsid w:val="00830C24"/>
    <w:rsid w:val="00832057"/>
    <w:rsid w:val="0083224B"/>
    <w:rsid w:val="00833457"/>
    <w:rsid w:val="00833683"/>
    <w:rsid w:val="00834F56"/>
    <w:rsid w:val="0083504C"/>
    <w:rsid w:val="008364FA"/>
    <w:rsid w:val="00836621"/>
    <w:rsid w:val="00837752"/>
    <w:rsid w:val="008400C8"/>
    <w:rsid w:val="00840B84"/>
    <w:rsid w:val="00842275"/>
    <w:rsid w:val="00842301"/>
    <w:rsid w:val="00842C50"/>
    <w:rsid w:val="008430D1"/>
    <w:rsid w:val="0084326A"/>
    <w:rsid w:val="00844C50"/>
    <w:rsid w:val="008454AA"/>
    <w:rsid w:val="00845940"/>
    <w:rsid w:val="00845EBF"/>
    <w:rsid w:val="00847C3F"/>
    <w:rsid w:val="00850F82"/>
    <w:rsid w:val="008515D6"/>
    <w:rsid w:val="008516D1"/>
    <w:rsid w:val="00852931"/>
    <w:rsid w:val="008532B2"/>
    <w:rsid w:val="00854861"/>
    <w:rsid w:val="00854BBB"/>
    <w:rsid w:val="00855832"/>
    <w:rsid w:val="00856414"/>
    <w:rsid w:val="00857194"/>
    <w:rsid w:val="00857794"/>
    <w:rsid w:val="008600E0"/>
    <w:rsid w:val="0086068B"/>
    <w:rsid w:val="00860D32"/>
    <w:rsid w:val="00861E76"/>
    <w:rsid w:val="008620B3"/>
    <w:rsid w:val="008625AB"/>
    <w:rsid w:val="00862FE0"/>
    <w:rsid w:val="00863096"/>
    <w:rsid w:val="00863CAA"/>
    <w:rsid w:val="00865168"/>
    <w:rsid w:val="00865B3B"/>
    <w:rsid w:val="00866C9E"/>
    <w:rsid w:val="00867133"/>
    <w:rsid w:val="00867270"/>
    <w:rsid w:val="00867989"/>
    <w:rsid w:val="00867E4F"/>
    <w:rsid w:val="00870226"/>
    <w:rsid w:val="00870955"/>
    <w:rsid w:val="00870FF3"/>
    <w:rsid w:val="0087182B"/>
    <w:rsid w:val="00872211"/>
    <w:rsid w:val="008724A3"/>
    <w:rsid w:val="0087456E"/>
    <w:rsid w:val="00874CE2"/>
    <w:rsid w:val="00875934"/>
    <w:rsid w:val="0087610E"/>
    <w:rsid w:val="0087611F"/>
    <w:rsid w:val="00876714"/>
    <w:rsid w:val="00876955"/>
    <w:rsid w:val="00877073"/>
    <w:rsid w:val="0087729D"/>
    <w:rsid w:val="00877867"/>
    <w:rsid w:val="008779E8"/>
    <w:rsid w:val="00877BFB"/>
    <w:rsid w:val="008807A8"/>
    <w:rsid w:val="008825A5"/>
    <w:rsid w:val="00883463"/>
    <w:rsid w:val="00884132"/>
    <w:rsid w:val="0088417F"/>
    <w:rsid w:val="00884934"/>
    <w:rsid w:val="00885861"/>
    <w:rsid w:val="00885A23"/>
    <w:rsid w:val="00885ED7"/>
    <w:rsid w:val="00886B25"/>
    <w:rsid w:val="0088706B"/>
    <w:rsid w:val="00887C7D"/>
    <w:rsid w:val="00890653"/>
    <w:rsid w:val="00890A1A"/>
    <w:rsid w:val="00892722"/>
    <w:rsid w:val="00892961"/>
    <w:rsid w:val="00892C00"/>
    <w:rsid w:val="00893F30"/>
    <w:rsid w:val="008950C7"/>
    <w:rsid w:val="00895C6E"/>
    <w:rsid w:val="0089637B"/>
    <w:rsid w:val="00896611"/>
    <w:rsid w:val="00896822"/>
    <w:rsid w:val="00897BCE"/>
    <w:rsid w:val="008A0177"/>
    <w:rsid w:val="008A214B"/>
    <w:rsid w:val="008A36B6"/>
    <w:rsid w:val="008A3E91"/>
    <w:rsid w:val="008A4A2C"/>
    <w:rsid w:val="008A4B6D"/>
    <w:rsid w:val="008A69FC"/>
    <w:rsid w:val="008A7597"/>
    <w:rsid w:val="008B0C2F"/>
    <w:rsid w:val="008B0F89"/>
    <w:rsid w:val="008B26A6"/>
    <w:rsid w:val="008B3A20"/>
    <w:rsid w:val="008B3E15"/>
    <w:rsid w:val="008B440E"/>
    <w:rsid w:val="008B5564"/>
    <w:rsid w:val="008B6251"/>
    <w:rsid w:val="008B7892"/>
    <w:rsid w:val="008B7A8E"/>
    <w:rsid w:val="008B7B3B"/>
    <w:rsid w:val="008B7DD3"/>
    <w:rsid w:val="008C17D8"/>
    <w:rsid w:val="008C236D"/>
    <w:rsid w:val="008C26C1"/>
    <w:rsid w:val="008C37DA"/>
    <w:rsid w:val="008C45E0"/>
    <w:rsid w:val="008C4867"/>
    <w:rsid w:val="008C51F7"/>
    <w:rsid w:val="008C53D6"/>
    <w:rsid w:val="008C56D5"/>
    <w:rsid w:val="008C6636"/>
    <w:rsid w:val="008C6802"/>
    <w:rsid w:val="008C6B4B"/>
    <w:rsid w:val="008C6C9F"/>
    <w:rsid w:val="008C7153"/>
    <w:rsid w:val="008C774A"/>
    <w:rsid w:val="008D05E1"/>
    <w:rsid w:val="008D08AD"/>
    <w:rsid w:val="008D0B09"/>
    <w:rsid w:val="008D13FF"/>
    <w:rsid w:val="008D19A2"/>
    <w:rsid w:val="008D1BEF"/>
    <w:rsid w:val="008D3700"/>
    <w:rsid w:val="008D3C31"/>
    <w:rsid w:val="008D418B"/>
    <w:rsid w:val="008D458A"/>
    <w:rsid w:val="008D53E4"/>
    <w:rsid w:val="008D5CE1"/>
    <w:rsid w:val="008D693B"/>
    <w:rsid w:val="008D6A1F"/>
    <w:rsid w:val="008D728A"/>
    <w:rsid w:val="008D7A8A"/>
    <w:rsid w:val="008E13DD"/>
    <w:rsid w:val="008E18EC"/>
    <w:rsid w:val="008E2ACF"/>
    <w:rsid w:val="008E410D"/>
    <w:rsid w:val="008E425A"/>
    <w:rsid w:val="008E4CB1"/>
    <w:rsid w:val="008E51A0"/>
    <w:rsid w:val="008E6E88"/>
    <w:rsid w:val="008F05EC"/>
    <w:rsid w:val="008F0751"/>
    <w:rsid w:val="008F32D8"/>
    <w:rsid w:val="008F3A93"/>
    <w:rsid w:val="008F3C89"/>
    <w:rsid w:val="008F4491"/>
    <w:rsid w:val="008F4FCC"/>
    <w:rsid w:val="008F5268"/>
    <w:rsid w:val="008F6FB7"/>
    <w:rsid w:val="008F7769"/>
    <w:rsid w:val="008F7853"/>
    <w:rsid w:val="008F79FB"/>
    <w:rsid w:val="009014CA"/>
    <w:rsid w:val="00901D09"/>
    <w:rsid w:val="00903067"/>
    <w:rsid w:val="00903916"/>
    <w:rsid w:val="009052BD"/>
    <w:rsid w:val="00905925"/>
    <w:rsid w:val="00907287"/>
    <w:rsid w:val="0091054D"/>
    <w:rsid w:val="00911F72"/>
    <w:rsid w:val="009122C0"/>
    <w:rsid w:val="00913F29"/>
    <w:rsid w:val="009142BC"/>
    <w:rsid w:val="00914A9A"/>
    <w:rsid w:val="00916322"/>
    <w:rsid w:val="00916621"/>
    <w:rsid w:val="009166B2"/>
    <w:rsid w:val="00916B14"/>
    <w:rsid w:val="0091721D"/>
    <w:rsid w:val="00917398"/>
    <w:rsid w:val="009211F6"/>
    <w:rsid w:val="00921568"/>
    <w:rsid w:val="0092234E"/>
    <w:rsid w:val="0092371B"/>
    <w:rsid w:val="00924BFF"/>
    <w:rsid w:val="00925B11"/>
    <w:rsid w:val="00925C25"/>
    <w:rsid w:val="0092799A"/>
    <w:rsid w:val="009302CE"/>
    <w:rsid w:val="0093047F"/>
    <w:rsid w:val="009314CD"/>
    <w:rsid w:val="009318B8"/>
    <w:rsid w:val="009329C8"/>
    <w:rsid w:val="00932B0B"/>
    <w:rsid w:val="00932DD2"/>
    <w:rsid w:val="00933319"/>
    <w:rsid w:val="009346C6"/>
    <w:rsid w:val="0093492F"/>
    <w:rsid w:val="0093640E"/>
    <w:rsid w:val="00936F92"/>
    <w:rsid w:val="0093726D"/>
    <w:rsid w:val="009402E7"/>
    <w:rsid w:val="00940566"/>
    <w:rsid w:val="00941C9F"/>
    <w:rsid w:val="00942263"/>
    <w:rsid w:val="00943423"/>
    <w:rsid w:val="009439C4"/>
    <w:rsid w:val="00943ED9"/>
    <w:rsid w:val="00943F6A"/>
    <w:rsid w:val="009443D7"/>
    <w:rsid w:val="00945192"/>
    <w:rsid w:val="009451AD"/>
    <w:rsid w:val="00946441"/>
    <w:rsid w:val="00946453"/>
    <w:rsid w:val="009471B1"/>
    <w:rsid w:val="0095206E"/>
    <w:rsid w:val="009522AD"/>
    <w:rsid w:val="009537CB"/>
    <w:rsid w:val="0095434C"/>
    <w:rsid w:val="009547B2"/>
    <w:rsid w:val="009547E3"/>
    <w:rsid w:val="009549BA"/>
    <w:rsid w:val="00955024"/>
    <w:rsid w:val="00956314"/>
    <w:rsid w:val="009567C7"/>
    <w:rsid w:val="00956AC5"/>
    <w:rsid w:val="00956D64"/>
    <w:rsid w:val="00957467"/>
    <w:rsid w:val="009609B8"/>
    <w:rsid w:val="0096148F"/>
    <w:rsid w:val="00961A05"/>
    <w:rsid w:val="009621F6"/>
    <w:rsid w:val="00964256"/>
    <w:rsid w:val="00964626"/>
    <w:rsid w:val="0096519B"/>
    <w:rsid w:val="00965A74"/>
    <w:rsid w:val="0097035B"/>
    <w:rsid w:val="00973BFC"/>
    <w:rsid w:val="009740BC"/>
    <w:rsid w:val="009749B9"/>
    <w:rsid w:val="00974F01"/>
    <w:rsid w:val="009750FB"/>
    <w:rsid w:val="009758E8"/>
    <w:rsid w:val="00976A0D"/>
    <w:rsid w:val="00976C3C"/>
    <w:rsid w:val="00977C25"/>
    <w:rsid w:val="00977EF9"/>
    <w:rsid w:val="00980E54"/>
    <w:rsid w:val="00981C82"/>
    <w:rsid w:val="00982274"/>
    <w:rsid w:val="0098247C"/>
    <w:rsid w:val="009825E9"/>
    <w:rsid w:val="0098326F"/>
    <w:rsid w:val="00983A77"/>
    <w:rsid w:val="00984D1D"/>
    <w:rsid w:val="009867F8"/>
    <w:rsid w:val="00986870"/>
    <w:rsid w:val="009900C1"/>
    <w:rsid w:val="00990C65"/>
    <w:rsid w:val="00991A39"/>
    <w:rsid w:val="00992261"/>
    <w:rsid w:val="00992327"/>
    <w:rsid w:val="0099358D"/>
    <w:rsid w:val="0099445F"/>
    <w:rsid w:val="00994657"/>
    <w:rsid w:val="00994DEF"/>
    <w:rsid w:val="00995652"/>
    <w:rsid w:val="0099578D"/>
    <w:rsid w:val="0099583C"/>
    <w:rsid w:val="009958C3"/>
    <w:rsid w:val="00995948"/>
    <w:rsid w:val="00995A29"/>
    <w:rsid w:val="00995BE9"/>
    <w:rsid w:val="00996588"/>
    <w:rsid w:val="00997225"/>
    <w:rsid w:val="009978FB"/>
    <w:rsid w:val="00997DE7"/>
    <w:rsid w:val="009A04DE"/>
    <w:rsid w:val="009A08A9"/>
    <w:rsid w:val="009A09FC"/>
    <w:rsid w:val="009A1C63"/>
    <w:rsid w:val="009A2505"/>
    <w:rsid w:val="009A27A7"/>
    <w:rsid w:val="009A280A"/>
    <w:rsid w:val="009A2CD2"/>
    <w:rsid w:val="009A2F4F"/>
    <w:rsid w:val="009A3249"/>
    <w:rsid w:val="009A375C"/>
    <w:rsid w:val="009A3B29"/>
    <w:rsid w:val="009A3CA6"/>
    <w:rsid w:val="009A3F1A"/>
    <w:rsid w:val="009A40A0"/>
    <w:rsid w:val="009A4C7B"/>
    <w:rsid w:val="009A54B5"/>
    <w:rsid w:val="009A5AAC"/>
    <w:rsid w:val="009A68BB"/>
    <w:rsid w:val="009B23E7"/>
    <w:rsid w:val="009B2A72"/>
    <w:rsid w:val="009B2FE6"/>
    <w:rsid w:val="009B4060"/>
    <w:rsid w:val="009B421F"/>
    <w:rsid w:val="009B651B"/>
    <w:rsid w:val="009B6B3E"/>
    <w:rsid w:val="009B6DB1"/>
    <w:rsid w:val="009B6EE8"/>
    <w:rsid w:val="009B7E24"/>
    <w:rsid w:val="009B7E9B"/>
    <w:rsid w:val="009C0D52"/>
    <w:rsid w:val="009C1484"/>
    <w:rsid w:val="009C1B2B"/>
    <w:rsid w:val="009C310C"/>
    <w:rsid w:val="009C313F"/>
    <w:rsid w:val="009C31A2"/>
    <w:rsid w:val="009C3275"/>
    <w:rsid w:val="009C392E"/>
    <w:rsid w:val="009C4368"/>
    <w:rsid w:val="009C5C0C"/>
    <w:rsid w:val="009C5F91"/>
    <w:rsid w:val="009D073E"/>
    <w:rsid w:val="009D179F"/>
    <w:rsid w:val="009D17DA"/>
    <w:rsid w:val="009D1DA4"/>
    <w:rsid w:val="009D2253"/>
    <w:rsid w:val="009D3703"/>
    <w:rsid w:val="009D3BDF"/>
    <w:rsid w:val="009D4550"/>
    <w:rsid w:val="009D50A8"/>
    <w:rsid w:val="009D6BAF"/>
    <w:rsid w:val="009D6E40"/>
    <w:rsid w:val="009D7752"/>
    <w:rsid w:val="009E1DBF"/>
    <w:rsid w:val="009E2A78"/>
    <w:rsid w:val="009E3652"/>
    <w:rsid w:val="009E551C"/>
    <w:rsid w:val="009E5C78"/>
    <w:rsid w:val="009E63A4"/>
    <w:rsid w:val="009E743F"/>
    <w:rsid w:val="009E79FC"/>
    <w:rsid w:val="009E7A03"/>
    <w:rsid w:val="009E7A3D"/>
    <w:rsid w:val="009F0814"/>
    <w:rsid w:val="009F11FD"/>
    <w:rsid w:val="009F1655"/>
    <w:rsid w:val="009F193C"/>
    <w:rsid w:val="009F1CA5"/>
    <w:rsid w:val="009F1CB8"/>
    <w:rsid w:val="009F1E0E"/>
    <w:rsid w:val="009F2086"/>
    <w:rsid w:val="009F2154"/>
    <w:rsid w:val="009F2FFE"/>
    <w:rsid w:val="009F3208"/>
    <w:rsid w:val="009F32AE"/>
    <w:rsid w:val="009F4897"/>
    <w:rsid w:val="009F519E"/>
    <w:rsid w:val="009F68BC"/>
    <w:rsid w:val="009F6A6D"/>
    <w:rsid w:val="009F70D2"/>
    <w:rsid w:val="00A0010B"/>
    <w:rsid w:val="00A01479"/>
    <w:rsid w:val="00A01B51"/>
    <w:rsid w:val="00A01CF3"/>
    <w:rsid w:val="00A01E21"/>
    <w:rsid w:val="00A02464"/>
    <w:rsid w:val="00A02A65"/>
    <w:rsid w:val="00A043E8"/>
    <w:rsid w:val="00A04A70"/>
    <w:rsid w:val="00A04F4C"/>
    <w:rsid w:val="00A05177"/>
    <w:rsid w:val="00A05195"/>
    <w:rsid w:val="00A0522E"/>
    <w:rsid w:val="00A053A8"/>
    <w:rsid w:val="00A07563"/>
    <w:rsid w:val="00A07A50"/>
    <w:rsid w:val="00A07A7A"/>
    <w:rsid w:val="00A1028A"/>
    <w:rsid w:val="00A104CD"/>
    <w:rsid w:val="00A10792"/>
    <w:rsid w:val="00A10BF5"/>
    <w:rsid w:val="00A11908"/>
    <w:rsid w:val="00A11B11"/>
    <w:rsid w:val="00A125B4"/>
    <w:rsid w:val="00A12B1F"/>
    <w:rsid w:val="00A12B68"/>
    <w:rsid w:val="00A13C9C"/>
    <w:rsid w:val="00A13F0E"/>
    <w:rsid w:val="00A1487F"/>
    <w:rsid w:val="00A149AD"/>
    <w:rsid w:val="00A14A58"/>
    <w:rsid w:val="00A14EB5"/>
    <w:rsid w:val="00A151B4"/>
    <w:rsid w:val="00A153CB"/>
    <w:rsid w:val="00A156BB"/>
    <w:rsid w:val="00A16E3F"/>
    <w:rsid w:val="00A20774"/>
    <w:rsid w:val="00A20991"/>
    <w:rsid w:val="00A20CF0"/>
    <w:rsid w:val="00A2365B"/>
    <w:rsid w:val="00A23A16"/>
    <w:rsid w:val="00A241DA"/>
    <w:rsid w:val="00A2569C"/>
    <w:rsid w:val="00A25939"/>
    <w:rsid w:val="00A267E6"/>
    <w:rsid w:val="00A3157F"/>
    <w:rsid w:val="00A31622"/>
    <w:rsid w:val="00A31864"/>
    <w:rsid w:val="00A3190A"/>
    <w:rsid w:val="00A346A4"/>
    <w:rsid w:val="00A3470F"/>
    <w:rsid w:val="00A34C94"/>
    <w:rsid w:val="00A35F2C"/>
    <w:rsid w:val="00A35F83"/>
    <w:rsid w:val="00A36F4B"/>
    <w:rsid w:val="00A372ED"/>
    <w:rsid w:val="00A373F8"/>
    <w:rsid w:val="00A403BD"/>
    <w:rsid w:val="00A40A37"/>
    <w:rsid w:val="00A4105B"/>
    <w:rsid w:val="00A41FB8"/>
    <w:rsid w:val="00A42871"/>
    <w:rsid w:val="00A430A3"/>
    <w:rsid w:val="00A45B5B"/>
    <w:rsid w:val="00A45DCF"/>
    <w:rsid w:val="00A50257"/>
    <w:rsid w:val="00A50DA7"/>
    <w:rsid w:val="00A50F60"/>
    <w:rsid w:val="00A5112D"/>
    <w:rsid w:val="00A51D08"/>
    <w:rsid w:val="00A52954"/>
    <w:rsid w:val="00A53491"/>
    <w:rsid w:val="00A54A90"/>
    <w:rsid w:val="00A55E78"/>
    <w:rsid w:val="00A55EB1"/>
    <w:rsid w:val="00A57211"/>
    <w:rsid w:val="00A60E67"/>
    <w:rsid w:val="00A62903"/>
    <w:rsid w:val="00A63D00"/>
    <w:rsid w:val="00A6446A"/>
    <w:rsid w:val="00A64E2D"/>
    <w:rsid w:val="00A65F31"/>
    <w:rsid w:val="00A65F6E"/>
    <w:rsid w:val="00A66101"/>
    <w:rsid w:val="00A665A3"/>
    <w:rsid w:val="00A668AD"/>
    <w:rsid w:val="00A66932"/>
    <w:rsid w:val="00A70879"/>
    <w:rsid w:val="00A708D1"/>
    <w:rsid w:val="00A716BE"/>
    <w:rsid w:val="00A723D9"/>
    <w:rsid w:val="00A7276F"/>
    <w:rsid w:val="00A73646"/>
    <w:rsid w:val="00A736F6"/>
    <w:rsid w:val="00A73AC8"/>
    <w:rsid w:val="00A73F44"/>
    <w:rsid w:val="00A74D2A"/>
    <w:rsid w:val="00A74DA0"/>
    <w:rsid w:val="00A75564"/>
    <w:rsid w:val="00A7585F"/>
    <w:rsid w:val="00A7661C"/>
    <w:rsid w:val="00A76DD6"/>
    <w:rsid w:val="00A76FC8"/>
    <w:rsid w:val="00A77044"/>
    <w:rsid w:val="00A8054C"/>
    <w:rsid w:val="00A80CBD"/>
    <w:rsid w:val="00A814ED"/>
    <w:rsid w:val="00A81C7B"/>
    <w:rsid w:val="00A81CCB"/>
    <w:rsid w:val="00A81E01"/>
    <w:rsid w:val="00A84123"/>
    <w:rsid w:val="00A850E8"/>
    <w:rsid w:val="00A85E69"/>
    <w:rsid w:val="00A8642D"/>
    <w:rsid w:val="00A90CE9"/>
    <w:rsid w:val="00A90F0F"/>
    <w:rsid w:val="00A91223"/>
    <w:rsid w:val="00A91DC8"/>
    <w:rsid w:val="00A92C0E"/>
    <w:rsid w:val="00A92DD3"/>
    <w:rsid w:val="00A93236"/>
    <w:rsid w:val="00A93480"/>
    <w:rsid w:val="00A9518F"/>
    <w:rsid w:val="00A95495"/>
    <w:rsid w:val="00A9616E"/>
    <w:rsid w:val="00A96F50"/>
    <w:rsid w:val="00A96F76"/>
    <w:rsid w:val="00AA01DF"/>
    <w:rsid w:val="00AA04F8"/>
    <w:rsid w:val="00AA0AA6"/>
    <w:rsid w:val="00AA1CAC"/>
    <w:rsid w:val="00AA20F8"/>
    <w:rsid w:val="00AA293C"/>
    <w:rsid w:val="00AA2D63"/>
    <w:rsid w:val="00AA3551"/>
    <w:rsid w:val="00AA4318"/>
    <w:rsid w:val="00AA464A"/>
    <w:rsid w:val="00AA47D1"/>
    <w:rsid w:val="00AA56DC"/>
    <w:rsid w:val="00AA6220"/>
    <w:rsid w:val="00AA62FD"/>
    <w:rsid w:val="00AA6BAD"/>
    <w:rsid w:val="00AA7B2B"/>
    <w:rsid w:val="00AB09FF"/>
    <w:rsid w:val="00AB0D39"/>
    <w:rsid w:val="00AB0DA0"/>
    <w:rsid w:val="00AB3BE6"/>
    <w:rsid w:val="00AB499B"/>
    <w:rsid w:val="00AB585C"/>
    <w:rsid w:val="00AB6C46"/>
    <w:rsid w:val="00AB7397"/>
    <w:rsid w:val="00AB73AF"/>
    <w:rsid w:val="00AB7C53"/>
    <w:rsid w:val="00AC0336"/>
    <w:rsid w:val="00AC0864"/>
    <w:rsid w:val="00AC166B"/>
    <w:rsid w:val="00AC1692"/>
    <w:rsid w:val="00AC16D6"/>
    <w:rsid w:val="00AC1962"/>
    <w:rsid w:val="00AC1F69"/>
    <w:rsid w:val="00AC2880"/>
    <w:rsid w:val="00AC3038"/>
    <w:rsid w:val="00AC318A"/>
    <w:rsid w:val="00AC3340"/>
    <w:rsid w:val="00AC3E61"/>
    <w:rsid w:val="00AC4120"/>
    <w:rsid w:val="00AC4B48"/>
    <w:rsid w:val="00AC4D9C"/>
    <w:rsid w:val="00AC5B29"/>
    <w:rsid w:val="00AC6EFF"/>
    <w:rsid w:val="00AD00E0"/>
    <w:rsid w:val="00AD0697"/>
    <w:rsid w:val="00AD10DC"/>
    <w:rsid w:val="00AD1111"/>
    <w:rsid w:val="00AD11E3"/>
    <w:rsid w:val="00AD2C3E"/>
    <w:rsid w:val="00AD344A"/>
    <w:rsid w:val="00AD4701"/>
    <w:rsid w:val="00AD4EC4"/>
    <w:rsid w:val="00AD55AA"/>
    <w:rsid w:val="00AD60D3"/>
    <w:rsid w:val="00AD7162"/>
    <w:rsid w:val="00AD7386"/>
    <w:rsid w:val="00AD7459"/>
    <w:rsid w:val="00AE142E"/>
    <w:rsid w:val="00AE1E34"/>
    <w:rsid w:val="00AE260E"/>
    <w:rsid w:val="00AE2F54"/>
    <w:rsid w:val="00AE3095"/>
    <w:rsid w:val="00AE405B"/>
    <w:rsid w:val="00AE43E1"/>
    <w:rsid w:val="00AE4724"/>
    <w:rsid w:val="00AE4DD2"/>
    <w:rsid w:val="00AE53B4"/>
    <w:rsid w:val="00AE5585"/>
    <w:rsid w:val="00AE6834"/>
    <w:rsid w:val="00AE709D"/>
    <w:rsid w:val="00AE7758"/>
    <w:rsid w:val="00AF2CF7"/>
    <w:rsid w:val="00AF2E78"/>
    <w:rsid w:val="00AF33D0"/>
    <w:rsid w:val="00AF3449"/>
    <w:rsid w:val="00AF458F"/>
    <w:rsid w:val="00AF48C0"/>
    <w:rsid w:val="00AF4935"/>
    <w:rsid w:val="00AF4F9F"/>
    <w:rsid w:val="00AF52F9"/>
    <w:rsid w:val="00AF6337"/>
    <w:rsid w:val="00AF6477"/>
    <w:rsid w:val="00AF64A2"/>
    <w:rsid w:val="00AF6FF4"/>
    <w:rsid w:val="00B01D5F"/>
    <w:rsid w:val="00B01E3C"/>
    <w:rsid w:val="00B02C54"/>
    <w:rsid w:val="00B036A5"/>
    <w:rsid w:val="00B046F8"/>
    <w:rsid w:val="00B04DB6"/>
    <w:rsid w:val="00B06518"/>
    <w:rsid w:val="00B066A2"/>
    <w:rsid w:val="00B06E90"/>
    <w:rsid w:val="00B0791D"/>
    <w:rsid w:val="00B07D58"/>
    <w:rsid w:val="00B10104"/>
    <w:rsid w:val="00B1046D"/>
    <w:rsid w:val="00B1210B"/>
    <w:rsid w:val="00B128B1"/>
    <w:rsid w:val="00B12965"/>
    <w:rsid w:val="00B12E05"/>
    <w:rsid w:val="00B13157"/>
    <w:rsid w:val="00B1350A"/>
    <w:rsid w:val="00B13C84"/>
    <w:rsid w:val="00B14654"/>
    <w:rsid w:val="00B150AA"/>
    <w:rsid w:val="00B15656"/>
    <w:rsid w:val="00B161A3"/>
    <w:rsid w:val="00B16481"/>
    <w:rsid w:val="00B164C2"/>
    <w:rsid w:val="00B172C8"/>
    <w:rsid w:val="00B1794B"/>
    <w:rsid w:val="00B20ECF"/>
    <w:rsid w:val="00B20F62"/>
    <w:rsid w:val="00B226AD"/>
    <w:rsid w:val="00B2317B"/>
    <w:rsid w:val="00B2385F"/>
    <w:rsid w:val="00B2391A"/>
    <w:rsid w:val="00B25496"/>
    <w:rsid w:val="00B25EFA"/>
    <w:rsid w:val="00B263D3"/>
    <w:rsid w:val="00B26B5E"/>
    <w:rsid w:val="00B2740E"/>
    <w:rsid w:val="00B30011"/>
    <w:rsid w:val="00B30593"/>
    <w:rsid w:val="00B312E7"/>
    <w:rsid w:val="00B324CC"/>
    <w:rsid w:val="00B32E86"/>
    <w:rsid w:val="00B332D0"/>
    <w:rsid w:val="00B3331E"/>
    <w:rsid w:val="00B33DD4"/>
    <w:rsid w:val="00B34432"/>
    <w:rsid w:val="00B34F7C"/>
    <w:rsid w:val="00B35675"/>
    <w:rsid w:val="00B358D5"/>
    <w:rsid w:val="00B36789"/>
    <w:rsid w:val="00B37BD5"/>
    <w:rsid w:val="00B40DD1"/>
    <w:rsid w:val="00B41C64"/>
    <w:rsid w:val="00B4278D"/>
    <w:rsid w:val="00B427CE"/>
    <w:rsid w:val="00B43764"/>
    <w:rsid w:val="00B449E5"/>
    <w:rsid w:val="00B45869"/>
    <w:rsid w:val="00B45F24"/>
    <w:rsid w:val="00B4636C"/>
    <w:rsid w:val="00B46418"/>
    <w:rsid w:val="00B46480"/>
    <w:rsid w:val="00B4757D"/>
    <w:rsid w:val="00B5025F"/>
    <w:rsid w:val="00B50716"/>
    <w:rsid w:val="00B5146E"/>
    <w:rsid w:val="00B51804"/>
    <w:rsid w:val="00B51ADC"/>
    <w:rsid w:val="00B52C48"/>
    <w:rsid w:val="00B546EC"/>
    <w:rsid w:val="00B547F5"/>
    <w:rsid w:val="00B54B2C"/>
    <w:rsid w:val="00B54BB0"/>
    <w:rsid w:val="00B56BF7"/>
    <w:rsid w:val="00B56C0F"/>
    <w:rsid w:val="00B60375"/>
    <w:rsid w:val="00B60801"/>
    <w:rsid w:val="00B61239"/>
    <w:rsid w:val="00B61F70"/>
    <w:rsid w:val="00B645DB"/>
    <w:rsid w:val="00B65346"/>
    <w:rsid w:val="00B66595"/>
    <w:rsid w:val="00B666EF"/>
    <w:rsid w:val="00B66B3B"/>
    <w:rsid w:val="00B67928"/>
    <w:rsid w:val="00B67BC4"/>
    <w:rsid w:val="00B70C10"/>
    <w:rsid w:val="00B71028"/>
    <w:rsid w:val="00B72234"/>
    <w:rsid w:val="00B7263F"/>
    <w:rsid w:val="00B729C7"/>
    <w:rsid w:val="00B735F6"/>
    <w:rsid w:val="00B743DE"/>
    <w:rsid w:val="00B745F1"/>
    <w:rsid w:val="00B75D2E"/>
    <w:rsid w:val="00B7735A"/>
    <w:rsid w:val="00B773CA"/>
    <w:rsid w:val="00B80177"/>
    <w:rsid w:val="00B80277"/>
    <w:rsid w:val="00B8034E"/>
    <w:rsid w:val="00B804DC"/>
    <w:rsid w:val="00B82602"/>
    <w:rsid w:val="00B84475"/>
    <w:rsid w:val="00B84669"/>
    <w:rsid w:val="00B84823"/>
    <w:rsid w:val="00B8502D"/>
    <w:rsid w:val="00B87246"/>
    <w:rsid w:val="00B8729E"/>
    <w:rsid w:val="00B87FFE"/>
    <w:rsid w:val="00B9006C"/>
    <w:rsid w:val="00B9043D"/>
    <w:rsid w:val="00B90697"/>
    <w:rsid w:val="00B90824"/>
    <w:rsid w:val="00B90E96"/>
    <w:rsid w:val="00B91CB1"/>
    <w:rsid w:val="00B92A28"/>
    <w:rsid w:val="00B934D5"/>
    <w:rsid w:val="00B954E5"/>
    <w:rsid w:val="00B96800"/>
    <w:rsid w:val="00B968BE"/>
    <w:rsid w:val="00BA07DB"/>
    <w:rsid w:val="00BA0C6A"/>
    <w:rsid w:val="00BA13AE"/>
    <w:rsid w:val="00BA14D8"/>
    <w:rsid w:val="00BA1A63"/>
    <w:rsid w:val="00BA1E8F"/>
    <w:rsid w:val="00BA20AA"/>
    <w:rsid w:val="00BA2164"/>
    <w:rsid w:val="00BA443F"/>
    <w:rsid w:val="00BA5591"/>
    <w:rsid w:val="00BA5C7C"/>
    <w:rsid w:val="00BA6571"/>
    <w:rsid w:val="00BA6DB2"/>
    <w:rsid w:val="00BA7502"/>
    <w:rsid w:val="00BB0081"/>
    <w:rsid w:val="00BB0AE5"/>
    <w:rsid w:val="00BB0CBB"/>
    <w:rsid w:val="00BB12A5"/>
    <w:rsid w:val="00BB1405"/>
    <w:rsid w:val="00BB1932"/>
    <w:rsid w:val="00BB2D8A"/>
    <w:rsid w:val="00BB2EC5"/>
    <w:rsid w:val="00BB4CE8"/>
    <w:rsid w:val="00BB5CF9"/>
    <w:rsid w:val="00BB5EC9"/>
    <w:rsid w:val="00BB6F4F"/>
    <w:rsid w:val="00BB7421"/>
    <w:rsid w:val="00BB7CD8"/>
    <w:rsid w:val="00BC125E"/>
    <w:rsid w:val="00BC15E3"/>
    <w:rsid w:val="00BC1991"/>
    <w:rsid w:val="00BC1E52"/>
    <w:rsid w:val="00BC2838"/>
    <w:rsid w:val="00BC3B9E"/>
    <w:rsid w:val="00BC4B8A"/>
    <w:rsid w:val="00BC528F"/>
    <w:rsid w:val="00BC53B7"/>
    <w:rsid w:val="00BC56BB"/>
    <w:rsid w:val="00BC60C3"/>
    <w:rsid w:val="00BC6B5A"/>
    <w:rsid w:val="00BC6BB6"/>
    <w:rsid w:val="00BC7B16"/>
    <w:rsid w:val="00BD0B47"/>
    <w:rsid w:val="00BD1091"/>
    <w:rsid w:val="00BD11B4"/>
    <w:rsid w:val="00BD1574"/>
    <w:rsid w:val="00BD171E"/>
    <w:rsid w:val="00BD3287"/>
    <w:rsid w:val="00BD33FB"/>
    <w:rsid w:val="00BD46CD"/>
    <w:rsid w:val="00BD4B09"/>
    <w:rsid w:val="00BD4CD6"/>
    <w:rsid w:val="00BD74EA"/>
    <w:rsid w:val="00BD7552"/>
    <w:rsid w:val="00BD7686"/>
    <w:rsid w:val="00BD7A33"/>
    <w:rsid w:val="00BE001A"/>
    <w:rsid w:val="00BE01D7"/>
    <w:rsid w:val="00BE1940"/>
    <w:rsid w:val="00BE2B93"/>
    <w:rsid w:val="00BE3105"/>
    <w:rsid w:val="00BE3823"/>
    <w:rsid w:val="00BE5891"/>
    <w:rsid w:val="00BE6B0C"/>
    <w:rsid w:val="00BE6DCC"/>
    <w:rsid w:val="00BE6FAB"/>
    <w:rsid w:val="00BE70E3"/>
    <w:rsid w:val="00BE7AEE"/>
    <w:rsid w:val="00BE7F52"/>
    <w:rsid w:val="00BF082E"/>
    <w:rsid w:val="00BF0B08"/>
    <w:rsid w:val="00BF0C2F"/>
    <w:rsid w:val="00BF1271"/>
    <w:rsid w:val="00BF16F8"/>
    <w:rsid w:val="00BF1B3B"/>
    <w:rsid w:val="00BF2750"/>
    <w:rsid w:val="00BF35A7"/>
    <w:rsid w:val="00BF3E15"/>
    <w:rsid w:val="00BF450C"/>
    <w:rsid w:val="00BF4C11"/>
    <w:rsid w:val="00BF5B9C"/>
    <w:rsid w:val="00BF695F"/>
    <w:rsid w:val="00BF7CC0"/>
    <w:rsid w:val="00C00DA3"/>
    <w:rsid w:val="00C0136B"/>
    <w:rsid w:val="00C01800"/>
    <w:rsid w:val="00C021F1"/>
    <w:rsid w:val="00C031CB"/>
    <w:rsid w:val="00C03787"/>
    <w:rsid w:val="00C058A7"/>
    <w:rsid w:val="00C05A00"/>
    <w:rsid w:val="00C05CAF"/>
    <w:rsid w:val="00C05E94"/>
    <w:rsid w:val="00C069B6"/>
    <w:rsid w:val="00C07059"/>
    <w:rsid w:val="00C074E1"/>
    <w:rsid w:val="00C07842"/>
    <w:rsid w:val="00C10486"/>
    <w:rsid w:val="00C12170"/>
    <w:rsid w:val="00C1226D"/>
    <w:rsid w:val="00C127C3"/>
    <w:rsid w:val="00C12890"/>
    <w:rsid w:val="00C128B3"/>
    <w:rsid w:val="00C13587"/>
    <w:rsid w:val="00C13599"/>
    <w:rsid w:val="00C13C55"/>
    <w:rsid w:val="00C13F0F"/>
    <w:rsid w:val="00C142AF"/>
    <w:rsid w:val="00C14BAD"/>
    <w:rsid w:val="00C154FA"/>
    <w:rsid w:val="00C1550E"/>
    <w:rsid w:val="00C15A63"/>
    <w:rsid w:val="00C163DC"/>
    <w:rsid w:val="00C16423"/>
    <w:rsid w:val="00C165DE"/>
    <w:rsid w:val="00C16E74"/>
    <w:rsid w:val="00C171C0"/>
    <w:rsid w:val="00C17768"/>
    <w:rsid w:val="00C17CE6"/>
    <w:rsid w:val="00C17D98"/>
    <w:rsid w:val="00C2017D"/>
    <w:rsid w:val="00C20895"/>
    <w:rsid w:val="00C21567"/>
    <w:rsid w:val="00C22021"/>
    <w:rsid w:val="00C22349"/>
    <w:rsid w:val="00C234B9"/>
    <w:rsid w:val="00C23C60"/>
    <w:rsid w:val="00C23EFA"/>
    <w:rsid w:val="00C241DC"/>
    <w:rsid w:val="00C242C2"/>
    <w:rsid w:val="00C24459"/>
    <w:rsid w:val="00C24673"/>
    <w:rsid w:val="00C24900"/>
    <w:rsid w:val="00C254A5"/>
    <w:rsid w:val="00C25B2B"/>
    <w:rsid w:val="00C2604E"/>
    <w:rsid w:val="00C27406"/>
    <w:rsid w:val="00C30199"/>
    <w:rsid w:val="00C30CFD"/>
    <w:rsid w:val="00C31FFF"/>
    <w:rsid w:val="00C324D7"/>
    <w:rsid w:val="00C333D6"/>
    <w:rsid w:val="00C349A8"/>
    <w:rsid w:val="00C3502E"/>
    <w:rsid w:val="00C3530F"/>
    <w:rsid w:val="00C37516"/>
    <w:rsid w:val="00C414E4"/>
    <w:rsid w:val="00C4212B"/>
    <w:rsid w:val="00C42AC9"/>
    <w:rsid w:val="00C42BBC"/>
    <w:rsid w:val="00C42EF6"/>
    <w:rsid w:val="00C43463"/>
    <w:rsid w:val="00C4363F"/>
    <w:rsid w:val="00C43D3A"/>
    <w:rsid w:val="00C45134"/>
    <w:rsid w:val="00C45F10"/>
    <w:rsid w:val="00C471B8"/>
    <w:rsid w:val="00C47E80"/>
    <w:rsid w:val="00C50AF3"/>
    <w:rsid w:val="00C50BF8"/>
    <w:rsid w:val="00C517E9"/>
    <w:rsid w:val="00C51C60"/>
    <w:rsid w:val="00C52C47"/>
    <w:rsid w:val="00C53316"/>
    <w:rsid w:val="00C53B10"/>
    <w:rsid w:val="00C54600"/>
    <w:rsid w:val="00C55426"/>
    <w:rsid w:val="00C55728"/>
    <w:rsid w:val="00C55A72"/>
    <w:rsid w:val="00C57F8E"/>
    <w:rsid w:val="00C60302"/>
    <w:rsid w:val="00C6221E"/>
    <w:rsid w:val="00C62B22"/>
    <w:rsid w:val="00C62E24"/>
    <w:rsid w:val="00C62E6B"/>
    <w:rsid w:val="00C63697"/>
    <w:rsid w:val="00C639B3"/>
    <w:rsid w:val="00C63A94"/>
    <w:rsid w:val="00C641F7"/>
    <w:rsid w:val="00C64587"/>
    <w:rsid w:val="00C647E9"/>
    <w:rsid w:val="00C64A5D"/>
    <w:rsid w:val="00C6705C"/>
    <w:rsid w:val="00C70217"/>
    <w:rsid w:val="00C70408"/>
    <w:rsid w:val="00C70BDD"/>
    <w:rsid w:val="00C7152E"/>
    <w:rsid w:val="00C7173D"/>
    <w:rsid w:val="00C71E3B"/>
    <w:rsid w:val="00C72BDE"/>
    <w:rsid w:val="00C72F02"/>
    <w:rsid w:val="00C733AA"/>
    <w:rsid w:val="00C73934"/>
    <w:rsid w:val="00C73E2F"/>
    <w:rsid w:val="00C746D6"/>
    <w:rsid w:val="00C74929"/>
    <w:rsid w:val="00C74CA4"/>
    <w:rsid w:val="00C7542E"/>
    <w:rsid w:val="00C777EB"/>
    <w:rsid w:val="00C77805"/>
    <w:rsid w:val="00C77EEE"/>
    <w:rsid w:val="00C80710"/>
    <w:rsid w:val="00C812A8"/>
    <w:rsid w:val="00C81D14"/>
    <w:rsid w:val="00C821DA"/>
    <w:rsid w:val="00C82855"/>
    <w:rsid w:val="00C82F24"/>
    <w:rsid w:val="00C83388"/>
    <w:rsid w:val="00C837F7"/>
    <w:rsid w:val="00C83A92"/>
    <w:rsid w:val="00C847F7"/>
    <w:rsid w:val="00C850BA"/>
    <w:rsid w:val="00C857A5"/>
    <w:rsid w:val="00C87574"/>
    <w:rsid w:val="00C905AD"/>
    <w:rsid w:val="00C90623"/>
    <w:rsid w:val="00C90FC7"/>
    <w:rsid w:val="00C91FF7"/>
    <w:rsid w:val="00C92814"/>
    <w:rsid w:val="00C9388E"/>
    <w:rsid w:val="00C95184"/>
    <w:rsid w:val="00C9558C"/>
    <w:rsid w:val="00C95A5A"/>
    <w:rsid w:val="00CA139B"/>
    <w:rsid w:val="00CA18FF"/>
    <w:rsid w:val="00CA32F3"/>
    <w:rsid w:val="00CA474C"/>
    <w:rsid w:val="00CA484B"/>
    <w:rsid w:val="00CA6078"/>
    <w:rsid w:val="00CA6193"/>
    <w:rsid w:val="00CA76F2"/>
    <w:rsid w:val="00CB1510"/>
    <w:rsid w:val="00CB1800"/>
    <w:rsid w:val="00CB2423"/>
    <w:rsid w:val="00CB4440"/>
    <w:rsid w:val="00CB5619"/>
    <w:rsid w:val="00CB61D3"/>
    <w:rsid w:val="00CB6CF6"/>
    <w:rsid w:val="00CB71A2"/>
    <w:rsid w:val="00CB727D"/>
    <w:rsid w:val="00CB744B"/>
    <w:rsid w:val="00CB7C20"/>
    <w:rsid w:val="00CC0813"/>
    <w:rsid w:val="00CC1D62"/>
    <w:rsid w:val="00CC1EBE"/>
    <w:rsid w:val="00CC2190"/>
    <w:rsid w:val="00CC3433"/>
    <w:rsid w:val="00CC35C6"/>
    <w:rsid w:val="00CC3AD0"/>
    <w:rsid w:val="00CC3D34"/>
    <w:rsid w:val="00CC4861"/>
    <w:rsid w:val="00CC4B35"/>
    <w:rsid w:val="00CC532A"/>
    <w:rsid w:val="00CC647D"/>
    <w:rsid w:val="00CC6CF1"/>
    <w:rsid w:val="00CC7C92"/>
    <w:rsid w:val="00CD073F"/>
    <w:rsid w:val="00CD1070"/>
    <w:rsid w:val="00CD1B7B"/>
    <w:rsid w:val="00CD2868"/>
    <w:rsid w:val="00CD2B55"/>
    <w:rsid w:val="00CD3AF2"/>
    <w:rsid w:val="00CD3B1C"/>
    <w:rsid w:val="00CD740B"/>
    <w:rsid w:val="00CD7703"/>
    <w:rsid w:val="00CE0E8C"/>
    <w:rsid w:val="00CE1D36"/>
    <w:rsid w:val="00CE262C"/>
    <w:rsid w:val="00CE2A9D"/>
    <w:rsid w:val="00CE36A7"/>
    <w:rsid w:val="00CE3C50"/>
    <w:rsid w:val="00CE4ADE"/>
    <w:rsid w:val="00CE542A"/>
    <w:rsid w:val="00CE553C"/>
    <w:rsid w:val="00CE5F0A"/>
    <w:rsid w:val="00CE6B60"/>
    <w:rsid w:val="00CE7A6A"/>
    <w:rsid w:val="00CF1246"/>
    <w:rsid w:val="00CF126A"/>
    <w:rsid w:val="00CF3B12"/>
    <w:rsid w:val="00CF3FBC"/>
    <w:rsid w:val="00CF47FF"/>
    <w:rsid w:val="00CF5818"/>
    <w:rsid w:val="00CF5CB2"/>
    <w:rsid w:val="00CF6354"/>
    <w:rsid w:val="00CF63F6"/>
    <w:rsid w:val="00CF77B9"/>
    <w:rsid w:val="00D00087"/>
    <w:rsid w:val="00D01F23"/>
    <w:rsid w:val="00D0369A"/>
    <w:rsid w:val="00D036D5"/>
    <w:rsid w:val="00D0392A"/>
    <w:rsid w:val="00D03BF6"/>
    <w:rsid w:val="00D048BC"/>
    <w:rsid w:val="00D055A2"/>
    <w:rsid w:val="00D055F5"/>
    <w:rsid w:val="00D0627A"/>
    <w:rsid w:val="00D06326"/>
    <w:rsid w:val="00D11A94"/>
    <w:rsid w:val="00D12792"/>
    <w:rsid w:val="00D13797"/>
    <w:rsid w:val="00D138F3"/>
    <w:rsid w:val="00D144AE"/>
    <w:rsid w:val="00D15D74"/>
    <w:rsid w:val="00D16791"/>
    <w:rsid w:val="00D17839"/>
    <w:rsid w:val="00D17ADF"/>
    <w:rsid w:val="00D21C73"/>
    <w:rsid w:val="00D21DED"/>
    <w:rsid w:val="00D22465"/>
    <w:rsid w:val="00D23653"/>
    <w:rsid w:val="00D237F1"/>
    <w:rsid w:val="00D24267"/>
    <w:rsid w:val="00D2495E"/>
    <w:rsid w:val="00D24DE5"/>
    <w:rsid w:val="00D24F67"/>
    <w:rsid w:val="00D2669F"/>
    <w:rsid w:val="00D27B81"/>
    <w:rsid w:val="00D27C61"/>
    <w:rsid w:val="00D302FC"/>
    <w:rsid w:val="00D326ED"/>
    <w:rsid w:val="00D3307A"/>
    <w:rsid w:val="00D3362E"/>
    <w:rsid w:val="00D336FA"/>
    <w:rsid w:val="00D3393A"/>
    <w:rsid w:val="00D34339"/>
    <w:rsid w:val="00D355A7"/>
    <w:rsid w:val="00D361E1"/>
    <w:rsid w:val="00D36568"/>
    <w:rsid w:val="00D36A7B"/>
    <w:rsid w:val="00D376A1"/>
    <w:rsid w:val="00D41C3F"/>
    <w:rsid w:val="00D4286C"/>
    <w:rsid w:val="00D42E93"/>
    <w:rsid w:val="00D435FE"/>
    <w:rsid w:val="00D4380A"/>
    <w:rsid w:val="00D4401C"/>
    <w:rsid w:val="00D44903"/>
    <w:rsid w:val="00D45F52"/>
    <w:rsid w:val="00D46222"/>
    <w:rsid w:val="00D465F1"/>
    <w:rsid w:val="00D4686C"/>
    <w:rsid w:val="00D47BCE"/>
    <w:rsid w:val="00D47C6F"/>
    <w:rsid w:val="00D50005"/>
    <w:rsid w:val="00D50A2C"/>
    <w:rsid w:val="00D51753"/>
    <w:rsid w:val="00D51DF6"/>
    <w:rsid w:val="00D51F2C"/>
    <w:rsid w:val="00D521AD"/>
    <w:rsid w:val="00D541AF"/>
    <w:rsid w:val="00D543EB"/>
    <w:rsid w:val="00D545D1"/>
    <w:rsid w:val="00D5491C"/>
    <w:rsid w:val="00D54A92"/>
    <w:rsid w:val="00D550AE"/>
    <w:rsid w:val="00D55414"/>
    <w:rsid w:val="00D555FF"/>
    <w:rsid w:val="00D566A4"/>
    <w:rsid w:val="00D56A20"/>
    <w:rsid w:val="00D56C53"/>
    <w:rsid w:val="00D573FF"/>
    <w:rsid w:val="00D60156"/>
    <w:rsid w:val="00D609AA"/>
    <w:rsid w:val="00D62C75"/>
    <w:rsid w:val="00D62CB0"/>
    <w:rsid w:val="00D62D9E"/>
    <w:rsid w:val="00D630E1"/>
    <w:rsid w:val="00D64DFF"/>
    <w:rsid w:val="00D64FC9"/>
    <w:rsid w:val="00D656A4"/>
    <w:rsid w:val="00D65D47"/>
    <w:rsid w:val="00D65F63"/>
    <w:rsid w:val="00D65FA1"/>
    <w:rsid w:val="00D66872"/>
    <w:rsid w:val="00D66BB8"/>
    <w:rsid w:val="00D673D0"/>
    <w:rsid w:val="00D677EC"/>
    <w:rsid w:val="00D67858"/>
    <w:rsid w:val="00D701FB"/>
    <w:rsid w:val="00D70CAD"/>
    <w:rsid w:val="00D71337"/>
    <w:rsid w:val="00D71E43"/>
    <w:rsid w:val="00D72357"/>
    <w:rsid w:val="00D724F7"/>
    <w:rsid w:val="00D73DBA"/>
    <w:rsid w:val="00D7475D"/>
    <w:rsid w:val="00D74FC8"/>
    <w:rsid w:val="00D75B92"/>
    <w:rsid w:val="00D7669E"/>
    <w:rsid w:val="00D76D5D"/>
    <w:rsid w:val="00D77268"/>
    <w:rsid w:val="00D7763B"/>
    <w:rsid w:val="00D77A42"/>
    <w:rsid w:val="00D80DC5"/>
    <w:rsid w:val="00D80F7A"/>
    <w:rsid w:val="00D8158A"/>
    <w:rsid w:val="00D819EE"/>
    <w:rsid w:val="00D834B3"/>
    <w:rsid w:val="00D83BC1"/>
    <w:rsid w:val="00D8415C"/>
    <w:rsid w:val="00D8527D"/>
    <w:rsid w:val="00D854F6"/>
    <w:rsid w:val="00D85617"/>
    <w:rsid w:val="00D859D7"/>
    <w:rsid w:val="00D85A69"/>
    <w:rsid w:val="00D87EC2"/>
    <w:rsid w:val="00D87F56"/>
    <w:rsid w:val="00D91372"/>
    <w:rsid w:val="00D921E0"/>
    <w:rsid w:val="00D93D16"/>
    <w:rsid w:val="00D94D5D"/>
    <w:rsid w:val="00D95597"/>
    <w:rsid w:val="00D9570F"/>
    <w:rsid w:val="00D95A22"/>
    <w:rsid w:val="00D95BE9"/>
    <w:rsid w:val="00D965C6"/>
    <w:rsid w:val="00D97FD6"/>
    <w:rsid w:val="00DA25E2"/>
    <w:rsid w:val="00DA2C18"/>
    <w:rsid w:val="00DA399C"/>
    <w:rsid w:val="00DA49A4"/>
    <w:rsid w:val="00DA4B94"/>
    <w:rsid w:val="00DA53C6"/>
    <w:rsid w:val="00DA5481"/>
    <w:rsid w:val="00DA5AAE"/>
    <w:rsid w:val="00DA5B43"/>
    <w:rsid w:val="00DA6211"/>
    <w:rsid w:val="00DA6B76"/>
    <w:rsid w:val="00DA7667"/>
    <w:rsid w:val="00DA789E"/>
    <w:rsid w:val="00DB1262"/>
    <w:rsid w:val="00DB1479"/>
    <w:rsid w:val="00DB19C5"/>
    <w:rsid w:val="00DB2FA7"/>
    <w:rsid w:val="00DB31C7"/>
    <w:rsid w:val="00DB5BDB"/>
    <w:rsid w:val="00DB6582"/>
    <w:rsid w:val="00DB7C5F"/>
    <w:rsid w:val="00DC0006"/>
    <w:rsid w:val="00DC0414"/>
    <w:rsid w:val="00DC04D0"/>
    <w:rsid w:val="00DC0AA3"/>
    <w:rsid w:val="00DC0D0E"/>
    <w:rsid w:val="00DC0DFE"/>
    <w:rsid w:val="00DC0E3F"/>
    <w:rsid w:val="00DC100E"/>
    <w:rsid w:val="00DC1382"/>
    <w:rsid w:val="00DC24EB"/>
    <w:rsid w:val="00DC2550"/>
    <w:rsid w:val="00DC2DD3"/>
    <w:rsid w:val="00DC3415"/>
    <w:rsid w:val="00DC3DAC"/>
    <w:rsid w:val="00DC405C"/>
    <w:rsid w:val="00DC46D5"/>
    <w:rsid w:val="00DC516A"/>
    <w:rsid w:val="00DC550E"/>
    <w:rsid w:val="00DC563A"/>
    <w:rsid w:val="00DC748B"/>
    <w:rsid w:val="00DD0444"/>
    <w:rsid w:val="00DD1520"/>
    <w:rsid w:val="00DD368B"/>
    <w:rsid w:val="00DD42F9"/>
    <w:rsid w:val="00DD47CE"/>
    <w:rsid w:val="00DD4AAD"/>
    <w:rsid w:val="00DD4EAE"/>
    <w:rsid w:val="00DD5025"/>
    <w:rsid w:val="00DD57FA"/>
    <w:rsid w:val="00DD57FB"/>
    <w:rsid w:val="00DD5D21"/>
    <w:rsid w:val="00DD6DB3"/>
    <w:rsid w:val="00DD70C5"/>
    <w:rsid w:val="00DD777B"/>
    <w:rsid w:val="00DD7B36"/>
    <w:rsid w:val="00DE0A61"/>
    <w:rsid w:val="00DE148A"/>
    <w:rsid w:val="00DE205B"/>
    <w:rsid w:val="00DE31B8"/>
    <w:rsid w:val="00DE3298"/>
    <w:rsid w:val="00DE38C3"/>
    <w:rsid w:val="00DE3B35"/>
    <w:rsid w:val="00DE4221"/>
    <w:rsid w:val="00DE755F"/>
    <w:rsid w:val="00DE7DDB"/>
    <w:rsid w:val="00DF00F8"/>
    <w:rsid w:val="00DF015C"/>
    <w:rsid w:val="00DF0DEA"/>
    <w:rsid w:val="00DF10C3"/>
    <w:rsid w:val="00DF1521"/>
    <w:rsid w:val="00DF2F93"/>
    <w:rsid w:val="00DF4701"/>
    <w:rsid w:val="00DF4984"/>
    <w:rsid w:val="00DF4A5F"/>
    <w:rsid w:val="00DF542F"/>
    <w:rsid w:val="00DF55E6"/>
    <w:rsid w:val="00DF6A19"/>
    <w:rsid w:val="00DF6B8A"/>
    <w:rsid w:val="00DF7FFA"/>
    <w:rsid w:val="00E0011E"/>
    <w:rsid w:val="00E00313"/>
    <w:rsid w:val="00E004E0"/>
    <w:rsid w:val="00E00D16"/>
    <w:rsid w:val="00E025AC"/>
    <w:rsid w:val="00E02BBC"/>
    <w:rsid w:val="00E02DA2"/>
    <w:rsid w:val="00E03820"/>
    <w:rsid w:val="00E0512F"/>
    <w:rsid w:val="00E054BC"/>
    <w:rsid w:val="00E05BE2"/>
    <w:rsid w:val="00E05DD3"/>
    <w:rsid w:val="00E06619"/>
    <w:rsid w:val="00E07859"/>
    <w:rsid w:val="00E10A2D"/>
    <w:rsid w:val="00E1115E"/>
    <w:rsid w:val="00E11204"/>
    <w:rsid w:val="00E11D99"/>
    <w:rsid w:val="00E12B32"/>
    <w:rsid w:val="00E12DB8"/>
    <w:rsid w:val="00E13D44"/>
    <w:rsid w:val="00E14C5B"/>
    <w:rsid w:val="00E155FB"/>
    <w:rsid w:val="00E164FC"/>
    <w:rsid w:val="00E16BC9"/>
    <w:rsid w:val="00E16E87"/>
    <w:rsid w:val="00E174FC"/>
    <w:rsid w:val="00E176D4"/>
    <w:rsid w:val="00E2009A"/>
    <w:rsid w:val="00E2042A"/>
    <w:rsid w:val="00E23656"/>
    <w:rsid w:val="00E24ACF"/>
    <w:rsid w:val="00E2511F"/>
    <w:rsid w:val="00E2536E"/>
    <w:rsid w:val="00E25469"/>
    <w:rsid w:val="00E266CF"/>
    <w:rsid w:val="00E2694C"/>
    <w:rsid w:val="00E27206"/>
    <w:rsid w:val="00E27729"/>
    <w:rsid w:val="00E27C47"/>
    <w:rsid w:val="00E3040D"/>
    <w:rsid w:val="00E311B7"/>
    <w:rsid w:val="00E327C2"/>
    <w:rsid w:val="00E32A88"/>
    <w:rsid w:val="00E3401C"/>
    <w:rsid w:val="00E360BD"/>
    <w:rsid w:val="00E365DC"/>
    <w:rsid w:val="00E36710"/>
    <w:rsid w:val="00E36B98"/>
    <w:rsid w:val="00E40DB6"/>
    <w:rsid w:val="00E41AE4"/>
    <w:rsid w:val="00E444F1"/>
    <w:rsid w:val="00E45387"/>
    <w:rsid w:val="00E45D66"/>
    <w:rsid w:val="00E46206"/>
    <w:rsid w:val="00E46FB4"/>
    <w:rsid w:val="00E47077"/>
    <w:rsid w:val="00E51D49"/>
    <w:rsid w:val="00E52C4B"/>
    <w:rsid w:val="00E52FB8"/>
    <w:rsid w:val="00E55A29"/>
    <w:rsid w:val="00E55F2F"/>
    <w:rsid w:val="00E56789"/>
    <w:rsid w:val="00E575CF"/>
    <w:rsid w:val="00E57EE6"/>
    <w:rsid w:val="00E600B4"/>
    <w:rsid w:val="00E603C3"/>
    <w:rsid w:val="00E60668"/>
    <w:rsid w:val="00E606E4"/>
    <w:rsid w:val="00E60F63"/>
    <w:rsid w:val="00E6182C"/>
    <w:rsid w:val="00E61F45"/>
    <w:rsid w:val="00E625D4"/>
    <w:rsid w:val="00E63A6E"/>
    <w:rsid w:val="00E65573"/>
    <w:rsid w:val="00E67829"/>
    <w:rsid w:val="00E67A66"/>
    <w:rsid w:val="00E67ED0"/>
    <w:rsid w:val="00E70740"/>
    <w:rsid w:val="00E70C3A"/>
    <w:rsid w:val="00E71122"/>
    <w:rsid w:val="00E72EBD"/>
    <w:rsid w:val="00E73075"/>
    <w:rsid w:val="00E73646"/>
    <w:rsid w:val="00E75879"/>
    <w:rsid w:val="00E81911"/>
    <w:rsid w:val="00E8191B"/>
    <w:rsid w:val="00E81B14"/>
    <w:rsid w:val="00E821E0"/>
    <w:rsid w:val="00E82CF8"/>
    <w:rsid w:val="00E834C3"/>
    <w:rsid w:val="00E84104"/>
    <w:rsid w:val="00E851CE"/>
    <w:rsid w:val="00E85A35"/>
    <w:rsid w:val="00E85A89"/>
    <w:rsid w:val="00E867C1"/>
    <w:rsid w:val="00E869CC"/>
    <w:rsid w:val="00E87FCB"/>
    <w:rsid w:val="00E9038D"/>
    <w:rsid w:val="00E9088B"/>
    <w:rsid w:val="00E908A0"/>
    <w:rsid w:val="00E90F9B"/>
    <w:rsid w:val="00E925CA"/>
    <w:rsid w:val="00E928FA"/>
    <w:rsid w:val="00E932E2"/>
    <w:rsid w:val="00E93E0F"/>
    <w:rsid w:val="00E94A51"/>
    <w:rsid w:val="00E9581D"/>
    <w:rsid w:val="00E95BBD"/>
    <w:rsid w:val="00E95DE1"/>
    <w:rsid w:val="00E975A2"/>
    <w:rsid w:val="00EA012A"/>
    <w:rsid w:val="00EA1236"/>
    <w:rsid w:val="00EA12E0"/>
    <w:rsid w:val="00EA23F7"/>
    <w:rsid w:val="00EA2536"/>
    <w:rsid w:val="00EA28BA"/>
    <w:rsid w:val="00EA45DB"/>
    <w:rsid w:val="00EA5F94"/>
    <w:rsid w:val="00EA5FF2"/>
    <w:rsid w:val="00EA71A9"/>
    <w:rsid w:val="00EA756C"/>
    <w:rsid w:val="00EA79B3"/>
    <w:rsid w:val="00EB0A1B"/>
    <w:rsid w:val="00EB0BC2"/>
    <w:rsid w:val="00EB12CF"/>
    <w:rsid w:val="00EB1BD2"/>
    <w:rsid w:val="00EB20FD"/>
    <w:rsid w:val="00EB24E7"/>
    <w:rsid w:val="00EB3801"/>
    <w:rsid w:val="00EB3F4A"/>
    <w:rsid w:val="00EB46D5"/>
    <w:rsid w:val="00EB48C3"/>
    <w:rsid w:val="00EB62CE"/>
    <w:rsid w:val="00EB6917"/>
    <w:rsid w:val="00EB69A9"/>
    <w:rsid w:val="00EB726C"/>
    <w:rsid w:val="00EB7279"/>
    <w:rsid w:val="00EB7789"/>
    <w:rsid w:val="00EB7908"/>
    <w:rsid w:val="00EB7B1A"/>
    <w:rsid w:val="00EC0FA5"/>
    <w:rsid w:val="00EC10C3"/>
    <w:rsid w:val="00EC10D4"/>
    <w:rsid w:val="00EC1AFF"/>
    <w:rsid w:val="00EC217D"/>
    <w:rsid w:val="00EC22E5"/>
    <w:rsid w:val="00EC28CE"/>
    <w:rsid w:val="00EC2987"/>
    <w:rsid w:val="00EC2C4A"/>
    <w:rsid w:val="00EC357F"/>
    <w:rsid w:val="00EC39C1"/>
    <w:rsid w:val="00EC4DBE"/>
    <w:rsid w:val="00EC4DE0"/>
    <w:rsid w:val="00EC557C"/>
    <w:rsid w:val="00EC5863"/>
    <w:rsid w:val="00EC7196"/>
    <w:rsid w:val="00EC7556"/>
    <w:rsid w:val="00ED0B75"/>
    <w:rsid w:val="00ED0D99"/>
    <w:rsid w:val="00ED15AB"/>
    <w:rsid w:val="00ED22C6"/>
    <w:rsid w:val="00ED2EB6"/>
    <w:rsid w:val="00ED4338"/>
    <w:rsid w:val="00ED559B"/>
    <w:rsid w:val="00ED72C8"/>
    <w:rsid w:val="00ED7561"/>
    <w:rsid w:val="00EE04D8"/>
    <w:rsid w:val="00EE06C0"/>
    <w:rsid w:val="00EE1979"/>
    <w:rsid w:val="00EE1AA2"/>
    <w:rsid w:val="00EE1ABF"/>
    <w:rsid w:val="00EE1EF2"/>
    <w:rsid w:val="00EE28F8"/>
    <w:rsid w:val="00EE2C71"/>
    <w:rsid w:val="00EE3C8C"/>
    <w:rsid w:val="00EE4B88"/>
    <w:rsid w:val="00EE54E7"/>
    <w:rsid w:val="00EE615B"/>
    <w:rsid w:val="00EE7DC4"/>
    <w:rsid w:val="00EF2511"/>
    <w:rsid w:val="00EF253E"/>
    <w:rsid w:val="00EF288B"/>
    <w:rsid w:val="00EF2E64"/>
    <w:rsid w:val="00EF36E5"/>
    <w:rsid w:val="00EF450F"/>
    <w:rsid w:val="00EF462B"/>
    <w:rsid w:val="00EF4C9B"/>
    <w:rsid w:val="00EF4F55"/>
    <w:rsid w:val="00EF5DE9"/>
    <w:rsid w:val="00EF5F2D"/>
    <w:rsid w:val="00EF6255"/>
    <w:rsid w:val="00EF6763"/>
    <w:rsid w:val="00EF6BCE"/>
    <w:rsid w:val="00EF70F9"/>
    <w:rsid w:val="00F0057A"/>
    <w:rsid w:val="00F005E3"/>
    <w:rsid w:val="00F00D80"/>
    <w:rsid w:val="00F01481"/>
    <w:rsid w:val="00F01D90"/>
    <w:rsid w:val="00F020FE"/>
    <w:rsid w:val="00F0214E"/>
    <w:rsid w:val="00F029DB"/>
    <w:rsid w:val="00F031B6"/>
    <w:rsid w:val="00F040B2"/>
    <w:rsid w:val="00F04D17"/>
    <w:rsid w:val="00F04F98"/>
    <w:rsid w:val="00F067F4"/>
    <w:rsid w:val="00F07F0F"/>
    <w:rsid w:val="00F10100"/>
    <w:rsid w:val="00F1022E"/>
    <w:rsid w:val="00F10DDF"/>
    <w:rsid w:val="00F11BC0"/>
    <w:rsid w:val="00F11C69"/>
    <w:rsid w:val="00F12DDF"/>
    <w:rsid w:val="00F142BA"/>
    <w:rsid w:val="00F149CD"/>
    <w:rsid w:val="00F15244"/>
    <w:rsid w:val="00F159FE"/>
    <w:rsid w:val="00F15CB0"/>
    <w:rsid w:val="00F16F0F"/>
    <w:rsid w:val="00F17717"/>
    <w:rsid w:val="00F1799A"/>
    <w:rsid w:val="00F17CAD"/>
    <w:rsid w:val="00F20078"/>
    <w:rsid w:val="00F20A46"/>
    <w:rsid w:val="00F20B65"/>
    <w:rsid w:val="00F21C7A"/>
    <w:rsid w:val="00F21DBB"/>
    <w:rsid w:val="00F2270D"/>
    <w:rsid w:val="00F2395E"/>
    <w:rsid w:val="00F23AE9"/>
    <w:rsid w:val="00F256A8"/>
    <w:rsid w:val="00F2598A"/>
    <w:rsid w:val="00F26122"/>
    <w:rsid w:val="00F26416"/>
    <w:rsid w:val="00F267A5"/>
    <w:rsid w:val="00F269D2"/>
    <w:rsid w:val="00F26C8F"/>
    <w:rsid w:val="00F273D6"/>
    <w:rsid w:val="00F27AB0"/>
    <w:rsid w:val="00F27AD7"/>
    <w:rsid w:val="00F27FFB"/>
    <w:rsid w:val="00F30D59"/>
    <w:rsid w:val="00F31A63"/>
    <w:rsid w:val="00F31AC9"/>
    <w:rsid w:val="00F31BB2"/>
    <w:rsid w:val="00F33BBA"/>
    <w:rsid w:val="00F34482"/>
    <w:rsid w:val="00F35BA9"/>
    <w:rsid w:val="00F3738B"/>
    <w:rsid w:val="00F37667"/>
    <w:rsid w:val="00F37910"/>
    <w:rsid w:val="00F379EC"/>
    <w:rsid w:val="00F40378"/>
    <w:rsid w:val="00F42B79"/>
    <w:rsid w:val="00F42FA8"/>
    <w:rsid w:val="00F44458"/>
    <w:rsid w:val="00F44572"/>
    <w:rsid w:val="00F445D9"/>
    <w:rsid w:val="00F45F31"/>
    <w:rsid w:val="00F46608"/>
    <w:rsid w:val="00F5042B"/>
    <w:rsid w:val="00F51221"/>
    <w:rsid w:val="00F5565D"/>
    <w:rsid w:val="00F56846"/>
    <w:rsid w:val="00F57686"/>
    <w:rsid w:val="00F57A63"/>
    <w:rsid w:val="00F57ACE"/>
    <w:rsid w:val="00F57C28"/>
    <w:rsid w:val="00F6049C"/>
    <w:rsid w:val="00F61413"/>
    <w:rsid w:val="00F615B8"/>
    <w:rsid w:val="00F61F9A"/>
    <w:rsid w:val="00F6430F"/>
    <w:rsid w:val="00F64AA7"/>
    <w:rsid w:val="00F65B6A"/>
    <w:rsid w:val="00F665C7"/>
    <w:rsid w:val="00F66B25"/>
    <w:rsid w:val="00F67859"/>
    <w:rsid w:val="00F67929"/>
    <w:rsid w:val="00F67E25"/>
    <w:rsid w:val="00F70226"/>
    <w:rsid w:val="00F710BD"/>
    <w:rsid w:val="00F71185"/>
    <w:rsid w:val="00F71B12"/>
    <w:rsid w:val="00F73B47"/>
    <w:rsid w:val="00F7449B"/>
    <w:rsid w:val="00F75974"/>
    <w:rsid w:val="00F761C7"/>
    <w:rsid w:val="00F779CF"/>
    <w:rsid w:val="00F77B8C"/>
    <w:rsid w:val="00F77FB2"/>
    <w:rsid w:val="00F80243"/>
    <w:rsid w:val="00F81D2C"/>
    <w:rsid w:val="00F824E6"/>
    <w:rsid w:val="00F82FB8"/>
    <w:rsid w:val="00F838EB"/>
    <w:rsid w:val="00F83901"/>
    <w:rsid w:val="00F90DDE"/>
    <w:rsid w:val="00F91F23"/>
    <w:rsid w:val="00F92840"/>
    <w:rsid w:val="00F92F5D"/>
    <w:rsid w:val="00F9376F"/>
    <w:rsid w:val="00F938F6"/>
    <w:rsid w:val="00F941A1"/>
    <w:rsid w:val="00F942C5"/>
    <w:rsid w:val="00F943FF"/>
    <w:rsid w:val="00F94800"/>
    <w:rsid w:val="00F951BA"/>
    <w:rsid w:val="00F953E1"/>
    <w:rsid w:val="00F95574"/>
    <w:rsid w:val="00F95B8E"/>
    <w:rsid w:val="00F95DC7"/>
    <w:rsid w:val="00F96E9A"/>
    <w:rsid w:val="00F97654"/>
    <w:rsid w:val="00F97A9E"/>
    <w:rsid w:val="00FA019B"/>
    <w:rsid w:val="00FA02CB"/>
    <w:rsid w:val="00FA082D"/>
    <w:rsid w:val="00FA0881"/>
    <w:rsid w:val="00FA16F6"/>
    <w:rsid w:val="00FA1757"/>
    <w:rsid w:val="00FA1860"/>
    <w:rsid w:val="00FA5511"/>
    <w:rsid w:val="00FA5518"/>
    <w:rsid w:val="00FA5DED"/>
    <w:rsid w:val="00FA615B"/>
    <w:rsid w:val="00FA7B95"/>
    <w:rsid w:val="00FA7E1F"/>
    <w:rsid w:val="00FB0377"/>
    <w:rsid w:val="00FB0CFA"/>
    <w:rsid w:val="00FB0F23"/>
    <w:rsid w:val="00FB100C"/>
    <w:rsid w:val="00FB101D"/>
    <w:rsid w:val="00FB1E53"/>
    <w:rsid w:val="00FB28CC"/>
    <w:rsid w:val="00FB33F4"/>
    <w:rsid w:val="00FB380D"/>
    <w:rsid w:val="00FB3831"/>
    <w:rsid w:val="00FB398D"/>
    <w:rsid w:val="00FB3E7C"/>
    <w:rsid w:val="00FB6486"/>
    <w:rsid w:val="00FB7752"/>
    <w:rsid w:val="00FB7DC8"/>
    <w:rsid w:val="00FC1BA0"/>
    <w:rsid w:val="00FC1CE3"/>
    <w:rsid w:val="00FC21C8"/>
    <w:rsid w:val="00FC233C"/>
    <w:rsid w:val="00FC2344"/>
    <w:rsid w:val="00FC3975"/>
    <w:rsid w:val="00FC4C5A"/>
    <w:rsid w:val="00FC4E18"/>
    <w:rsid w:val="00FC524F"/>
    <w:rsid w:val="00FC58C4"/>
    <w:rsid w:val="00FC5A75"/>
    <w:rsid w:val="00FC6C90"/>
    <w:rsid w:val="00FC6F6D"/>
    <w:rsid w:val="00FC74FC"/>
    <w:rsid w:val="00FC7B4B"/>
    <w:rsid w:val="00FC7D56"/>
    <w:rsid w:val="00FC7E4A"/>
    <w:rsid w:val="00FD004A"/>
    <w:rsid w:val="00FD01D5"/>
    <w:rsid w:val="00FD028F"/>
    <w:rsid w:val="00FD035B"/>
    <w:rsid w:val="00FD03F6"/>
    <w:rsid w:val="00FD0E0F"/>
    <w:rsid w:val="00FD168D"/>
    <w:rsid w:val="00FD195A"/>
    <w:rsid w:val="00FD1C78"/>
    <w:rsid w:val="00FD1F94"/>
    <w:rsid w:val="00FD2C75"/>
    <w:rsid w:val="00FD32F8"/>
    <w:rsid w:val="00FD3536"/>
    <w:rsid w:val="00FD3DB9"/>
    <w:rsid w:val="00FD3F77"/>
    <w:rsid w:val="00FD41B3"/>
    <w:rsid w:val="00FD51DA"/>
    <w:rsid w:val="00FD5712"/>
    <w:rsid w:val="00FD6837"/>
    <w:rsid w:val="00FD78BB"/>
    <w:rsid w:val="00FD7D07"/>
    <w:rsid w:val="00FE028F"/>
    <w:rsid w:val="00FE0960"/>
    <w:rsid w:val="00FE0AB5"/>
    <w:rsid w:val="00FE0FEA"/>
    <w:rsid w:val="00FE2134"/>
    <w:rsid w:val="00FE3774"/>
    <w:rsid w:val="00FE4851"/>
    <w:rsid w:val="00FE490A"/>
    <w:rsid w:val="00FE55BC"/>
    <w:rsid w:val="00FE5AD3"/>
    <w:rsid w:val="00FE66CF"/>
    <w:rsid w:val="00FE6D9A"/>
    <w:rsid w:val="00FE6F17"/>
    <w:rsid w:val="00FE7402"/>
    <w:rsid w:val="00FE761C"/>
    <w:rsid w:val="00FE7629"/>
    <w:rsid w:val="00FF150C"/>
    <w:rsid w:val="00FF177C"/>
    <w:rsid w:val="00FF1FD5"/>
    <w:rsid w:val="00FF2795"/>
    <w:rsid w:val="00FF3454"/>
    <w:rsid w:val="00FF34C4"/>
    <w:rsid w:val="00FF46A5"/>
    <w:rsid w:val="00FF4F92"/>
    <w:rsid w:val="00FF50EE"/>
    <w:rsid w:val="00FF53BB"/>
    <w:rsid w:val="00FF5B86"/>
    <w:rsid w:val="00FF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F2EB"/>
  <w15:chartTrackingRefBased/>
  <w15:docId w15:val="{8B55AB22-A27E-4E26-B419-C17DD253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4A"/>
    <w:pPr>
      <w:spacing w:after="0" w:line="240" w:lineRule="auto"/>
    </w:pPr>
    <w:rPr>
      <w:rFonts w:ascii="Times New Roman" w:eastAsia="Times New Roman" w:hAnsi="Times New Roman" w:cs="Times New Roman"/>
      <w:sz w:val="24"/>
      <w:szCs w:val="24"/>
      <w:lang w:eastAsia="en-GB"/>
    </w:rPr>
  </w:style>
  <w:style w:type="paragraph" w:styleId="Titre1">
    <w:name w:val="heading 1"/>
    <w:basedOn w:val="Normal"/>
    <w:link w:val="Titre1Car"/>
    <w:uiPriority w:val="9"/>
    <w:qFormat/>
    <w:rsid w:val="004D5947"/>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641D6D"/>
    <w:pPr>
      <w:keepNext/>
      <w:keepLines/>
      <w:spacing w:before="120" w:after="120" w:line="480" w:lineRule="auto"/>
      <w:outlineLvl w:val="1"/>
    </w:pPr>
    <w:rPr>
      <w:rFonts w:eastAsiaTheme="majorEastAsia" w:cstheme="majorBidi"/>
      <w:b/>
      <w:bCs/>
      <w:szCs w:val="26"/>
      <w:lang w:eastAsia="zh-CN"/>
    </w:rPr>
  </w:style>
  <w:style w:type="paragraph" w:styleId="Titre3">
    <w:name w:val="heading 3"/>
    <w:basedOn w:val="Normal"/>
    <w:next w:val="Normal"/>
    <w:link w:val="Titre3Car"/>
    <w:uiPriority w:val="9"/>
    <w:unhideWhenUsed/>
    <w:qFormat/>
    <w:rsid w:val="00641D6D"/>
    <w:pPr>
      <w:keepNext/>
      <w:keepLines/>
      <w:spacing w:before="120" w:after="120" w:line="480" w:lineRule="auto"/>
      <w:outlineLvl w:val="2"/>
    </w:pPr>
    <w:rPr>
      <w:rFonts w:eastAsiaTheme="majorEastAsia" w:cstheme="majorBidi"/>
      <w:i/>
      <w:lang w:eastAsia="zh-CN"/>
    </w:rPr>
  </w:style>
  <w:style w:type="paragraph" w:styleId="Titre4">
    <w:name w:val="heading 4"/>
    <w:basedOn w:val="Normal"/>
    <w:next w:val="Normal"/>
    <w:link w:val="Titre4Car"/>
    <w:uiPriority w:val="9"/>
    <w:unhideWhenUsed/>
    <w:qFormat/>
    <w:rsid w:val="00641D6D"/>
    <w:pPr>
      <w:keepNext/>
      <w:keepLines/>
      <w:spacing w:before="40" w:after="120" w:line="480" w:lineRule="auto"/>
      <w:jc w:val="both"/>
      <w:outlineLvl w:val="3"/>
    </w:pPr>
    <w:rPr>
      <w:rFonts w:asciiTheme="majorHAnsi" w:eastAsiaTheme="majorEastAsia" w:hAnsiTheme="majorHAnsi" w:cstheme="majorBidi"/>
      <w:i/>
      <w:iCs/>
      <w:color w:val="2F5496" w:themeColor="accent1" w:themeShade="BF"/>
      <w:szCs w:val="22"/>
      <w:lang w:eastAsia="zh-CN"/>
    </w:rPr>
  </w:style>
  <w:style w:type="paragraph" w:styleId="Titre5">
    <w:name w:val="heading 5"/>
    <w:aliases w:val="Titre 5_Table"/>
    <w:basedOn w:val="Normal"/>
    <w:next w:val="Normal"/>
    <w:link w:val="Titre5Car"/>
    <w:uiPriority w:val="9"/>
    <w:unhideWhenUsed/>
    <w:qFormat/>
    <w:rsid w:val="00BF1B3B"/>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aliases w:val="Titre_Table_6"/>
    <w:basedOn w:val="Normal"/>
    <w:next w:val="Normal"/>
    <w:link w:val="Titre6Car"/>
    <w:uiPriority w:val="9"/>
    <w:unhideWhenUsed/>
    <w:qFormat/>
    <w:rsid w:val="00641D6D"/>
    <w:pPr>
      <w:keepNext/>
      <w:keepLines/>
      <w:spacing w:before="40" w:after="120" w:line="480" w:lineRule="auto"/>
      <w:jc w:val="center"/>
      <w:outlineLvl w:val="5"/>
    </w:pPr>
    <w:rPr>
      <w:rFonts w:eastAsiaTheme="majorEastAsia" w:cstheme="majorBidi"/>
      <w:b/>
      <w:szCs w:val="22"/>
      <w:lang w:eastAsia="zh-CN"/>
    </w:rPr>
  </w:style>
  <w:style w:type="paragraph" w:styleId="Titre7">
    <w:name w:val="heading 7"/>
    <w:aliases w:val="Titre 7_Table2"/>
    <w:basedOn w:val="Normal"/>
    <w:next w:val="Normal"/>
    <w:link w:val="Titre7Car"/>
    <w:uiPriority w:val="9"/>
    <w:unhideWhenUsed/>
    <w:qFormat/>
    <w:rsid w:val="00641D6D"/>
    <w:pPr>
      <w:keepNext/>
      <w:keepLines/>
      <w:spacing w:after="120" w:line="480" w:lineRule="auto"/>
      <w:jc w:val="both"/>
      <w:outlineLvl w:val="6"/>
    </w:pPr>
    <w:rPr>
      <w:bCs/>
      <w:szCs w:val="22"/>
      <w:lang w:eastAsia="zh-CN"/>
    </w:rPr>
  </w:style>
  <w:style w:type="paragraph" w:styleId="Titre8">
    <w:name w:val="heading 8"/>
    <w:basedOn w:val="Normal"/>
    <w:next w:val="Normal"/>
    <w:link w:val="Titre8Car"/>
    <w:uiPriority w:val="9"/>
    <w:unhideWhenUsed/>
    <w:qFormat/>
    <w:rsid w:val="00641D6D"/>
    <w:pPr>
      <w:keepNext/>
      <w:keepLines/>
      <w:spacing w:before="40" w:after="120" w:line="480" w:lineRule="auto"/>
      <w:jc w:val="both"/>
      <w:outlineLvl w:val="7"/>
    </w:pPr>
    <w:rPr>
      <w:rFonts w:asciiTheme="majorHAnsi" w:eastAsiaTheme="majorEastAsia" w:hAnsiTheme="majorHAnsi" w:cstheme="majorBidi"/>
      <w:color w:val="272727" w:themeColor="text1" w:themeTint="D8"/>
      <w:sz w:val="21"/>
      <w:szCs w:val="21"/>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5A4A"/>
    <w:rPr>
      <w:sz w:val="20"/>
      <w:szCs w:val="20"/>
    </w:rPr>
  </w:style>
  <w:style w:type="character" w:customStyle="1" w:styleId="NotedebasdepageCar">
    <w:name w:val="Note de bas de page Car"/>
    <w:basedOn w:val="Policepardfaut"/>
    <w:link w:val="Notedebasdepage"/>
    <w:uiPriority w:val="99"/>
    <w:rsid w:val="00245A4A"/>
    <w:rPr>
      <w:rFonts w:ascii="Times New Roman" w:eastAsia="Times New Roman" w:hAnsi="Times New Roman" w:cs="Times New Roman"/>
      <w:sz w:val="20"/>
      <w:szCs w:val="20"/>
      <w:lang w:val="en-GB" w:eastAsia="en-GB"/>
    </w:rPr>
  </w:style>
  <w:style w:type="character" w:styleId="Appelnotedebasdep">
    <w:name w:val="footnote reference"/>
    <w:basedOn w:val="Policepardfaut"/>
    <w:uiPriority w:val="99"/>
    <w:unhideWhenUsed/>
    <w:rsid w:val="00245A4A"/>
    <w:rPr>
      <w:vertAlign w:val="superscript"/>
    </w:rPr>
  </w:style>
  <w:style w:type="character" w:styleId="Lienhypertexte">
    <w:name w:val="Hyperlink"/>
    <w:basedOn w:val="Policepardfaut"/>
    <w:uiPriority w:val="99"/>
    <w:unhideWhenUsed/>
    <w:rsid w:val="00245A4A"/>
    <w:rPr>
      <w:color w:val="0000FF"/>
      <w:u w:val="single"/>
    </w:rPr>
  </w:style>
  <w:style w:type="paragraph" w:styleId="NormalWeb">
    <w:name w:val="Normal (Web)"/>
    <w:basedOn w:val="Normal"/>
    <w:uiPriority w:val="99"/>
    <w:unhideWhenUsed/>
    <w:rsid w:val="00245A4A"/>
    <w:pPr>
      <w:spacing w:before="100" w:beforeAutospacing="1" w:after="100" w:afterAutospacing="1"/>
    </w:pPr>
  </w:style>
  <w:style w:type="paragraph" w:styleId="PrformatHTML">
    <w:name w:val="HTML Preformatted"/>
    <w:basedOn w:val="Normal"/>
    <w:link w:val="PrformatHTMLCar"/>
    <w:uiPriority w:val="99"/>
    <w:semiHidden/>
    <w:unhideWhenUsed/>
    <w:rsid w:val="0024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245A4A"/>
    <w:rPr>
      <w:rFonts w:ascii="Courier New" w:eastAsia="Times New Roman" w:hAnsi="Courier New" w:cs="Courier New"/>
      <w:sz w:val="20"/>
      <w:szCs w:val="20"/>
      <w:lang w:val="en-GB" w:eastAsia="en-GB"/>
    </w:rPr>
  </w:style>
  <w:style w:type="character" w:customStyle="1" w:styleId="apple-converted-space">
    <w:name w:val="apple-converted-space"/>
    <w:basedOn w:val="Policepardfaut"/>
    <w:rsid w:val="00245A4A"/>
  </w:style>
  <w:style w:type="paragraph" w:styleId="Pieddepage">
    <w:name w:val="footer"/>
    <w:basedOn w:val="Normal"/>
    <w:link w:val="PieddepageCar"/>
    <w:uiPriority w:val="99"/>
    <w:unhideWhenUsed/>
    <w:rsid w:val="00245A4A"/>
    <w:pPr>
      <w:tabs>
        <w:tab w:val="center" w:pos="4513"/>
        <w:tab w:val="right" w:pos="9026"/>
      </w:tabs>
    </w:pPr>
  </w:style>
  <w:style w:type="character" w:customStyle="1" w:styleId="PieddepageCar">
    <w:name w:val="Pied de page Car"/>
    <w:basedOn w:val="Policepardfaut"/>
    <w:link w:val="Pieddepage"/>
    <w:uiPriority w:val="99"/>
    <w:rsid w:val="00245A4A"/>
    <w:rPr>
      <w:rFonts w:ascii="Times New Roman" w:eastAsia="Times New Roman" w:hAnsi="Times New Roman" w:cs="Times New Roman"/>
      <w:sz w:val="24"/>
      <w:szCs w:val="24"/>
      <w:lang w:val="en-GB" w:eastAsia="en-GB"/>
    </w:rPr>
  </w:style>
  <w:style w:type="character" w:styleId="Numrodepage">
    <w:name w:val="page number"/>
    <w:basedOn w:val="Policepardfaut"/>
    <w:uiPriority w:val="99"/>
    <w:semiHidden/>
    <w:unhideWhenUsed/>
    <w:rsid w:val="00245A4A"/>
  </w:style>
  <w:style w:type="paragraph" w:styleId="Textedebulles">
    <w:name w:val="Balloon Text"/>
    <w:basedOn w:val="Normal"/>
    <w:link w:val="TextedebullesCar"/>
    <w:uiPriority w:val="99"/>
    <w:semiHidden/>
    <w:unhideWhenUsed/>
    <w:rsid w:val="00245A4A"/>
    <w:rPr>
      <w:sz w:val="18"/>
      <w:szCs w:val="18"/>
    </w:rPr>
  </w:style>
  <w:style w:type="character" w:customStyle="1" w:styleId="TextedebullesCar">
    <w:name w:val="Texte de bulles Car"/>
    <w:basedOn w:val="Policepardfaut"/>
    <w:link w:val="Textedebulles"/>
    <w:uiPriority w:val="99"/>
    <w:semiHidden/>
    <w:rsid w:val="00245A4A"/>
    <w:rPr>
      <w:rFonts w:ascii="Times New Roman" w:eastAsia="Times New Roman" w:hAnsi="Times New Roman" w:cs="Times New Roman"/>
      <w:sz w:val="18"/>
      <w:szCs w:val="18"/>
      <w:lang w:val="en-GB" w:eastAsia="en-GB"/>
    </w:rPr>
  </w:style>
  <w:style w:type="character" w:styleId="Marquedecommentaire">
    <w:name w:val="annotation reference"/>
    <w:basedOn w:val="Policepardfaut"/>
    <w:uiPriority w:val="99"/>
    <w:unhideWhenUsed/>
    <w:rsid w:val="00245A4A"/>
    <w:rPr>
      <w:sz w:val="16"/>
      <w:szCs w:val="16"/>
    </w:rPr>
  </w:style>
  <w:style w:type="paragraph" w:styleId="Commentaire">
    <w:name w:val="annotation text"/>
    <w:basedOn w:val="Normal"/>
    <w:link w:val="CommentaireCar"/>
    <w:uiPriority w:val="99"/>
    <w:unhideWhenUsed/>
    <w:rsid w:val="00245A4A"/>
    <w:rPr>
      <w:sz w:val="20"/>
      <w:szCs w:val="20"/>
    </w:rPr>
  </w:style>
  <w:style w:type="character" w:customStyle="1" w:styleId="CommentaireCar">
    <w:name w:val="Commentaire Car"/>
    <w:basedOn w:val="Policepardfaut"/>
    <w:link w:val="Commentaire"/>
    <w:uiPriority w:val="99"/>
    <w:rsid w:val="00245A4A"/>
    <w:rPr>
      <w:rFonts w:ascii="Times New Roman" w:eastAsia="Times New Roman" w:hAnsi="Times New Roman"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245A4A"/>
    <w:rPr>
      <w:b/>
      <w:bCs/>
    </w:rPr>
  </w:style>
  <w:style w:type="character" w:customStyle="1" w:styleId="ObjetducommentaireCar">
    <w:name w:val="Objet du commentaire Car"/>
    <w:basedOn w:val="CommentaireCar"/>
    <w:link w:val="Objetducommentaire"/>
    <w:uiPriority w:val="99"/>
    <w:semiHidden/>
    <w:rsid w:val="00245A4A"/>
    <w:rPr>
      <w:rFonts w:ascii="Times New Roman" w:eastAsia="Times New Roman" w:hAnsi="Times New Roman" w:cs="Times New Roman"/>
      <w:b/>
      <w:bCs/>
      <w:sz w:val="20"/>
      <w:szCs w:val="20"/>
      <w:lang w:val="en-GB" w:eastAsia="en-GB"/>
    </w:rPr>
  </w:style>
  <w:style w:type="character" w:styleId="CitationHTML">
    <w:name w:val="HTML Cite"/>
    <w:basedOn w:val="Policepardfaut"/>
    <w:uiPriority w:val="99"/>
    <w:semiHidden/>
    <w:unhideWhenUsed/>
    <w:rsid w:val="00245A4A"/>
    <w:rPr>
      <w:i/>
      <w:iCs/>
    </w:rPr>
  </w:style>
  <w:style w:type="character" w:styleId="Lienhypertextesuivivisit">
    <w:name w:val="FollowedHyperlink"/>
    <w:basedOn w:val="Policepardfaut"/>
    <w:uiPriority w:val="99"/>
    <w:semiHidden/>
    <w:unhideWhenUsed/>
    <w:rsid w:val="00245A4A"/>
    <w:rPr>
      <w:color w:val="954F72" w:themeColor="followedHyperlink"/>
      <w:u w:val="single"/>
    </w:rPr>
  </w:style>
  <w:style w:type="paragraph" w:styleId="Paragraphedeliste">
    <w:name w:val="List Paragraph"/>
    <w:basedOn w:val="Normal"/>
    <w:link w:val="ParagraphedelisteCar"/>
    <w:uiPriority w:val="1"/>
    <w:qFormat/>
    <w:rsid w:val="00245A4A"/>
    <w:pPr>
      <w:ind w:left="720"/>
      <w:contextualSpacing/>
    </w:pPr>
  </w:style>
  <w:style w:type="character" w:styleId="Textedelespacerserv">
    <w:name w:val="Placeholder Text"/>
    <w:basedOn w:val="Policepardfaut"/>
    <w:uiPriority w:val="99"/>
    <w:semiHidden/>
    <w:rsid w:val="00245A4A"/>
    <w:rPr>
      <w:color w:val="808080"/>
    </w:rPr>
  </w:style>
  <w:style w:type="paragraph" w:styleId="En-tte">
    <w:name w:val="header"/>
    <w:basedOn w:val="Normal"/>
    <w:link w:val="En-tteCar"/>
    <w:uiPriority w:val="99"/>
    <w:unhideWhenUsed/>
    <w:rsid w:val="00245A4A"/>
    <w:pPr>
      <w:tabs>
        <w:tab w:val="center" w:pos="4513"/>
        <w:tab w:val="right" w:pos="9026"/>
      </w:tabs>
    </w:pPr>
  </w:style>
  <w:style w:type="character" w:customStyle="1" w:styleId="En-tteCar">
    <w:name w:val="En-tête Car"/>
    <w:basedOn w:val="Policepardfaut"/>
    <w:link w:val="En-tte"/>
    <w:uiPriority w:val="99"/>
    <w:rsid w:val="00245A4A"/>
    <w:rPr>
      <w:rFonts w:ascii="Times New Roman" w:eastAsia="Times New Roman" w:hAnsi="Times New Roman" w:cs="Times New Roman"/>
      <w:sz w:val="24"/>
      <w:szCs w:val="24"/>
      <w:lang w:val="en-GB" w:eastAsia="en-GB"/>
    </w:rPr>
  </w:style>
  <w:style w:type="paragraph" w:styleId="Rvision">
    <w:name w:val="Revision"/>
    <w:hidden/>
    <w:uiPriority w:val="99"/>
    <w:semiHidden/>
    <w:rsid w:val="00245A4A"/>
    <w:pPr>
      <w:spacing w:after="0" w:line="240" w:lineRule="auto"/>
    </w:pPr>
    <w:rPr>
      <w:rFonts w:ascii="Times New Roman" w:eastAsia="Times New Roman" w:hAnsi="Times New Roman" w:cs="Times New Roman"/>
      <w:sz w:val="24"/>
      <w:szCs w:val="24"/>
      <w:lang w:val="en-GB" w:eastAsia="en-GB"/>
    </w:rPr>
  </w:style>
  <w:style w:type="character" w:styleId="Accentuation">
    <w:name w:val="Emphasis"/>
    <w:basedOn w:val="Policepardfaut"/>
    <w:uiPriority w:val="20"/>
    <w:qFormat/>
    <w:rsid w:val="00245A4A"/>
    <w:rPr>
      <w:i/>
      <w:iCs/>
    </w:rPr>
  </w:style>
  <w:style w:type="character" w:customStyle="1" w:styleId="UnresolvedMention1">
    <w:name w:val="Unresolved Mention1"/>
    <w:basedOn w:val="Policepardfaut"/>
    <w:uiPriority w:val="99"/>
    <w:semiHidden/>
    <w:unhideWhenUsed/>
    <w:rsid w:val="00245A4A"/>
    <w:rPr>
      <w:color w:val="605E5C"/>
      <w:shd w:val="clear" w:color="auto" w:fill="E1DFDD"/>
    </w:rPr>
  </w:style>
  <w:style w:type="character" w:customStyle="1" w:styleId="Titre1Car">
    <w:name w:val="Titre 1 Car"/>
    <w:basedOn w:val="Policepardfaut"/>
    <w:link w:val="Titre1"/>
    <w:uiPriority w:val="9"/>
    <w:rsid w:val="004D5947"/>
    <w:rPr>
      <w:rFonts w:ascii="Times New Roman" w:eastAsia="Times New Roman" w:hAnsi="Times New Roman" w:cs="Times New Roman"/>
      <w:b/>
      <w:bCs/>
      <w:kern w:val="36"/>
      <w:sz w:val="48"/>
      <w:szCs w:val="48"/>
      <w:lang w:eastAsia="en-GB"/>
    </w:rPr>
  </w:style>
  <w:style w:type="character" w:customStyle="1" w:styleId="UnresolvedMention2">
    <w:name w:val="Unresolved Mention2"/>
    <w:basedOn w:val="Policepardfaut"/>
    <w:uiPriority w:val="99"/>
    <w:semiHidden/>
    <w:unhideWhenUsed/>
    <w:rsid w:val="005901C3"/>
    <w:rPr>
      <w:color w:val="605E5C"/>
      <w:shd w:val="clear" w:color="auto" w:fill="E1DFDD"/>
    </w:rPr>
  </w:style>
  <w:style w:type="paragraph" w:customStyle="1" w:styleId="EndNoteBibliography">
    <w:name w:val="EndNote Bibliography"/>
    <w:basedOn w:val="Normal"/>
    <w:link w:val="EndNoteBibliographyChar"/>
    <w:rsid w:val="001D016B"/>
    <w:pPr>
      <w:spacing w:after="120"/>
      <w:jc w:val="both"/>
    </w:pPr>
    <w:rPr>
      <w:rFonts w:eastAsiaTheme="minorEastAsia"/>
      <w:noProof/>
      <w:sz w:val="20"/>
      <w:szCs w:val="22"/>
      <w:lang w:eastAsia="zh-CN"/>
    </w:rPr>
  </w:style>
  <w:style w:type="character" w:customStyle="1" w:styleId="EndNoteBibliographyChar">
    <w:name w:val="EndNote Bibliography Char"/>
    <w:basedOn w:val="Policepardfaut"/>
    <w:link w:val="EndNoteBibliography"/>
    <w:rsid w:val="001D016B"/>
    <w:rPr>
      <w:rFonts w:ascii="Times New Roman" w:eastAsiaTheme="minorEastAsia" w:hAnsi="Times New Roman" w:cs="Times New Roman"/>
      <w:noProof/>
      <w:sz w:val="20"/>
      <w:lang w:eastAsia="zh-CN"/>
    </w:rPr>
  </w:style>
  <w:style w:type="character" w:customStyle="1" w:styleId="Titre5Car">
    <w:name w:val="Titre 5 Car"/>
    <w:aliases w:val="Titre 5_Table Car"/>
    <w:basedOn w:val="Policepardfaut"/>
    <w:link w:val="Titre5"/>
    <w:uiPriority w:val="9"/>
    <w:rsid w:val="00BF1B3B"/>
    <w:rPr>
      <w:rFonts w:asciiTheme="majorHAnsi" w:eastAsiaTheme="majorEastAsia" w:hAnsiTheme="majorHAnsi" w:cstheme="majorBidi"/>
      <w:color w:val="2F5496" w:themeColor="accent1" w:themeShade="BF"/>
      <w:sz w:val="24"/>
      <w:szCs w:val="24"/>
      <w:lang w:val="en-GB" w:eastAsia="en-GB"/>
    </w:rPr>
  </w:style>
  <w:style w:type="table" w:styleId="Grilledutableau">
    <w:name w:val="Table Grid"/>
    <w:basedOn w:val="TableauNormal"/>
    <w:uiPriority w:val="39"/>
    <w:rsid w:val="007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Car"/>
    <w:qFormat/>
    <w:rsid w:val="00D677EC"/>
    <w:pPr>
      <w:spacing w:after="120" w:line="480" w:lineRule="auto"/>
      <w:ind w:firstLine="397"/>
      <w:jc w:val="both"/>
    </w:pPr>
    <w:rPr>
      <w:rFonts w:eastAsiaTheme="minorEastAsia"/>
      <w:szCs w:val="20"/>
      <w:lang w:eastAsia="zh-CN"/>
    </w:rPr>
  </w:style>
  <w:style w:type="character" w:customStyle="1" w:styleId="Normal2Car">
    <w:name w:val="Normal2 Car"/>
    <w:link w:val="Normal2"/>
    <w:locked/>
    <w:rsid w:val="00D677EC"/>
    <w:rPr>
      <w:rFonts w:ascii="Times New Roman" w:eastAsiaTheme="minorEastAsia" w:hAnsi="Times New Roman" w:cs="Times New Roman"/>
      <w:sz w:val="24"/>
      <w:szCs w:val="20"/>
      <w:lang w:eastAsia="zh-CN"/>
    </w:rPr>
  </w:style>
  <w:style w:type="character" w:customStyle="1" w:styleId="Titre2Car">
    <w:name w:val="Titre 2 Car"/>
    <w:basedOn w:val="Policepardfaut"/>
    <w:link w:val="Titre2"/>
    <w:uiPriority w:val="9"/>
    <w:rsid w:val="00641D6D"/>
    <w:rPr>
      <w:rFonts w:ascii="Times New Roman" w:eastAsiaTheme="majorEastAsia" w:hAnsi="Times New Roman" w:cstheme="majorBidi"/>
      <w:b/>
      <w:bCs/>
      <w:sz w:val="24"/>
      <w:szCs w:val="26"/>
      <w:lang w:eastAsia="zh-CN"/>
    </w:rPr>
  </w:style>
  <w:style w:type="character" w:customStyle="1" w:styleId="Titre3Car">
    <w:name w:val="Titre 3 Car"/>
    <w:basedOn w:val="Policepardfaut"/>
    <w:link w:val="Titre3"/>
    <w:uiPriority w:val="9"/>
    <w:rsid w:val="00641D6D"/>
    <w:rPr>
      <w:rFonts w:ascii="Times New Roman" w:eastAsiaTheme="majorEastAsia" w:hAnsi="Times New Roman" w:cstheme="majorBidi"/>
      <w:i/>
      <w:sz w:val="24"/>
      <w:szCs w:val="24"/>
      <w:lang w:eastAsia="zh-CN"/>
    </w:rPr>
  </w:style>
  <w:style w:type="character" w:customStyle="1" w:styleId="Titre4Car">
    <w:name w:val="Titre 4 Car"/>
    <w:basedOn w:val="Policepardfaut"/>
    <w:link w:val="Titre4"/>
    <w:uiPriority w:val="9"/>
    <w:rsid w:val="00641D6D"/>
    <w:rPr>
      <w:rFonts w:asciiTheme="majorHAnsi" w:eastAsiaTheme="majorEastAsia" w:hAnsiTheme="majorHAnsi" w:cstheme="majorBidi"/>
      <w:i/>
      <w:iCs/>
      <w:color w:val="2F5496" w:themeColor="accent1" w:themeShade="BF"/>
      <w:sz w:val="24"/>
      <w:lang w:eastAsia="zh-CN"/>
    </w:rPr>
  </w:style>
  <w:style w:type="character" w:customStyle="1" w:styleId="Titre6Car">
    <w:name w:val="Titre 6 Car"/>
    <w:aliases w:val="Titre_Table_6 Car"/>
    <w:basedOn w:val="Policepardfaut"/>
    <w:link w:val="Titre6"/>
    <w:uiPriority w:val="9"/>
    <w:rsid w:val="00641D6D"/>
    <w:rPr>
      <w:rFonts w:ascii="Times New Roman" w:eastAsiaTheme="majorEastAsia" w:hAnsi="Times New Roman" w:cstheme="majorBidi"/>
      <w:b/>
      <w:sz w:val="24"/>
      <w:lang w:eastAsia="zh-CN"/>
    </w:rPr>
  </w:style>
  <w:style w:type="character" w:customStyle="1" w:styleId="Titre7Car">
    <w:name w:val="Titre 7 Car"/>
    <w:aliases w:val="Titre 7_Table2 Car"/>
    <w:basedOn w:val="Policepardfaut"/>
    <w:link w:val="Titre7"/>
    <w:uiPriority w:val="9"/>
    <w:rsid w:val="00641D6D"/>
    <w:rPr>
      <w:rFonts w:ascii="Times New Roman" w:eastAsia="Times New Roman" w:hAnsi="Times New Roman" w:cs="Times New Roman"/>
      <w:bCs/>
      <w:sz w:val="24"/>
      <w:lang w:eastAsia="zh-CN"/>
    </w:rPr>
  </w:style>
  <w:style w:type="character" w:customStyle="1" w:styleId="Titre8Car">
    <w:name w:val="Titre 8 Car"/>
    <w:basedOn w:val="Policepardfaut"/>
    <w:link w:val="Titre8"/>
    <w:uiPriority w:val="9"/>
    <w:rsid w:val="00641D6D"/>
    <w:rPr>
      <w:rFonts w:asciiTheme="majorHAnsi" w:eastAsiaTheme="majorEastAsia" w:hAnsiTheme="majorHAnsi" w:cstheme="majorBidi"/>
      <w:color w:val="272727" w:themeColor="text1" w:themeTint="D8"/>
      <w:sz w:val="21"/>
      <w:szCs w:val="21"/>
      <w:lang w:eastAsia="zh-CN"/>
    </w:rPr>
  </w:style>
  <w:style w:type="paragraph" w:customStyle="1" w:styleId="Normal3">
    <w:name w:val="Normal3"/>
    <w:basedOn w:val="Normal2"/>
    <w:qFormat/>
    <w:rsid w:val="00641D6D"/>
    <w:pPr>
      <w:spacing w:after="0" w:line="240" w:lineRule="auto"/>
      <w:ind w:firstLine="0"/>
    </w:pPr>
    <w:rPr>
      <w:sz w:val="20"/>
    </w:rPr>
  </w:style>
  <w:style w:type="character" w:customStyle="1" w:styleId="ParagraphedelisteCar">
    <w:name w:val="Paragraphe de liste Car"/>
    <w:basedOn w:val="Policepardfaut"/>
    <w:link w:val="Paragraphedeliste"/>
    <w:rsid w:val="00641D6D"/>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641D6D"/>
    <w:pPr>
      <w:spacing w:after="120" w:line="480" w:lineRule="auto"/>
      <w:jc w:val="center"/>
    </w:pPr>
    <w:rPr>
      <w:rFonts w:eastAsiaTheme="minorEastAsia"/>
      <w:noProof/>
      <w:sz w:val="20"/>
      <w:szCs w:val="20"/>
      <w:lang w:eastAsia="zh-CN"/>
    </w:rPr>
  </w:style>
  <w:style w:type="character" w:customStyle="1" w:styleId="EndNoteBibliographyTitleChar">
    <w:name w:val="EndNote Bibliography Title Char"/>
    <w:basedOn w:val="Normal2Car"/>
    <w:link w:val="EndNoteBibliographyTitle"/>
    <w:rsid w:val="00641D6D"/>
    <w:rPr>
      <w:rFonts w:ascii="Times New Roman" w:eastAsiaTheme="minorEastAsia" w:hAnsi="Times New Roman" w:cs="Times New Roman"/>
      <w:noProof/>
      <w:sz w:val="20"/>
      <w:szCs w:val="20"/>
      <w:lang w:eastAsia="zh-CN"/>
    </w:rPr>
  </w:style>
  <w:style w:type="character" w:customStyle="1" w:styleId="nlmstring-name">
    <w:name w:val="nlm_string-name"/>
    <w:basedOn w:val="Policepardfaut"/>
    <w:rsid w:val="00641D6D"/>
  </w:style>
  <w:style w:type="character" w:customStyle="1" w:styleId="journalname">
    <w:name w:val="journalname"/>
    <w:basedOn w:val="Policepardfaut"/>
    <w:rsid w:val="00641D6D"/>
  </w:style>
  <w:style w:type="character" w:customStyle="1" w:styleId="year">
    <w:name w:val="year"/>
    <w:basedOn w:val="Policepardfaut"/>
    <w:rsid w:val="00641D6D"/>
  </w:style>
  <w:style w:type="character" w:customStyle="1" w:styleId="volume">
    <w:name w:val="volume"/>
    <w:basedOn w:val="Policepardfaut"/>
    <w:rsid w:val="00641D6D"/>
  </w:style>
  <w:style w:type="character" w:customStyle="1" w:styleId="issue">
    <w:name w:val="issue"/>
    <w:basedOn w:val="Policepardfaut"/>
    <w:rsid w:val="00641D6D"/>
  </w:style>
  <w:style w:type="character" w:customStyle="1" w:styleId="page">
    <w:name w:val="page"/>
    <w:basedOn w:val="Policepardfaut"/>
    <w:rsid w:val="00641D6D"/>
  </w:style>
  <w:style w:type="paragraph" w:customStyle="1" w:styleId="specialissue">
    <w:name w:val="specialissue"/>
    <w:basedOn w:val="Normal"/>
    <w:rsid w:val="00641D6D"/>
    <w:pPr>
      <w:spacing w:before="100" w:beforeAutospacing="1" w:after="100" w:afterAutospacing="1" w:line="480" w:lineRule="auto"/>
      <w:jc w:val="both"/>
    </w:pPr>
  </w:style>
  <w:style w:type="paragraph" w:customStyle="1" w:styleId="articledetails">
    <w:name w:val="articledetails"/>
    <w:basedOn w:val="Normal"/>
    <w:rsid w:val="00641D6D"/>
    <w:pPr>
      <w:spacing w:before="100" w:beforeAutospacing="1" w:after="100" w:afterAutospacing="1" w:line="480" w:lineRule="auto"/>
      <w:jc w:val="both"/>
    </w:pPr>
  </w:style>
  <w:style w:type="character" w:customStyle="1" w:styleId="citationbook">
    <w:name w:val="citation book"/>
    <w:uiPriority w:val="99"/>
    <w:rsid w:val="00641D6D"/>
  </w:style>
  <w:style w:type="paragraph" w:customStyle="1" w:styleId="Normal4">
    <w:name w:val="Normal4"/>
    <w:basedOn w:val="Normal"/>
    <w:qFormat/>
    <w:rsid w:val="00641D6D"/>
    <w:pPr>
      <w:spacing w:after="120" w:line="480" w:lineRule="auto"/>
      <w:jc w:val="both"/>
    </w:pPr>
    <w:rPr>
      <w:sz w:val="20"/>
      <w:lang w:eastAsia="fr-FR"/>
    </w:rPr>
  </w:style>
  <w:style w:type="character" w:customStyle="1" w:styleId="cit-title6">
    <w:name w:val="cit-title6"/>
    <w:basedOn w:val="Policepardfaut"/>
    <w:rsid w:val="00641D6D"/>
  </w:style>
  <w:style w:type="character" w:customStyle="1" w:styleId="site-title">
    <w:name w:val="site-title"/>
    <w:basedOn w:val="Policepardfaut"/>
    <w:rsid w:val="00641D6D"/>
  </w:style>
  <w:style w:type="character" w:customStyle="1" w:styleId="cit-print-date2">
    <w:name w:val="cit-print-date2"/>
    <w:basedOn w:val="Policepardfaut"/>
    <w:rsid w:val="00641D6D"/>
  </w:style>
  <w:style w:type="character" w:customStyle="1" w:styleId="cit-vol2">
    <w:name w:val="cit-vol2"/>
    <w:basedOn w:val="Policepardfaut"/>
    <w:rsid w:val="00641D6D"/>
  </w:style>
  <w:style w:type="character" w:customStyle="1" w:styleId="cit-sep2">
    <w:name w:val="cit-sep2"/>
    <w:basedOn w:val="Policepardfaut"/>
    <w:rsid w:val="00641D6D"/>
  </w:style>
  <w:style w:type="character" w:customStyle="1" w:styleId="cit-first-page">
    <w:name w:val="cit-first-page"/>
    <w:basedOn w:val="Policepardfaut"/>
    <w:rsid w:val="00641D6D"/>
  </w:style>
  <w:style w:type="character" w:customStyle="1" w:styleId="cit-last-page2">
    <w:name w:val="cit-last-page2"/>
    <w:basedOn w:val="Policepardfaut"/>
    <w:rsid w:val="00641D6D"/>
  </w:style>
  <w:style w:type="character" w:customStyle="1" w:styleId="cit-auth3">
    <w:name w:val="cit-auth3"/>
    <w:basedOn w:val="Policepardfaut"/>
    <w:rsid w:val="00641D6D"/>
  </w:style>
  <w:style w:type="character" w:customStyle="1" w:styleId="search-result-highlight1">
    <w:name w:val="search-result-highlight1"/>
    <w:basedOn w:val="Policepardfaut"/>
    <w:rsid w:val="00641D6D"/>
    <w:rPr>
      <w:b/>
      <w:bCs/>
      <w:color w:val="666666"/>
    </w:rPr>
  </w:style>
  <w:style w:type="character" w:customStyle="1" w:styleId="cit-auth2">
    <w:name w:val="cit-auth2"/>
    <w:basedOn w:val="Policepardfaut"/>
    <w:rsid w:val="00641D6D"/>
  </w:style>
  <w:style w:type="character" w:customStyle="1" w:styleId="cit-sep3">
    <w:name w:val="cit-sep3"/>
    <w:basedOn w:val="Policepardfaut"/>
    <w:rsid w:val="00641D6D"/>
  </w:style>
  <w:style w:type="character" w:customStyle="1" w:styleId="cit-issue">
    <w:name w:val="cit-issue"/>
    <w:basedOn w:val="Policepardfaut"/>
    <w:rsid w:val="00641D6D"/>
  </w:style>
  <w:style w:type="character" w:customStyle="1" w:styleId="cit-ahead-of-print-date">
    <w:name w:val="cit-ahead-of-print-date"/>
    <w:basedOn w:val="Policepardfaut"/>
    <w:rsid w:val="00641D6D"/>
  </w:style>
  <w:style w:type="character" w:customStyle="1" w:styleId="cit-first-element3">
    <w:name w:val="cit-first-element3"/>
    <w:basedOn w:val="Policepardfaut"/>
    <w:rsid w:val="00641D6D"/>
  </w:style>
  <w:style w:type="paragraph" w:customStyle="1" w:styleId="Default">
    <w:name w:val="Default"/>
    <w:rsid w:val="00641D6D"/>
    <w:pPr>
      <w:autoSpaceDE w:val="0"/>
      <w:autoSpaceDN w:val="0"/>
      <w:adjustRightInd w:val="0"/>
      <w:spacing w:after="0" w:line="240" w:lineRule="auto"/>
    </w:pPr>
    <w:rPr>
      <w:rFonts w:ascii="GillSans" w:eastAsia="SimSun" w:hAnsi="GillSans" w:cs="GillSans"/>
      <w:color w:val="000000"/>
      <w:sz w:val="24"/>
      <w:szCs w:val="24"/>
      <w:lang w:val="en-GB"/>
    </w:rPr>
  </w:style>
  <w:style w:type="table" w:customStyle="1" w:styleId="TableGrid">
    <w:name w:val="TableGrid"/>
    <w:rsid w:val="00641D6D"/>
    <w:pPr>
      <w:spacing w:after="0" w:line="240" w:lineRule="auto"/>
    </w:pPr>
    <w:rPr>
      <w:rFonts w:eastAsiaTheme="minorEastAsia"/>
    </w:rPr>
    <w:tblPr>
      <w:tblCellMar>
        <w:top w:w="0" w:type="dxa"/>
        <w:left w:w="0" w:type="dxa"/>
        <w:bottom w:w="0" w:type="dxa"/>
        <w:right w:w="0" w:type="dxa"/>
      </w:tblCellMar>
    </w:tblPr>
  </w:style>
  <w:style w:type="paragraph" w:styleId="TM1">
    <w:name w:val="toc 1"/>
    <w:basedOn w:val="Normal"/>
    <w:next w:val="Normal"/>
    <w:autoRedefine/>
    <w:uiPriority w:val="39"/>
    <w:unhideWhenUsed/>
    <w:rsid w:val="00641D6D"/>
    <w:pPr>
      <w:tabs>
        <w:tab w:val="right" w:leader="dot" w:pos="9352"/>
      </w:tabs>
      <w:spacing w:after="120" w:line="480" w:lineRule="auto"/>
      <w:jc w:val="both"/>
    </w:pPr>
    <w:rPr>
      <w:rFonts w:eastAsiaTheme="minorEastAsia" w:cstheme="minorBidi"/>
      <w:szCs w:val="22"/>
      <w:lang w:eastAsia="zh-CN"/>
    </w:rPr>
  </w:style>
  <w:style w:type="paragraph" w:styleId="TM2">
    <w:name w:val="toc 2"/>
    <w:basedOn w:val="Normal"/>
    <w:next w:val="Normal"/>
    <w:autoRedefine/>
    <w:uiPriority w:val="39"/>
    <w:unhideWhenUsed/>
    <w:rsid w:val="00641D6D"/>
    <w:pPr>
      <w:spacing w:after="100" w:line="480" w:lineRule="auto"/>
      <w:ind w:left="240"/>
      <w:jc w:val="both"/>
    </w:pPr>
    <w:rPr>
      <w:rFonts w:eastAsiaTheme="minorEastAsia" w:cstheme="minorBidi"/>
      <w:szCs w:val="22"/>
      <w:lang w:eastAsia="zh-CN"/>
    </w:rPr>
  </w:style>
  <w:style w:type="paragraph" w:styleId="TM3">
    <w:name w:val="toc 3"/>
    <w:basedOn w:val="Normal"/>
    <w:next w:val="Normal"/>
    <w:autoRedefine/>
    <w:uiPriority w:val="39"/>
    <w:unhideWhenUsed/>
    <w:rsid w:val="00641D6D"/>
    <w:pPr>
      <w:spacing w:after="100" w:line="480" w:lineRule="auto"/>
      <w:ind w:left="480"/>
      <w:jc w:val="both"/>
    </w:pPr>
    <w:rPr>
      <w:rFonts w:eastAsiaTheme="minorEastAsia" w:cstheme="minorBidi"/>
      <w:szCs w:val="22"/>
      <w:lang w:eastAsia="zh-CN"/>
    </w:rPr>
  </w:style>
  <w:style w:type="paragraph" w:customStyle="1" w:styleId="msonormal0">
    <w:name w:val="msonormal"/>
    <w:basedOn w:val="Normal"/>
    <w:rsid w:val="00641D6D"/>
    <w:pPr>
      <w:spacing w:before="100" w:beforeAutospacing="1" w:after="100" w:afterAutospacing="1"/>
      <w:jc w:val="both"/>
    </w:pPr>
    <w:rPr>
      <w:lang w:eastAsia="zh-CN"/>
    </w:rPr>
  </w:style>
  <w:style w:type="paragraph" w:styleId="Sansinterligne">
    <w:name w:val="No Spacing"/>
    <w:uiPriority w:val="1"/>
    <w:qFormat/>
    <w:rsid w:val="00641D6D"/>
    <w:pPr>
      <w:spacing w:after="0" w:line="480" w:lineRule="auto"/>
      <w:ind w:firstLine="567"/>
      <w:jc w:val="both"/>
    </w:pPr>
    <w:rPr>
      <w:rFonts w:ascii="Times New Roman" w:eastAsia="SimSun" w:hAnsi="Times New Roman" w:cs="Times New Roman"/>
      <w:sz w:val="24"/>
    </w:rPr>
  </w:style>
  <w:style w:type="table" w:customStyle="1" w:styleId="TableGrid1">
    <w:name w:val="Table Grid1"/>
    <w:basedOn w:val="TableauNormal"/>
    <w:next w:val="Grilledutableau"/>
    <w:uiPriority w:val="39"/>
    <w:rsid w:val="00641D6D"/>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TitleCar">
    <w:name w:val="EndNote Bibliography Title Car"/>
    <w:basedOn w:val="Policepardfaut"/>
    <w:rsid w:val="00641D6D"/>
    <w:rPr>
      <w:rFonts w:ascii="Times New Roman" w:hAnsi="Times New Roman" w:cs="Times New Roman"/>
      <w:noProof/>
      <w:sz w:val="24"/>
    </w:rPr>
  </w:style>
  <w:style w:type="character" w:customStyle="1" w:styleId="EndNoteBibliographyCar">
    <w:name w:val="EndNote Bibliography Car"/>
    <w:basedOn w:val="Policepardfaut"/>
    <w:rsid w:val="00641D6D"/>
    <w:rPr>
      <w:rFonts w:ascii="Times New Roman" w:hAnsi="Times New Roman" w:cs="Times New Roman"/>
      <w:noProof/>
      <w:sz w:val="24"/>
    </w:rPr>
  </w:style>
  <w:style w:type="character" w:customStyle="1" w:styleId="Mentionnonrsolue1">
    <w:name w:val="Mention non résolue1"/>
    <w:basedOn w:val="Policepardfaut"/>
    <w:uiPriority w:val="99"/>
    <w:semiHidden/>
    <w:unhideWhenUsed/>
    <w:rsid w:val="00641D6D"/>
    <w:rPr>
      <w:color w:val="605E5C"/>
      <w:shd w:val="clear" w:color="auto" w:fill="E1DFDD"/>
    </w:rPr>
  </w:style>
  <w:style w:type="character" w:styleId="lev">
    <w:name w:val="Strong"/>
    <w:basedOn w:val="Policepardfaut"/>
    <w:uiPriority w:val="22"/>
    <w:qFormat/>
    <w:rsid w:val="00641D6D"/>
    <w:rPr>
      <w:b/>
      <w:bCs/>
    </w:rPr>
  </w:style>
  <w:style w:type="character" w:customStyle="1" w:styleId="Mentionnonrsolue2">
    <w:name w:val="Mention non résolue2"/>
    <w:basedOn w:val="Policepardfaut"/>
    <w:uiPriority w:val="99"/>
    <w:semiHidden/>
    <w:unhideWhenUsed/>
    <w:rsid w:val="00641D6D"/>
    <w:rPr>
      <w:color w:val="605E5C"/>
      <w:shd w:val="clear" w:color="auto" w:fill="E1DFDD"/>
    </w:rPr>
  </w:style>
  <w:style w:type="character" w:customStyle="1" w:styleId="Mentionnonrsolue3">
    <w:name w:val="Mention non résolue3"/>
    <w:basedOn w:val="Policepardfaut"/>
    <w:uiPriority w:val="99"/>
    <w:semiHidden/>
    <w:unhideWhenUsed/>
    <w:rsid w:val="00641D6D"/>
    <w:rPr>
      <w:color w:val="605E5C"/>
      <w:shd w:val="clear" w:color="auto" w:fill="E1DFDD"/>
    </w:rPr>
  </w:style>
  <w:style w:type="character" w:customStyle="1" w:styleId="Mentionnonrsolue4">
    <w:name w:val="Mention non résolue4"/>
    <w:basedOn w:val="Policepardfaut"/>
    <w:uiPriority w:val="99"/>
    <w:semiHidden/>
    <w:unhideWhenUsed/>
    <w:rsid w:val="00641D6D"/>
    <w:rPr>
      <w:color w:val="605E5C"/>
      <w:shd w:val="clear" w:color="auto" w:fill="E1DFDD"/>
    </w:rPr>
  </w:style>
  <w:style w:type="character" w:customStyle="1" w:styleId="Mentionnonrsolue5">
    <w:name w:val="Mention non résolue5"/>
    <w:basedOn w:val="Policepardfaut"/>
    <w:uiPriority w:val="99"/>
    <w:semiHidden/>
    <w:unhideWhenUsed/>
    <w:rsid w:val="00641D6D"/>
    <w:rPr>
      <w:color w:val="605E5C"/>
      <w:shd w:val="clear" w:color="auto" w:fill="E1DFDD"/>
    </w:rPr>
  </w:style>
  <w:style w:type="paragraph" w:customStyle="1" w:styleId="TitreIA">
    <w:name w:val="Titre IA"/>
    <w:basedOn w:val="Titre1"/>
    <w:link w:val="TitreIACar"/>
    <w:qFormat/>
    <w:rsid w:val="00641D6D"/>
    <w:pPr>
      <w:keepNext/>
      <w:numPr>
        <w:numId w:val="20"/>
      </w:numPr>
      <w:spacing w:before="0" w:beforeAutospacing="0" w:after="0" w:afterAutospacing="0" w:line="480" w:lineRule="auto"/>
      <w:ind w:left="360"/>
      <w:jc w:val="center"/>
    </w:pPr>
    <w:rPr>
      <w:sz w:val="28"/>
      <w:szCs w:val="24"/>
      <w:lang w:eastAsia="fr-FR"/>
    </w:rPr>
  </w:style>
  <w:style w:type="character" w:customStyle="1" w:styleId="TitreIACar">
    <w:name w:val="Titre IA Car"/>
    <w:basedOn w:val="Titre1Car"/>
    <w:link w:val="TitreIA"/>
    <w:rsid w:val="00641D6D"/>
    <w:rPr>
      <w:rFonts w:ascii="Times New Roman" w:eastAsia="Times New Roman" w:hAnsi="Times New Roman" w:cs="Times New Roman"/>
      <w:b/>
      <w:bCs/>
      <w:kern w:val="36"/>
      <w:sz w:val="28"/>
      <w:szCs w:val="24"/>
      <w:lang w:eastAsia="fr-FR"/>
    </w:rPr>
  </w:style>
  <w:style w:type="paragraph" w:styleId="Notedefin">
    <w:name w:val="endnote text"/>
    <w:basedOn w:val="Normal"/>
    <w:link w:val="NotedefinCar"/>
    <w:uiPriority w:val="99"/>
    <w:semiHidden/>
    <w:unhideWhenUsed/>
    <w:rsid w:val="00641D6D"/>
    <w:pPr>
      <w:jc w:val="both"/>
    </w:pPr>
    <w:rPr>
      <w:rFonts w:eastAsiaTheme="minorEastAsia" w:cstheme="minorBidi"/>
      <w:sz w:val="20"/>
      <w:szCs w:val="20"/>
      <w:lang w:eastAsia="zh-CN"/>
    </w:rPr>
  </w:style>
  <w:style w:type="character" w:customStyle="1" w:styleId="NotedefinCar">
    <w:name w:val="Note de fin Car"/>
    <w:basedOn w:val="Policepardfaut"/>
    <w:link w:val="Notedefin"/>
    <w:uiPriority w:val="99"/>
    <w:semiHidden/>
    <w:rsid w:val="00641D6D"/>
    <w:rPr>
      <w:rFonts w:ascii="Times New Roman" w:eastAsiaTheme="minorEastAsia" w:hAnsi="Times New Roman"/>
      <w:sz w:val="20"/>
      <w:szCs w:val="20"/>
      <w:lang w:eastAsia="zh-CN"/>
    </w:rPr>
  </w:style>
  <w:style w:type="character" w:styleId="Appeldenotedefin">
    <w:name w:val="endnote reference"/>
    <w:basedOn w:val="Policepardfaut"/>
    <w:uiPriority w:val="99"/>
    <w:semiHidden/>
    <w:unhideWhenUsed/>
    <w:rsid w:val="00641D6D"/>
    <w:rPr>
      <w:vertAlign w:val="superscript"/>
    </w:rPr>
  </w:style>
  <w:style w:type="character" w:customStyle="1" w:styleId="normaltextrun">
    <w:name w:val="normaltextrun"/>
    <w:basedOn w:val="Policepardfaut"/>
    <w:rsid w:val="00E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8688">
      <w:bodyDiv w:val="1"/>
      <w:marLeft w:val="0"/>
      <w:marRight w:val="0"/>
      <w:marTop w:val="0"/>
      <w:marBottom w:val="0"/>
      <w:divBdr>
        <w:top w:val="none" w:sz="0" w:space="0" w:color="auto"/>
        <w:left w:val="none" w:sz="0" w:space="0" w:color="auto"/>
        <w:bottom w:val="none" w:sz="0" w:space="0" w:color="auto"/>
        <w:right w:val="none" w:sz="0" w:space="0" w:color="auto"/>
      </w:divBdr>
    </w:div>
    <w:div w:id="163282536">
      <w:bodyDiv w:val="1"/>
      <w:marLeft w:val="0"/>
      <w:marRight w:val="0"/>
      <w:marTop w:val="0"/>
      <w:marBottom w:val="0"/>
      <w:divBdr>
        <w:top w:val="none" w:sz="0" w:space="0" w:color="auto"/>
        <w:left w:val="none" w:sz="0" w:space="0" w:color="auto"/>
        <w:bottom w:val="none" w:sz="0" w:space="0" w:color="auto"/>
        <w:right w:val="none" w:sz="0" w:space="0" w:color="auto"/>
      </w:divBdr>
    </w:div>
    <w:div w:id="207955790">
      <w:bodyDiv w:val="1"/>
      <w:marLeft w:val="0"/>
      <w:marRight w:val="0"/>
      <w:marTop w:val="0"/>
      <w:marBottom w:val="0"/>
      <w:divBdr>
        <w:top w:val="none" w:sz="0" w:space="0" w:color="auto"/>
        <w:left w:val="none" w:sz="0" w:space="0" w:color="auto"/>
        <w:bottom w:val="none" w:sz="0" w:space="0" w:color="auto"/>
        <w:right w:val="none" w:sz="0" w:space="0" w:color="auto"/>
      </w:divBdr>
    </w:div>
    <w:div w:id="431242822">
      <w:bodyDiv w:val="1"/>
      <w:marLeft w:val="0"/>
      <w:marRight w:val="0"/>
      <w:marTop w:val="0"/>
      <w:marBottom w:val="0"/>
      <w:divBdr>
        <w:top w:val="none" w:sz="0" w:space="0" w:color="auto"/>
        <w:left w:val="none" w:sz="0" w:space="0" w:color="auto"/>
        <w:bottom w:val="none" w:sz="0" w:space="0" w:color="auto"/>
        <w:right w:val="none" w:sz="0" w:space="0" w:color="auto"/>
      </w:divBdr>
    </w:div>
    <w:div w:id="1550648709">
      <w:bodyDiv w:val="1"/>
      <w:marLeft w:val="0"/>
      <w:marRight w:val="0"/>
      <w:marTop w:val="0"/>
      <w:marBottom w:val="0"/>
      <w:divBdr>
        <w:top w:val="none" w:sz="0" w:space="0" w:color="auto"/>
        <w:left w:val="none" w:sz="0" w:space="0" w:color="auto"/>
        <w:bottom w:val="none" w:sz="0" w:space="0" w:color="auto"/>
        <w:right w:val="none" w:sz="0" w:space="0" w:color="auto"/>
      </w:divBdr>
    </w:div>
    <w:div w:id="1555582684">
      <w:bodyDiv w:val="1"/>
      <w:marLeft w:val="0"/>
      <w:marRight w:val="0"/>
      <w:marTop w:val="0"/>
      <w:marBottom w:val="0"/>
      <w:divBdr>
        <w:top w:val="none" w:sz="0" w:space="0" w:color="auto"/>
        <w:left w:val="none" w:sz="0" w:space="0" w:color="auto"/>
        <w:bottom w:val="none" w:sz="0" w:space="0" w:color="auto"/>
        <w:right w:val="none" w:sz="0" w:space="0" w:color="auto"/>
      </w:divBdr>
      <w:divsChild>
        <w:div w:id="2006008625">
          <w:marLeft w:val="0"/>
          <w:marRight w:val="0"/>
          <w:marTop w:val="0"/>
          <w:marBottom w:val="0"/>
          <w:divBdr>
            <w:top w:val="none" w:sz="0" w:space="0" w:color="auto"/>
            <w:left w:val="none" w:sz="0" w:space="0" w:color="auto"/>
            <w:bottom w:val="none" w:sz="0" w:space="0" w:color="auto"/>
            <w:right w:val="none" w:sz="0" w:space="0" w:color="auto"/>
          </w:divBdr>
          <w:divsChild>
            <w:div w:id="188879673">
              <w:marLeft w:val="0"/>
              <w:marRight w:val="0"/>
              <w:marTop w:val="0"/>
              <w:marBottom w:val="0"/>
              <w:divBdr>
                <w:top w:val="none" w:sz="0" w:space="0" w:color="auto"/>
                <w:left w:val="none" w:sz="0" w:space="0" w:color="auto"/>
                <w:bottom w:val="none" w:sz="0" w:space="0" w:color="auto"/>
                <w:right w:val="none" w:sz="0" w:space="0" w:color="auto"/>
              </w:divBdr>
              <w:divsChild>
                <w:div w:id="201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kun@hec.fr"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obergphillips.tuck.dartmouth.edu/industryclass.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grazioli@escp.eu" TargetMode="External"/><Relationship Id="rId14" Type="http://schemas.openxmlformats.org/officeDocument/2006/relationships/hyperlink" Target="https://home.treasury.gov/system/files/206/CFIUS-Annual-Rpt-200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ome.treasury.gov/policy-issues/international/the-committee-on-foreign-investment-in-the-united-states-cfius" TargetMode="External"/><Relationship Id="rId2" Type="http://schemas.openxmlformats.org/officeDocument/2006/relationships/hyperlink" Target="https://home.treasury.gov/news/press-releases/jy1451" TargetMode="External"/><Relationship Id="rId1" Type="http://schemas.openxmlformats.org/officeDocument/2006/relationships/hyperlink" Target="https://home.treasury.gov/policy-issues/international/the-committee-on-foreign-investment-in-the-united-states-cf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CD4A-73CE-43C8-89ED-0ED048C4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15639</Words>
  <Characters>86015</Characters>
  <Application>Microsoft Office Word</Application>
  <DocSecurity>0</DocSecurity>
  <Lines>716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Grazioli</dc:creator>
  <cp:keywords/>
  <dc:description/>
  <cp:lastModifiedBy>Benjamin Monnery</cp:lastModifiedBy>
  <cp:revision>2</cp:revision>
  <cp:lastPrinted>2024-07-15T10:12:00Z</cp:lastPrinted>
  <dcterms:created xsi:type="dcterms:W3CDTF">2024-09-16T11:52:00Z</dcterms:created>
  <dcterms:modified xsi:type="dcterms:W3CDTF">2024-09-16T11:52:00Z</dcterms:modified>
</cp:coreProperties>
</file>